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Ex1.xml" ContentType="application/vnd.ms-office.chartex+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1.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2.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3.xml" ContentType="application/vnd.openxmlformats-officedocument.themeOverride+xml"/>
  <Override PartName="/word/charts/chart4.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4.xml" ContentType="application/vnd.openxmlformats-officedocument.themeOverride+xml"/>
  <Override PartName="/word/charts/chart5.xml" ContentType="application/vnd.openxmlformats-officedocument.drawingml.chart+xml"/>
  <Override PartName="/word/charts/style6.xml" ContentType="application/vnd.ms-office.chartstyle+xml"/>
  <Override PartName="/word/charts/colors6.xml" ContentType="application/vnd.ms-office.chartcolorstyle+xml"/>
  <Override PartName="/word/theme/themeOverride5.xml" ContentType="application/vnd.openxmlformats-officedocument.themeOverride+xml"/>
  <Override PartName="/word/charts/chart6.xml" ContentType="application/vnd.openxmlformats-officedocument.drawingml.chart+xml"/>
  <Override PartName="/word/charts/style7.xml" ContentType="application/vnd.ms-office.chartstyle+xml"/>
  <Override PartName="/word/charts/colors7.xml" ContentType="application/vnd.ms-office.chartcolorstyle+xml"/>
  <Override PartName="/word/theme/themeOverride6.xml" ContentType="application/vnd.openxmlformats-officedocument.themeOverride+xml"/>
  <Override PartName="/word/charts/chart7.xml" ContentType="application/vnd.openxmlformats-officedocument.drawingml.chart+xml"/>
  <Override PartName="/word/charts/style8.xml" ContentType="application/vnd.ms-office.chartstyle+xml"/>
  <Override PartName="/word/charts/colors8.xml" ContentType="application/vnd.ms-office.chartcolorstyle+xml"/>
  <Override PartName="/word/theme/themeOverride7.xml" ContentType="application/vnd.openxmlformats-officedocument.themeOverride+xml"/>
  <Override PartName="/word/charts/chart8.xml" ContentType="application/vnd.openxmlformats-officedocument.drawingml.chart+xml"/>
  <Override PartName="/word/charts/style9.xml" ContentType="application/vnd.ms-office.chartstyle+xml"/>
  <Override PartName="/word/charts/colors9.xml" ContentType="application/vnd.ms-office.chartcolorstyle+xml"/>
  <Override PartName="/word/theme/themeOverride8.xml" ContentType="application/vnd.openxmlformats-officedocument.themeOverride+xml"/>
  <Override PartName="/word/charts/chart9.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0.xml" ContentType="application/vnd.openxmlformats-officedocument.drawingml.chart+xml"/>
  <Override PartName="/word/charts/style11.xml" ContentType="application/vnd.ms-office.chartstyle+xml"/>
  <Override PartName="/word/charts/colors11.xml" ContentType="application/vnd.ms-office.chartcolorstyle+xml"/>
  <Override PartName="/word/theme/themeOverride9.xml" ContentType="application/vnd.openxmlformats-officedocument.themeOverride+xml"/>
  <Override PartName="/word/charts/chart11.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2.xml" ContentType="application/vnd.openxmlformats-officedocument.drawingml.chart+xml"/>
  <Override PartName="/word/charts/style13.xml" ContentType="application/vnd.ms-office.chartstyle+xml"/>
  <Override PartName="/word/charts/colors13.xml" ContentType="application/vnd.ms-office.chartcolorstyle+xml"/>
  <Override PartName="/word/theme/themeOverride10.xml" ContentType="application/vnd.openxmlformats-officedocument.themeOverride+xml"/>
  <Override PartName="/word/charts/chart13.xml" ContentType="application/vnd.openxmlformats-officedocument.drawingml.chart+xml"/>
  <Override PartName="/word/charts/style14.xml" ContentType="application/vnd.ms-office.chartstyle+xml"/>
  <Override PartName="/word/charts/colors14.xml" ContentType="application/vnd.ms-office.chartcolorstyle+xml"/>
  <Override PartName="/word/theme/themeOverride11.xml" ContentType="application/vnd.openxmlformats-officedocument.themeOverride+xml"/>
  <Override PartName="/word/charts/chart14.xml" ContentType="application/vnd.openxmlformats-officedocument.drawingml.chart+xml"/>
  <Override PartName="/word/charts/style15.xml" ContentType="application/vnd.ms-office.chartstyle+xml"/>
  <Override PartName="/word/charts/colors15.xml" ContentType="application/vnd.ms-office.chartcolorstyle+xml"/>
  <Override PartName="/word/charts/chart15.xml" ContentType="application/vnd.openxmlformats-officedocument.drawingml.chart+xml"/>
  <Override PartName="/word/charts/style16.xml" ContentType="application/vnd.ms-office.chartstyle+xml"/>
  <Override PartName="/word/charts/colors16.xml" ContentType="application/vnd.ms-office.chartcolorstyle+xml"/>
  <Override PartName="/word/theme/themeOverride12.xml" ContentType="application/vnd.openxmlformats-officedocument.themeOverride+xml"/>
  <Override PartName="/word/charts/chart16.xml" ContentType="application/vnd.openxmlformats-officedocument.drawingml.chart+xml"/>
  <Override PartName="/word/charts/style17.xml" ContentType="application/vnd.ms-office.chartstyle+xml"/>
  <Override PartName="/word/charts/colors17.xml" ContentType="application/vnd.ms-office.chartcolorstyle+xml"/>
  <Override PartName="/word/charts/chart17.xml" ContentType="application/vnd.openxmlformats-officedocument.drawingml.chart+xml"/>
  <Override PartName="/word/charts/style18.xml" ContentType="application/vnd.ms-office.chartstyle+xml"/>
  <Override PartName="/word/charts/colors18.xml" ContentType="application/vnd.ms-office.chartcolorstyle+xml"/>
  <Override PartName="/word/theme/themeOverride13.xml" ContentType="application/vnd.openxmlformats-officedocument.themeOverride+xml"/>
  <Override PartName="/word/charts/chart18.xml" ContentType="application/vnd.openxmlformats-officedocument.drawingml.chart+xml"/>
  <Override PartName="/word/charts/style19.xml" ContentType="application/vnd.ms-office.chartstyle+xml"/>
  <Override PartName="/word/charts/colors19.xml" ContentType="application/vnd.ms-office.chartcolorstyle+xml"/>
  <Override PartName="/word/theme/themeOverride14.xml" ContentType="application/vnd.openxmlformats-officedocument.themeOverride+xml"/>
  <Override PartName="/word/charts/chart19.xml" ContentType="application/vnd.openxmlformats-officedocument.drawingml.chart+xml"/>
  <Override PartName="/word/charts/style20.xml" ContentType="application/vnd.ms-office.chartstyle+xml"/>
  <Override PartName="/word/charts/colors20.xml" ContentType="application/vnd.ms-office.chartcolorstyle+xml"/>
  <Override PartName="/word/charts/chart20.xml" ContentType="application/vnd.openxmlformats-officedocument.drawingml.chart+xml"/>
  <Override PartName="/word/charts/style21.xml" ContentType="application/vnd.ms-office.chartstyle+xml"/>
  <Override PartName="/word/charts/colors21.xml" ContentType="application/vnd.ms-office.chartcolorstyle+xml"/>
  <Override PartName="/word/theme/themeOverride15.xml" ContentType="application/vnd.openxmlformats-officedocument.themeOverride+xml"/>
  <Override PartName="/word/charts/chart21.xml" ContentType="application/vnd.openxmlformats-officedocument.drawingml.chart+xml"/>
  <Override PartName="/word/charts/style22.xml" ContentType="application/vnd.ms-office.chartstyle+xml"/>
  <Override PartName="/word/charts/colors22.xml" ContentType="application/vnd.ms-office.chartcolorstyle+xml"/>
  <Override PartName="/word/charts/chart22.xml" ContentType="application/vnd.openxmlformats-officedocument.drawingml.chart+xml"/>
  <Override PartName="/word/charts/style23.xml" ContentType="application/vnd.ms-office.chartstyle+xml"/>
  <Override PartName="/word/charts/colors23.xml" ContentType="application/vnd.ms-office.chartcolorstyle+xml"/>
  <Override PartName="/word/charts/chart23.xml" ContentType="application/vnd.openxmlformats-officedocument.drawingml.chart+xml"/>
  <Override PartName="/word/charts/style24.xml" ContentType="application/vnd.ms-office.chartstyle+xml"/>
  <Override PartName="/word/charts/colors24.xml" ContentType="application/vnd.ms-office.chartcolorstyle+xml"/>
  <Override PartName="/word/theme/themeOverride16.xml" ContentType="application/vnd.openxmlformats-officedocument.themeOverride+xml"/>
  <Override PartName="/word/charts/chart24.xml" ContentType="application/vnd.openxmlformats-officedocument.drawingml.chart+xml"/>
  <Override PartName="/word/charts/style25.xml" ContentType="application/vnd.ms-office.chartstyle+xml"/>
  <Override PartName="/word/charts/colors25.xml" ContentType="application/vnd.ms-office.chartcolorstyle+xml"/>
  <Override PartName="/word/theme/themeOverride17.xml" ContentType="application/vnd.openxmlformats-officedocument.themeOverride+xml"/>
  <Override PartName="/word/charts/chart25.xml" ContentType="application/vnd.openxmlformats-officedocument.drawingml.chart+xml"/>
  <Override PartName="/word/charts/style26.xml" ContentType="application/vnd.ms-office.chartstyle+xml"/>
  <Override PartName="/word/charts/colors26.xml" ContentType="application/vnd.ms-office.chartcolorstyle+xml"/>
  <Override PartName="/word/charts/chart26.xml" ContentType="application/vnd.openxmlformats-officedocument.drawingml.chart+xml"/>
  <Override PartName="/word/charts/style27.xml" ContentType="application/vnd.ms-office.chartstyle+xml"/>
  <Override PartName="/word/charts/colors27.xml" ContentType="application/vnd.ms-office.chartcolorstyle+xml"/>
  <Override PartName="/word/theme/themeOverride18.xml" ContentType="application/vnd.openxmlformats-officedocument.themeOverride+xml"/>
  <Override PartName="/word/charts/chart27.xml" ContentType="application/vnd.openxmlformats-officedocument.drawingml.chart+xml"/>
  <Override PartName="/word/charts/style28.xml" ContentType="application/vnd.ms-office.chartstyle+xml"/>
  <Override PartName="/word/charts/colors28.xml" ContentType="application/vnd.ms-office.chartcolorstyle+xml"/>
  <Override PartName="/word/charts/chart28.xml" ContentType="application/vnd.openxmlformats-officedocument.drawingml.chart+xml"/>
  <Override PartName="/word/charts/style29.xml" ContentType="application/vnd.ms-office.chartstyle+xml"/>
  <Override PartName="/word/charts/colors29.xml" ContentType="application/vnd.ms-office.chartcolorstyle+xml"/>
  <Override PartName="/word/theme/themeOverride19.xml" ContentType="application/vnd.openxmlformats-officedocument.themeOverride+xml"/>
  <Override PartName="/word/charts/chart29.xml" ContentType="application/vnd.openxmlformats-officedocument.drawingml.chart+xml"/>
  <Override PartName="/word/charts/style30.xml" ContentType="application/vnd.ms-office.chartstyle+xml"/>
  <Override PartName="/word/charts/colors30.xml" ContentType="application/vnd.ms-office.chartcolorstyle+xml"/>
  <Override PartName="/word/theme/themeOverride20.xml" ContentType="application/vnd.openxmlformats-officedocument.themeOverride+xml"/>
  <Override PartName="/word/charts/chart30.xml" ContentType="application/vnd.openxmlformats-officedocument.drawingml.chart+xml"/>
  <Override PartName="/word/charts/style31.xml" ContentType="application/vnd.ms-office.chartstyle+xml"/>
  <Override PartName="/word/charts/colors31.xml" ContentType="application/vnd.ms-office.chartcolorstyle+xml"/>
  <Override PartName="/word/theme/themeOverride21.xml" ContentType="application/vnd.openxmlformats-officedocument.themeOverride+xml"/>
  <Override PartName="/word/charts/chart31.xml" ContentType="application/vnd.openxmlformats-officedocument.drawingml.chart+xml"/>
  <Override PartName="/word/charts/style32.xml" ContentType="application/vnd.ms-office.chartstyle+xml"/>
  <Override PartName="/word/charts/colors32.xml" ContentType="application/vnd.ms-office.chartcolorstyle+xml"/>
  <Override PartName="/word/theme/themeOverride22.xml" ContentType="application/vnd.openxmlformats-officedocument.themeOverride+xml"/>
  <Override PartName="/word/charts/chart32.xml" ContentType="application/vnd.openxmlformats-officedocument.drawingml.chart+xml"/>
  <Override PartName="/word/charts/style33.xml" ContentType="application/vnd.ms-office.chartstyle+xml"/>
  <Override PartName="/word/charts/colors33.xml" ContentType="application/vnd.ms-office.chartcolorstyle+xml"/>
  <Override PartName="/word/theme/themeOverride23.xml" ContentType="application/vnd.openxmlformats-officedocument.themeOverride+xml"/>
  <Override PartName="/word/charts/chart33.xml" ContentType="application/vnd.openxmlformats-officedocument.drawingml.chart+xml"/>
  <Override PartName="/word/charts/style34.xml" ContentType="application/vnd.ms-office.chartstyle+xml"/>
  <Override PartName="/word/charts/colors34.xml" ContentType="application/vnd.ms-office.chartcolorstyle+xml"/>
  <Override PartName="/word/theme/themeOverride24.xml" ContentType="application/vnd.openxmlformats-officedocument.themeOverride+xml"/>
  <Override PartName="/word/charts/chart34.xml" ContentType="application/vnd.openxmlformats-officedocument.drawingml.chart+xml"/>
  <Override PartName="/word/charts/style35.xml" ContentType="application/vnd.ms-office.chartstyle+xml"/>
  <Override PartName="/word/charts/colors35.xml" ContentType="application/vnd.ms-office.chartcolorstyle+xml"/>
  <Override PartName="/word/theme/themeOverride25.xml" ContentType="application/vnd.openxmlformats-officedocument.themeOverride+xml"/>
  <Override PartName="/word/charts/chart35.xml" ContentType="application/vnd.openxmlformats-officedocument.drawingml.chart+xml"/>
  <Override PartName="/word/charts/style36.xml" ContentType="application/vnd.ms-office.chartstyle+xml"/>
  <Override PartName="/word/charts/colors36.xml" ContentType="application/vnd.ms-office.chartcolorstyle+xml"/>
  <Override PartName="/word/footer1.xml" ContentType="application/vnd.openxmlformats-officedocument.wordprocessingml.footer+xml"/>
  <Override PartName="/word/charts/chart36.xml" ContentType="application/vnd.openxmlformats-officedocument.drawingml.chart+xml"/>
  <Override PartName="/word/charts/style37.xml" ContentType="application/vnd.ms-office.chartstyle+xml"/>
  <Override PartName="/word/charts/colors37.xml" ContentType="application/vnd.ms-office.chartcolorstyle+xml"/>
  <Override PartName="/word/theme/themeOverride26.xml" ContentType="application/vnd.openxmlformats-officedocument.themeOverride+xml"/>
  <Override PartName="/word/charts/chart37.xml" ContentType="application/vnd.openxmlformats-officedocument.drawingml.chart+xml"/>
  <Override PartName="/word/charts/style38.xml" ContentType="application/vnd.ms-office.chartstyle+xml"/>
  <Override PartName="/word/charts/colors38.xml" ContentType="application/vnd.ms-office.chartcolorstyle+xml"/>
  <Override PartName="/word/theme/themeOverride27.xml" ContentType="application/vnd.openxmlformats-officedocument.themeOverride+xml"/>
  <Override PartName="/word/charts/chart38.xml" ContentType="application/vnd.openxmlformats-officedocument.drawingml.chart+xml"/>
  <Override PartName="/word/charts/style39.xml" ContentType="application/vnd.ms-office.chartstyle+xml"/>
  <Override PartName="/word/charts/colors39.xml" ContentType="application/vnd.ms-office.chartcolorstyle+xml"/>
  <Override PartName="/word/theme/themeOverride28.xml" ContentType="application/vnd.openxmlformats-officedocument.themeOverride+xml"/>
  <Override PartName="/word/charts/chart39.xml" ContentType="application/vnd.openxmlformats-officedocument.drawingml.chart+xml"/>
  <Override PartName="/word/charts/style40.xml" ContentType="application/vnd.ms-office.chartstyle+xml"/>
  <Override PartName="/word/charts/colors40.xml" ContentType="application/vnd.ms-office.chartcolorstyle+xml"/>
  <Override PartName="/word/theme/themeOverride29.xml" ContentType="application/vnd.openxmlformats-officedocument.themeOverride+xml"/>
  <Override PartName="/word/charts/chart40.xml" ContentType="application/vnd.openxmlformats-officedocument.drawingml.chart+xml"/>
  <Override PartName="/word/charts/style41.xml" ContentType="application/vnd.ms-office.chartstyle+xml"/>
  <Override PartName="/word/charts/colors41.xml" ContentType="application/vnd.ms-office.chartcolorstyle+xml"/>
  <Override PartName="/word/theme/themeOverride30.xml" ContentType="application/vnd.openxmlformats-officedocument.themeOverride+xml"/>
  <Override PartName="/word/charts/chart41.xml" ContentType="application/vnd.openxmlformats-officedocument.drawingml.chart+xml"/>
  <Override PartName="/word/charts/style42.xml" ContentType="application/vnd.ms-office.chartstyle+xml"/>
  <Override PartName="/word/charts/colors42.xml" ContentType="application/vnd.ms-office.chartcolorstyle+xml"/>
  <Override PartName="/word/theme/themeOverride31.xml" ContentType="application/vnd.openxmlformats-officedocument.themeOverride+xml"/>
  <Override PartName="/word/charts/chart42.xml" ContentType="application/vnd.openxmlformats-officedocument.drawingml.chart+xml"/>
  <Override PartName="/word/charts/style43.xml" ContentType="application/vnd.ms-office.chartstyle+xml"/>
  <Override PartName="/word/charts/colors43.xml" ContentType="application/vnd.ms-office.chartcolorstyle+xml"/>
  <Override PartName="/word/theme/themeOverride32.xml" ContentType="application/vnd.openxmlformats-officedocument.themeOverride+xml"/>
  <Override PartName="/word/charts/chart43.xml" ContentType="application/vnd.openxmlformats-officedocument.drawingml.chart+xml"/>
  <Override PartName="/word/charts/style44.xml" ContentType="application/vnd.ms-office.chartstyle+xml"/>
  <Override PartName="/word/charts/colors44.xml" ContentType="application/vnd.ms-office.chartcolorstyle+xml"/>
  <Override PartName="/word/theme/themeOverride33.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2589D8" w14:textId="77777777" w:rsidR="00E918D3" w:rsidRDefault="00E918D3" w:rsidP="00E918D3">
      <w:pPr>
        <w:spacing w:after="0" w:line="240" w:lineRule="auto"/>
        <w:jc w:val="center"/>
        <w:rPr>
          <w:rFonts w:ascii="Times New Roman" w:hAnsi="Times New Roman" w:cs="Times New Roman"/>
          <w:sz w:val="24"/>
          <w:szCs w:val="24"/>
        </w:rPr>
      </w:pPr>
      <w:bookmarkStart w:id="0" w:name="_Hlk145264054"/>
      <w:bookmarkEnd w:id="0"/>
    </w:p>
    <w:p w14:paraId="2F441421" w14:textId="58429E75" w:rsidR="00E918D3" w:rsidRDefault="00E918D3" w:rsidP="00355EF1">
      <w:pPr>
        <w:spacing w:after="0" w:line="240" w:lineRule="auto"/>
        <w:jc w:val="center"/>
        <w:rPr>
          <w:rFonts w:ascii="Times New Roman" w:hAnsi="Times New Roman" w:cs="Times New Roman"/>
          <w:sz w:val="24"/>
          <w:szCs w:val="24"/>
        </w:rPr>
      </w:pPr>
    </w:p>
    <w:p w14:paraId="5BFAD7DB" w14:textId="3554907D" w:rsidR="00E918D3" w:rsidRDefault="00E918D3" w:rsidP="00E918D3">
      <w:pPr>
        <w:spacing w:after="0" w:line="240" w:lineRule="auto"/>
        <w:jc w:val="center"/>
        <w:rPr>
          <w:rFonts w:ascii="Times New Roman" w:hAnsi="Times New Roman" w:cs="Times New Roman"/>
          <w:sz w:val="24"/>
          <w:szCs w:val="24"/>
        </w:rPr>
      </w:pPr>
    </w:p>
    <w:p w14:paraId="429ADBA4" w14:textId="0D03025F" w:rsidR="00E918D3" w:rsidRPr="00E918D3" w:rsidRDefault="00E918D3" w:rsidP="00E918D3">
      <w:pPr>
        <w:spacing w:after="0" w:line="240" w:lineRule="auto"/>
        <w:jc w:val="center"/>
        <w:rPr>
          <w:rFonts w:ascii="Times New Roman" w:eastAsia="Times New Roman" w:hAnsi="Times New Roman" w:cs="Times New Roman"/>
          <w:sz w:val="24"/>
          <w:szCs w:val="24"/>
        </w:rPr>
      </w:pPr>
    </w:p>
    <w:p w14:paraId="6891F2B9" w14:textId="717400B7" w:rsidR="00E918D3" w:rsidRDefault="00E918D3" w:rsidP="00E918D3">
      <w:pPr>
        <w:spacing w:after="0" w:line="240" w:lineRule="auto"/>
        <w:jc w:val="center"/>
        <w:rPr>
          <w:rFonts w:ascii="Times New Roman" w:hAnsi="Times New Roman" w:cs="Times New Roman"/>
          <w:sz w:val="24"/>
          <w:szCs w:val="24"/>
        </w:rPr>
      </w:pPr>
    </w:p>
    <w:p w14:paraId="6C84E5FA" w14:textId="77777777" w:rsidR="00E918D3" w:rsidRDefault="00E918D3" w:rsidP="00E918D3">
      <w:pPr>
        <w:spacing w:after="0" w:line="240" w:lineRule="auto"/>
        <w:jc w:val="center"/>
        <w:rPr>
          <w:rFonts w:ascii="Times New Roman" w:hAnsi="Times New Roman" w:cs="Times New Roman"/>
          <w:sz w:val="24"/>
          <w:szCs w:val="24"/>
        </w:rPr>
      </w:pPr>
    </w:p>
    <w:p w14:paraId="7DEB6367" w14:textId="5EDAF5E3" w:rsidR="000D59EB" w:rsidRPr="000D59EB" w:rsidRDefault="00B55C67" w:rsidP="000D59EB">
      <w:pPr>
        <w:spacing w:after="0" w:line="240" w:lineRule="auto"/>
        <w:jc w:val="center"/>
        <w:rPr>
          <w:rFonts w:ascii="Calibri" w:hAnsi="Calibri" w:cs="Calibri"/>
          <w:b/>
          <w:bCs/>
          <w:color w:val="1B4466"/>
          <w:sz w:val="52"/>
          <w:szCs w:val="52"/>
        </w:rPr>
      </w:pPr>
      <w:r>
        <w:rPr>
          <w:rFonts w:ascii="ZWAdobeF" w:hAnsi="ZWAdobeF" w:cs="ZWAdobeF"/>
          <w:bCs/>
          <w:sz w:val="2"/>
          <w:szCs w:val="2"/>
        </w:rPr>
        <w:t>38B</w:t>
      </w:r>
      <w:r w:rsidR="00322BBB" w:rsidRPr="000D59EB">
        <w:rPr>
          <w:rFonts w:ascii="Calibri" w:hAnsi="Calibri" w:cs="Calibri"/>
          <w:b/>
          <w:bCs/>
          <w:color w:val="1B4466"/>
          <w:sz w:val="52"/>
          <w:szCs w:val="52"/>
        </w:rPr>
        <w:t>Case Study</w:t>
      </w:r>
      <w:r w:rsidR="000D59EB" w:rsidRPr="000D59EB">
        <w:rPr>
          <w:rFonts w:ascii="Calibri" w:hAnsi="Calibri" w:cs="Calibri"/>
          <w:b/>
          <w:bCs/>
          <w:color w:val="1B4466"/>
          <w:sz w:val="52"/>
          <w:szCs w:val="52"/>
        </w:rPr>
        <w:t xml:space="preserve"> </w:t>
      </w:r>
    </w:p>
    <w:p w14:paraId="7326DDC8" w14:textId="51F81CEF" w:rsidR="000D59EB" w:rsidRPr="00B4146C" w:rsidRDefault="005C630E" w:rsidP="00B4146C">
      <w:pPr>
        <w:pStyle w:val="Heading1"/>
      </w:pPr>
      <w:r w:rsidRPr="00B4146C">
        <w:t>Factors that support</w:t>
      </w:r>
      <w:r w:rsidR="000D59EB" w:rsidRPr="00B4146C">
        <w:t xml:space="preserve"> timely delivery of accessible </w:t>
      </w:r>
      <w:r w:rsidR="00695D20" w:rsidRPr="00B4146C">
        <w:t>formats</w:t>
      </w:r>
    </w:p>
    <w:p w14:paraId="6D23C701" w14:textId="77777777" w:rsidR="000D59EB" w:rsidRPr="00B46922" w:rsidRDefault="000D59EB" w:rsidP="000D59EB">
      <w:pPr>
        <w:spacing w:after="0" w:line="240" w:lineRule="auto"/>
        <w:jc w:val="center"/>
        <w:rPr>
          <w:rFonts w:ascii="Calibri" w:hAnsi="Calibri" w:cs="Calibri"/>
          <w:b/>
          <w:bCs/>
          <w:color w:val="1B4466"/>
          <w:sz w:val="40"/>
          <w:szCs w:val="40"/>
        </w:rPr>
      </w:pPr>
    </w:p>
    <w:p w14:paraId="3F106CA0" w14:textId="77777777" w:rsidR="000D59EB" w:rsidRPr="00B46922" w:rsidRDefault="000D59EB" w:rsidP="000D59EB">
      <w:pPr>
        <w:spacing w:after="0" w:line="240" w:lineRule="auto"/>
        <w:jc w:val="center"/>
        <w:rPr>
          <w:rFonts w:ascii="Calibri" w:hAnsi="Calibri" w:cs="Calibri"/>
          <w:b/>
          <w:bCs/>
          <w:color w:val="1B4466"/>
          <w:sz w:val="40"/>
          <w:szCs w:val="40"/>
        </w:rPr>
      </w:pPr>
    </w:p>
    <w:p w14:paraId="25B651B7" w14:textId="77777777" w:rsidR="000D59EB" w:rsidRPr="00B46922" w:rsidRDefault="000D59EB" w:rsidP="000D59EB">
      <w:pPr>
        <w:spacing w:after="0" w:line="240" w:lineRule="auto"/>
        <w:jc w:val="center"/>
        <w:rPr>
          <w:rFonts w:ascii="Calibri" w:hAnsi="Calibri" w:cs="Calibri"/>
          <w:b/>
          <w:bCs/>
          <w:color w:val="1B4466"/>
          <w:sz w:val="40"/>
          <w:szCs w:val="40"/>
        </w:rPr>
      </w:pPr>
    </w:p>
    <w:p w14:paraId="7408D698" w14:textId="2B4A5CE8" w:rsidR="000D59EB" w:rsidRPr="00B46922" w:rsidRDefault="00B55C67" w:rsidP="000D59EB">
      <w:pPr>
        <w:spacing w:after="0" w:line="240" w:lineRule="auto"/>
        <w:jc w:val="center"/>
        <w:rPr>
          <w:rFonts w:ascii="Calibri" w:hAnsi="Calibri" w:cs="Calibri"/>
          <w:b/>
          <w:bCs/>
          <w:color w:val="1B4466"/>
          <w:sz w:val="40"/>
          <w:szCs w:val="40"/>
        </w:rPr>
      </w:pPr>
      <w:r>
        <w:rPr>
          <w:rFonts w:ascii="ZWAdobeF" w:hAnsi="ZWAdobeF" w:cs="ZWAdobeF"/>
          <w:bCs/>
          <w:sz w:val="2"/>
          <w:szCs w:val="2"/>
        </w:rPr>
        <w:t>39B</w:t>
      </w:r>
      <w:r w:rsidR="000D59EB" w:rsidRPr="00B46922">
        <w:rPr>
          <w:rFonts w:ascii="Calibri" w:hAnsi="Calibri" w:cs="Calibri"/>
          <w:b/>
          <w:bCs/>
          <w:color w:val="1B4466"/>
          <w:sz w:val="40"/>
          <w:szCs w:val="40"/>
        </w:rPr>
        <w:t xml:space="preserve">Prepared for the </w:t>
      </w:r>
    </w:p>
    <w:p w14:paraId="6F9D12FB" w14:textId="3C9495FA" w:rsidR="000D59EB" w:rsidRPr="00B46922" w:rsidRDefault="00B55C67" w:rsidP="000D59EB">
      <w:pPr>
        <w:spacing w:after="0" w:line="240" w:lineRule="auto"/>
        <w:jc w:val="center"/>
        <w:rPr>
          <w:rFonts w:ascii="Calibri" w:hAnsi="Calibri" w:cs="Calibri"/>
          <w:b/>
          <w:bCs/>
          <w:color w:val="595959" w:themeColor="text1" w:themeTint="A6"/>
          <w:sz w:val="40"/>
          <w:szCs w:val="40"/>
        </w:rPr>
      </w:pPr>
      <w:r>
        <w:rPr>
          <w:rFonts w:ascii="ZWAdobeF" w:hAnsi="ZWAdobeF" w:cs="ZWAdobeF"/>
          <w:bCs/>
          <w:sz w:val="2"/>
          <w:szCs w:val="2"/>
        </w:rPr>
        <w:t>40B</w:t>
      </w:r>
      <w:r w:rsidR="000D59EB" w:rsidRPr="00B46922">
        <w:rPr>
          <w:rFonts w:ascii="Calibri" w:hAnsi="Calibri" w:cs="Calibri"/>
          <w:b/>
          <w:bCs/>
          <w:color w:val="1B4466"/>
          <w:sz w:val="40"/>
          <w:szCs w:val="40"/>
        </w:rPr>
        <w:t>National Instructional Materials Access Center (NIMAC)</w:t>
      </w:r>
      <w:r w:rsidR="00322BBB" w:rsidRPr="00B46922">
        <w:rPr>
          <w:rFonts w:ascii="Calibri" w:hAnsi="Calibri" w:cs="Calibri"/>
          <w:b/>
          <w:bCs/>
          <w:color w:val="595959" w:themeColor="text1" w:themeTint="A6"/>
          <w:sz w:val="40"/>
          <w:szCs w:val="40"/>
        </w:rPr>
        <w:t xml:space="preserve"> </w:t>
      </w:r>
    </w:p>
    <w:p w14:paraId="17A87B69" w14:textId="648E27AA" w:rsidR="000D59EB" w:rsidRPr="000D59EB" w:rsidRDefault="00B55C67" w:rsidP="000D59EB">
      <w:pPr>
        <w:spacing w:after="0" w:line="240" w:lineRule="auto"/>
        <w:jc w:val="center"/>
        <w:rPr>
          <w:rFonts w:ascii="Calibri" w:hAnsi="Calibri" w:cs="Calibri"/>
          <w:b/>
          <w:bCs/>
          <w:color w:val="1B4466"/>
          <w:sz w:val="36"/>
          <w:szCs w:val="36"/>
        </w:rPr>
      </w:pPr>
      <w:r>
        <w:rPr>
          <w:rFonts w:ascii="ZWAdobeF" w:hAnsi="ZWAdobeF" w:cs="ZWAdobeF"/>
          <w:bCs/>
          <w:sz w:val="2"/>
          <w:szCs w:val="2"/>
        </w:rPr>
        <w:t>41B</w:t>
      </w:r>
      <w:r w:rsidR="00554ECC">
        <w:rPr>
          <w:noProof/>
        </w:rPr>
        <w:drawing>
          <wp:inline distT="0" distB="0" distL="0" distR="0" wp14:anchorId="40A9D448" wp14:editId="0DDD9AD6">
            <wp:extent cx="2094311" cy="720012"/>
            <wp:effectExtent l="0" t="0" r="1270" b="4445"/>
            <wp:docPr id="1912461569" name="Picture 1" descr="NIMA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2461569" name="Picture 1" descr="NIMAC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33583" cy="733513"/>
                    </a:xfrm>
                    <a:prstGeom prst="rect">
                      <a:avLst/>
                    </a:prstGeom>
                    <a:noFill/>
                    <a:ln>
                      <a:noFill/>
                    </a:ln>
                  </pic:spPr>
                </pic:pic>
              </a:graphicData>
            </a:graphic>
          </wp:inline>
        </w:drawing>
      </w:r>
    </w:p>
    <w:p w14:paraId="5462F666" w14:textId="77777777" w:rsidR="000D59EB" w:rsidRDefault="000D59EB" w:rsidP="00E918D3">
      <w:pPr>
        <w:spacing w:after="0" w:line="240" w:lineRule="auto"/>
        <w:jc w:val="center"/>
        <w:rPr>
          <w:rFonts w:ascii="Calibri" w:hAnsi="Calibri" w:cs="Calibri"/>
          <w:color w:val="595959" w:themeColor="text1" w:themeTint="A6"/>
          <w:sz w:val="36"/>
          <w:szCs w:val="36"/>
        </w:rPr>
      </w:pPr>
    </w:p>
    <w:p w14:paraId="201DA64D" w14:textId="79577E43" w:rsidR="00C856D2" w:rsidRPr="00322BBB" w:rsidRDefault="00322BBB" w:rsidP="000D59EB">
      <w:pPr>
        <w:spacing w:after="0" w:line="240" w:lineRule="auto"/>
        <w:jc w:val="center"/>
        <w:rPr>
          <w:rFonts w:ascii="Calibri" w:hAnsi="Calibri" w:cs="Calibri"/>
          <w:color w:val="595959" w:themeColor="text1" w:themeTint="A6"/>
          <w:sz w:val="36"/>
          <w:szCs w:val="36"/>
        </w:rPr>
      </w:pPr>
      <w:r w:rsidRPr="00322BBB">
        <w:rPr>
          <w:rFonts w:ascii="Calibri" w:hAnsi="Calibri" w:cs="Calibri"/>
          <w:noProof/>
        </w:rPr>
        <w:drawing>
          <wp:anchor distT="0" distB="0" distL="114300" distR="114300" simplePos="0" relativeHeight="251661312" behindDoc="0" locked="1" layoutInCell="1" allowOverlap="0" wp14:anchorId="3F50CFCB" wp14:editId="549AC72A">
            <wp:simplePos x="0" y="0"/>
            <wp:positionH relativeFrom="margin">
              <wp:posOffset>0</wp:posOffset>
            </wp:positionH>
            <wp:positionV relativeFrom="margin">
              <wp:posOffset>7040245</wp:posOffset>
            </wp:positionV>
            <wp:extent cx="2587625" cy="703580"/>
            <wp:effectExtent l="0" t="0" r="3175" b="0"/>
            <wp:wrapSquare wrapText="bothSides"/>
            <wp:docPr id="1" name="Picture 1" descr="True North Evaluation log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rue North Evaluation logo. "/>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87625" cy="7035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EDD8901" w14:textId="77777777" w:rsidR="00322BBB" w:rsidRPr="00322BBB" w:rsidRDefault="00322BBB" w:rsidP="00322BBB">
      <w:pPr>
        <w:spacing w:after="0" w:line="240" w:lineRule="auto"/>
        <w:rPr>
          <w:rFonts w:ascii="Calibri" w:hAnsi="Calibri" w:cs="Calibri"/>
          <w:color w:val="595959" w:themeColor="text1" w:themeTint="A6"/>
          <w:sz w:val="36"/>
          <w:szCs w:val="36"/>
        </w:rPr>
      </w:pPr>
    </w:p>
    <w:p w14:paraId="4BA4476D" w14:textId="77777777" w:rsidR="00322BBB" w:rsidRPr="00322BBB" w:rsidRDefault="00322BBB" w:rsidP="00322BBB">
      <w:pPr>
        <w:spacing w:after="0" w:line="240" w:lineRule="auto"/>
        <w:rPr>
          <w:rFonts w:ascii="Calibri" w:hAnsi="Calibri" w:cs="Calibri"/>
          <w:color w:val="595959" w:themeColor="text1" w:themeTint="A6"/>
          <w:sz w:val="36"/>
          <w:szCs w:val="36"/>
        </w:rPr>
      </w:pPr>
    </w:p>
    <w:p w14:paraId="71D00D0F" w14:textId="77777777" w:rsidR="00322BBB" w:rsidRPr="00322BBB" w:rsidRDefault="00322BBB" w:rsidP="00322BBB">
      <w:pPr>
        <w:spacing w:after="0" w:line="240" w:lineRule="auto"/>
        <w:rPr>
          <w:rFonts w:ascii="Calibri" w:hAnsi="Calibri" w:cs="Calibri"/>
          <w:color w:val="595959" w:themeColor="text1" w:themeTint="A6"/>
          <w:sz w:val="36"/>
          <w:szCs w:val="36"/>
        </w:rPr>
      </w:pPr>
    </w:p>
    <w:p w14:paraId="5BF170EE" w14:textId="5BB51ED2" w:rsidR="00322BBB" w:rsidRPr="00322BBB" w:rsidRDefault="00322BBB" w:rsidP="00322BBB">
      <w:pPr>
        <w:spacing w:after="0" w:line="240" w:lineRule="auto"/>
        <w:rPr>
          <w:rFonts w:ascii="Calibri" w:hAnsi="Calibri" w:cs="Calibri"/>
          <w:color w:val="595959" w:themeColor="text1" w:themeTint="A6"/>
          <w:sz w:val="36"/>
          <w:szCs w:val="36"/>
        </w:rPr>
      </w:pPr>
      <w:r w:rsidRPr="00322BBB">
        <w:rPr>
          <w:rFonts w:ascii="Calibri" w:hAnsi="Calibri" w:cs="Calibri"/>
          <w:noProof/>
        </w:rPr>
        <mc:AlternateContent>
          <mc:Choice Requires="wps">
            <w:drawing>
              <wp:anchor distT="0" distB="0" distL="114300" distR="114300" simplePos="0" relativeHeight="251663360" behindDoc="0" locked="0" layoutInCell="1" allowOverlap="1" wp14:anchorId="39A07BEF" wp14:editId="7D774E23">
                <wp:simplePos x="0" y="0"/>
                <wp:positionH relativeFrom="margin">
                  <wp:posOffset>-101600</wp:posOffset>
                </wp:positionH>
                <wp:positionV relativeFrom="margin">
                  <wp:posOffset>5955665</wp:posOffset>
                </wp:positionV>
                <wp:extent cx="2971800" cy="664845"/>
                <wp:effectExtent l="0" t="0" r="0" b="1905"/>
                <wp:wrapSquare wrapText="bothSides"/>
                <wp:docPr id="1073741870" name="Text Box 1073741870"/>
                <wp:cNvGraphicFramePr/>
                <a:graphic xmlns:a="http://schemas.openxmlformats.org/drawingml/2006/main">
                  <a:graphicData uri="http://schemas.microsoft.com/office/word/2010/wordprocessingShape">
                    <wps:wsp>
                      <wps:cNvSpPr txBox="1"/>
                      <wps:spPr>
                        <a:xfrm>
                          <a:off x="0" y="0"/>
                          <a:ext cx="2971800" cy="664845"/>
                        </a:xfrm>
                        <a:prstGeom prst="rect">
                          <a:avLst/>
                        </a:prstGeom>
                        <a:solidFill>
                          <a:schemeClr val="lt1"/>
                        </a:solidFill>
                        <a:ln w="6350">
                          <a:noFill/>
                        </a:ln>
                      </wps:spPr>
                      <wps:txbx>
                        <w:txbxContent>
                          <w:p w14:paraId="7B78AD07" w14:textId="6D0E39C9" w:rsidR="00322BBB" w:rsidRPr="008E38C6" w:rsidRDefault="009F2DB4" w:rsidP="00322BBB">
                            <w:pPr>
                              <w:rPr>
                                <w:rFonts w:ascii="Calibri" w:hAnsi="Calibri" w:cs="Calibri"/>
                                <w:color w:val="1B4466"/>
                                <w:sz w:val="52"/>
                                <w:szCs w:val="52"/>
                              </w:rPr>
                            </w:pPr>
                            <w:r>
                              <w:rPr>
                                <w:rFonts w:ascii="Calibri" w:hAnsi="Calibri" w:cs="Calibri"/>
                                <w:color w:val="1B4466"/>
                                <w:sz w:val="52"/>
                                <w:szCs w:val="52"/>
                              </w:rPr>
                              <w:t>January</w:t>
                            </w:r>
                            <w:r w:rsidR="00322BBB" w:rsidRPr="008E38C6">
                              <w:rPr>
                                <w:rFonts w:ascii="Calibri" w:hAnsi="Calibri" w:cs="Calibri"/>
                                <w:color w:val="1B4466"/>
                                <w:sz w:val="52"/>
                                <w:szCs w:val="52"/>
                              </w:rPr>
                              <w:t xml:space="preserve"> </w:t>
                            </w:r>
                            <w:r>
                              <w:rPr>
                                <w:rFonts w:ascii="Calibri" w:hAnsi="Calibri" w:cs="Calibri"/>
                                <w:color w:val="1B4466"/>
                                <w:sz w:val="52"/>
                                <w:szCs w:val="52"/>
                              </w:rPr>
                              <w:t>3</w:t>
                            </w:r>
                            <w:r w:rsidR="00322BBB" w:rsidRPr="008E38C6">
                              <w:rPr>
                                <w:rFonts w:ascii="Calibri" w:hAnsi="Calibri" w:cs="Calibri"/>
                                <w:color w:val="1B4466"/>
                                <w:sz w:val="52"/>
                                <w:szCs w:val="52"/>
                              </w:rPr>
                              <w:t>1, 202</w:t>
                            </w:r>
                            <w:r>
                              <w:rPr>
                                <w:rFonts w:ascii="Calibri" w:hAnsi="Calibri" w:cs="Calibri"/>
                                <w:color w:val="1B4466"/>
                                <w:sz w:val="52"/>
                                <w:szCs w:val="52"/>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9A07BEF" id="_x0000_t202" coordsize="21600,21600" o:spt="202" path="m,l,21600r21600,l21600,xe">
                <v:stroke joinstyle="miter"/>
                <v:path gradientshapeok="t" o:connecttype="rect"/>
              </v:shapetype>
              <v:shape id="Text Box 1073741870" o:spid="_x0000_s1026" type="#_x0000_t202" style="position:absolute;margin-left:-8pt;margin-top:468.95pt;width:234pt;height:52.3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" fillcolor="white [3201]" stroked="f" strokeweight=".5pt">
                <v:textbox>
                  <w:txbxContent>
                    <w:p w14:paraId="7B78AD07" w14:textId="6D0E39C9" w:rsidR="00322BBB" w:rsidRPr="008E38C6" w:rsidRDefault="009F2DB4" w:rsidP="00322BBB">
                      <w:pPr>
                        <w:rPr>
                          <w:rFonts w:ascii="Calibri" w:hAnsi="Calibri" w:cs="Calibri"/>
                          <w:color w:val="1B4466"/>
                          <w:sz w:val="52"/>
                          <w:szCs w:val="52"/>
                        </w:rPr>
                      </w:pPr>
                      <w:r>
                        <w:rPr>
                          <w:rFonts w:ascii="Calibri" w:hAnsi="Calibri" w:cs="Calibri"/>
                          <w:color w:val="1B4466"/>
                          <w:sz w:val="52"/>
                          <w:szCs w:val="52"/>
                        </w:rPr>
                        <w:t>January</w:t>
                      </w:r>
                      <w:r w:rsidR="00322BBB" w:rsidRPr="008E38C6">
                        <w:rPr>
                          <w:rFonts w:ascii="Calibri" w:hAnsi="Calibri" w:cs="Calibri"/>
                          <w:color w:val="1B4466"/>
                          <w:sz w:val="52"/>
                          <w:szCs w:val="52"/>
                        </w:rPr>
                        <w:t xml:space="preserve"> </w:t>
                      </w:r>
                      <w:r>
                        <w:rPr>
                          <w:rFonts w:ascii="Calibri" w:hAnsi="Calibri" w:cs="Calibri"/>
                          <w:color w:val="1B4466"/>
                          <w:sz w:val="52"/>
                          <w:szCs w:val="52"/>
                        </w:rPr>
                        <w:t>3</w:t>
                      </w:r>
                      <w:r w:rsidR="00322BBB" w:rsidRPr="008E38C6">
                        <w:rPr>
                          <w:rFonts w:ascii="Calibri" w:hAnsi="Calibri" w:cs="Calibri"/>
                          <w:color w:val="1B4466"/>
                          <w:sz w:val="52"/>
                          <w:szCs w:val="52"/>
                        </w:rPr>
                        <w:t>1, 202</w:t>
                      </w:r>
                      <w:r>
                        <w:rPr>
                          <w:rFonts w:ascii="Calibri" w:hAnsi="Calibri" w:cs="Calibri"/>
                          <w:color w:val="1B4466"/>
                          <w:sz w:val="52"/>
                          <w:szCs w:val="52"/>
                        </w:rPr>
                        <w:t>6</w:t>
                      </w:r>
                    </w:p>
                  </w:txbxContent>
                </v:textbox>
                <w10:wrap type="square" anchorx="margin" anchory="margin"/>
              </v:shape>
            </w:pict>
          </mc:Fallback>
        </mc:AlternateContent>
      </w:r>
    </w:p>
    <w:p w14:paraId="3303B7F1" w14:textId="2B86569A" w:rsidR="00322BBB" w:rsidRPr="007B337F" w:rsidRDefault="00322BBB" w:rsidP="00322BBB">
      <w:pPr>
        <w:spacing w:after="0" w:line="240" w:lineRule="auto"/>
        <w:rPr>
          <w:rFonts w:ascii="Times New Roman" w:hAnsi="Times New Roman" w:cs="Times New Roman"/>
          <w:color w:val="595959" w:themeColor="text1" w:themeTint="A6"/>
          <w:sz w:val="36"/>
          <w:szCs w:val="36"/>
        </w:rPr>
      </w:pPr>
    </w:p>
    <w:p w14:paraId="0CB9A091" w14:textId="5200E9C7" w:rsidR="00972494" w:rsidRPr="00322BBB" w:rsidRDefault="00322BBB" w:rsidP="00933882">
      <w:pPr>
        <w:pStyle w:val="TOCHeading"/>
        <w:rPr>
          <w:rStyle w:val="Strong"/>
          <w:rFonts w:ascii="Calibri" w:hAnsi="Calibri"/>
        </w:rPr>
      </w:pPr>
      <w:r>
        <w:rPr>
          <w:rFonts w:ascii="Arial Black"/>
          <w:noProof/>
          <w:sz w:val="64"/>
          <w:szCs w:val="64"/>
        </w:rPr>
        <w:drawing>
          <wp:anchor distT="0" distB="0" distL="114300" distR="114300" simplePos="0" relativeHeight="251659264" behindDoc="0" locked="0" layoutInCell="1" allowOverlap="1" wp14:anchorId="4DFAF087" wp14:editId="76B48111">
            <wp:simplePos x="0" y="0"/>
            <wp:positionH relativeFrom="margin">
              <wp:posOffset>2870200</wp:posOffset>
            </wp:positionH>
            <wp:positionV relativeFrom="margin">
              <wp:posOffset>4987925</wp:posOffset>
            </wp:positionV>
            <wp:extent cx="5417820" cy="5417820"/>
            <wp:effectExtent l="0" t="0" r="0" b="0"/>
            <wp:wrapSquare wrapText="bothSides"/>
            <wp:docPr id="45" name="Picture 4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a:extLst>
                        <a:ext uri="{C183D7F6-B498-43B3-948B-1728B52AA6E4}">
                          <adec:decorative xmlns:adec="http://schemas.microsoft.com/office/drawing/2017/decorative" val="1"/>
                        </a:ext>
                      </a:extLst>
                    </pic:cNvPr>
                    <pic:cNvPicPr/>
                  </pic:nvPicPr>
                  <pic:blipFill>
                    <a:blip r:embed="rId10">
                      <a:alphaModFix amt="50000"/>
                    </a:blip>
                    <a:stretch>
                      <a:fillRect/>
                    </a:stretch>
                  </pic:blipFill>
                  <pic:spPr>
                    <a:xfrm>
                      <a:off x="0" y="0"/>
                      <a:ext cx="5417820" cy="5417820"/>
                    </a:xfrm>
                    <a:prstGeom prst="rect">
                      <a:avLst/>
                    </a:prstGeom>
                  </pic:spPr>
                </pic:pic>
              </a:graphicData>
            </a:graphic>
            <wp14:sizeRelH relativeFrom="margin">
              <wp14:pctWidth>0</wp14:pctWidth>
            </wp14:sizeRelH>
            <wp14:sizeRelV relativeFrom="margin">
              <wp14:pctHeight>0</wp14:pctHeight>
            </wp14:sizeRelV>
          </wp:anchor>
        </w:drawing>
      </w:r>
      <w:r w:rsidR="00E918D3" w:rsidRPr="007B337F">
        <w:rPr>
          <w:rFonts w:ascii="Times New Roman" w:hAnsi="Times New Roman" w:cs="Times New Roman"/>
        </w:rPr>
        <w:br w:type="page"/>
      </w:r>
      <w:r w:rsidR="00E918D3" w:rsidRPr="00322BBB">
        <w:rPr>
          <w:rStyle w:val="Strong"/>
          <w:rFonts w:ascii="Calibri" w:hAnsi="Calibri"/>
          <w:color w:val="1B4466"/>
        </w:rPr>
        <w:lastRenderedPageBreak/>
        <w:t>Table of Contents</w:t>
      </w:r>
    </w:p>
    <w:sdt>
      <w:sdtPr>
        <w:id w:val="2090739381"/>
        <w:docPartObj>
          <w:docPartGallery w:val="Table of Contents"/>
          <w:docPartUnique/>
        </w:docPartObj>
      </w:sdtPr>
      <w:sdtEndPr>
        <w:rPr>
          <w:rFonts w:ascii="Times New Roman" w:hAnsi="Times New Roman" w:cs="Times New Roman"/>
          <w:b/>
          <w:bCs/>
          <w:noProof/>
        </w:rPr>
      </w:sdtEndPr>
      <w:sdtContent>
        <w:p w14:paraId="1C8F04A3" w14:textId="2EB91078" w:rsidR="00370E65" w:rsidRDefault="00370E65" w:rsidP="00972494">
          <w:pPr>
            <w:jc w:val="center"/>
          </w:pPr>
        </w:p>
        <w:p w14:paraId="060EDE6B" w14:textId="77777777" w:rsidR="006F7119" w:rsidRDefault="00B55C67">
          <w:pPr>
            <w:pStyle w:val="TOC2"/>
            <w:tabs>
              <w:tab w:val="right" w:leader="dot" w:pos="9350"/>
            </w:tabs>
            <w:rPr>
              <w:noProof/>
            </w:rPr>
          </w:pPr>
          <w:r w:rsidRPr="00B55C67">
            <w:rPr>
              <w:rFonts w:ascii="ZWAdobeF" w:hAnsi="ZWAdobeF" w:cs="ZWAdobeF"/>
              <w:b w:val="0"/>
              <w:noProof/>
              <w:sz w:val="2"/>
              <w:szCs w:val="2"/>
            </w:rPr>
            <w:t>631B</w:t>
          </w:r>
          <w:r w:rsidR="00EB03E7">
            <w:rPr>
              <w:rFonts w:ascii="Times New Roman" w:hAnsi="Times New Roman" w:cs="Times New Roman"/>
              <w:noProof/>
            </w:rPr>
            <w:fldChar w:fldCharType="begin"/>
          </w:r>
          <w:r w:rsidR="00EB03E7">
            <w:rPr>
              <w:rFonts w:ascii="Times New Roman" w:hAnsi="Times New Roman" w:cs="Times New Roman"/>
              <w:noProof/>
            </w:rPr>
            <w:instrText xml:space="preserve"> TOC \o "2-4" \h \z \u </w:instrText>
          </w:r>
          <w:r w:rsidR="00EB03E7">
            <w:rPr>
              <w:rFonts w:ascii="Times New Roman" w:hAnsi="Times New Roman" w:cs="Times New Roman"/>
              <w:noProof/>
            </w:rPr>
            <w:fldChar w:fldCharType="separate"/>
          </w:r>
        </w:p>
        <w:p w14:paraId="15065D74" w14:textId="5D5EEA73" w:rsidR="006F7119" w:rsidRDefault="006F7119">
          <w:pPr>
            <w:pStyle w:val="TOC2"/>
            <w:tabs>
              <w:tab w:val="right" w:leader="dot" w:pos="9350"/>
            </w:tabs>
            <w:rPr>
              <w:rFonts w:eastAsiaTheme="minorEastAsia"/>
              <w:b w:val="0"/>
              <w:noProof/>
              <w:kern w:val="2"/>
              <w:sz w:val="24"/>
              <w:szCs w:val="24"/>
              <w14:ligatures w14:val="standardContextual"/>
            </w:rPr>
          </w:pPr>
          <w:hyperlink w:anchor="_Toc222903973" w:history="1">
            <w:r w:rsidRPr="009F21D0">
              <w:rPr>
                <w:rStyle w:val="Hyperlink"/>
                <w:noProof/>
              </w:rPr>
              <w:t>Executive Summary</w:t>
            </w:r>
            <w:r>
              <w:rPr>
                <w:noProof/>
                <w:webHidden/>
              </w:rPr>
              <w:tab/>
            </w:r>
            <w:r>
              <w:rPr>
                <w:noProof/>
                <w:webHidden/>
              </w:rPr>
              <w:fldChar w:fldCharType="begin"/>
            </w:r>
            <w:r>
              <w:rPr>
                <w:noProof/>
                <w:webHidden/>
              </w:rPr>
              <w:instrText xml:space="preserve"> PAGEREF _Toc222903973 \h </w:instrText>
            </w:r>
            <w:r>
              <w:rPr>
                <w:noProof/>
                <w:webHidden/>
              </w:rPr>
            </w:r>
            <w:r>
              <w:rPr>
                <w:noProof/>
                <w:webHidden/>
              </w:rPr>
              <w:fldChar w:fldCharType="separate"/>
            </w:r>
            <w:r>
              <w:rPr>
                <w:noProof/>
                <w:webHidden/>
              </w:rPr>
              <w:t>4</w:t>
            </w:r>
            <w:r>
              <w:rPr>
                <w:noProof/>
                <w:webHidden/>
              </w:rPr>
              <w:fldChar w:fldCharType="end"/>
            </w:r>
          </w:hyperlink>
        </w:p>
        <w:p w14:paraId="303BDE6E" w14:textId="647D99CF" w:rsidR="006F7119" w:rsidRDefault="006F7119">
          <w:pPr>
            <w:pStyle w:val="TOC2"/>
            <w:tabs>
              <w:tab w:val="right" w:leader="dot" w:pos="9350"/>
            </w:tabs>
            <w:rPr>
              <w:rFonts w:eastAsiaTheme="minorEastAsia"/>
              <w:b w:val="0"/>
              <w:noProof/>
              <w:kern w:val="2"/>
              <w:sz w:val="24"/>
              <w:szCs w:val="24"/>
              <w14:ligatures w14:val="standardContextual"/>
            </w:rPr>
          </w:pPr>
          <w:hyperlink w:anchor="_Toc222903974" w:history="1">
            <w:r w:rsidRPr="009F21D0">
              <w:rPr>
                <w:rStyle w:val="Hyperlink"/>
                <w:noProof/>
              </w:rPr>
              <w:t>Introduction</w:t>
            </w:r>
            <w:r>
              <w:rPr>
                <w:noProof/>
                <w:webHidden/>
              </w:rPr>
              <w:tab/>
            </w:r>
            <w:r>
              <w:rPr>
                <w:noProof/>
                <w:webHidden/>
              </w:rPr>
              <w:fldChar w:fldCharType="begin"/>
            </w:r>
            <w:r>
              <w:rPr>
                <w:noProof/>
                <w:webHidden/>
              </w:rPr>
              <w:instrText xml:space="preserve"> PAGEREF _Toc222903974 \h </w:instrText>
            </w:r>
            <w:r>
              <w:rPr>
                <w:noProof/>
                <w:webHidden/>
              </w:rPr>
            </w:r>
            <w:r>
              <w:rPr>
                <w:noProof/>
                <w:webHidden/>
              </w:rPr>
              <w:fldChar w:fldCharType="separate"/>
            </w:r>
            <w:r>
              <w:rPr>
                <w:noProof/>
                <w:webHidden/>
              </w:rPr>
              <w:t>9</w:t>
            </w:r>
            <w:r>
              <w:rPr>
                <w:noProof/>
                <w:webHidden/>
              </w:rPr>
              <w:fldChar w:fldCharType="end"/>
            </w:r>
          </w:hyperlink>
        </w:p>
        <w:p w14:paraId="03D0F566" w14:textId="491CC217" w:rsidR="006F7119" w:rsidRDefault="006F7119">
          <w:pPr>
            <w:pStyle w:val="TOC3"/>
            <w:tabs>
              <w:tab w:val="right" w:leader="dot" w:pos="9350"/>
            </w:tabs>
            <w:rPr>
              <w:rFonts w:eastAsiaTheme="minorEastAsia"/>
              <w:noProof/>
              <w:kern w:val="2"/>
              <w:sz w:val="24"/>
              <w:szCs w:val="24"/>
              <w14:ligatures w14:val="standardContextual"/>
            </w:rPr>
          </w:pPr>
          <w:hyperlink w:anchor="_Toc222903975" w:history="1">
            <w:r w:rsidRPr="009F21D0">
              <w:rPr>
                <w:rStyle w:val="Hyperlink"/>
                <w:noProof/>
              </w:rPr>
              <w:t>Description of Case Study Project</w:t>
            </w:r>
            <w:r>
              <w:rPr>
                <w:noProof/>
                <w:webHidden/>
              </w:rPr>
              <w:tab/>
            </w:r>
            <w:r>
              <w:rPr>
                <w:noProof/>
                <w:webHidden/>
              </w:rPr>
              <w:fldChar w:fldCharType="begin"/>
            </w:r>
            <w:r>
              <w:rPr>
                <w:noProof/>
                <w:webHidden/>
              </w:rPr>
              <w:instrText xml:space="preserve"> PAGEREF _Toc222903975 \h </w:instrText>
            </w:r>
            <w:r>
              <w:rPr>
                <w:noProof/>
                <w:webHidden/>
              </w:rPr>
            </w:r>
            <w:r>
              <w:rPr>
                <w:noProof/>
                <w:webHidden/>
              </w:rPr>
              <w:fldChar w:fldCharType="separate"/>
            </w:r>
            <w:r>
              <w:rPr>
                <w:noProof/>
                <w:webHidden/>
              </w:rPr>
              <w:t>9</w:t>
            </w:r>
            <w:r>
              <w:rPr>
                <w:noProof/>
                <w:webHidden/>
              </w:rPr>
              <w:fldChar w:fldCharType="end"/>
            </w:r>
          </w:hyperlink>
        </w:p>
        <w:p w14:paraId="0262F435" w14:textId="3EAB6017" w:rsidR="006F7119" w:rsidRDefault="006F7119">
          <w:pPr>
            <w:pStyle w:val="TOC3"/>
            <w:tabs>
              <w:tab w:val="right" w:leader="dot" w:pos="9350"/>
            </w:tabs>
            <w:rPr>
              <w:rFonts w:eastAsiaTheme="minorEastAsia"/>
              <w:noProof/>
              <w:kern w:val="2"/>
              <w:sz w:val="24"/>
              <w:szCs w:val="24"/>
              <w14:ligatures w14:val="standardContextual"/>
            </w:rPr>
          </w:pPr>
          <w:hyperlink w:anchor="_Toc222903976" w:history="1">
            <w:r w:rsidRPr="009F21D0">
              <w:rPr>
                <w:rStyle w:val="Hyperlink"/>
                <w:noProof/>
              </w:rPr>
              <w:t>Case Study Questions</w:t>
            </w:r>
            <w:r>
              <w:rPr>
                <w:noProof/>
                <w:webHidden/>
              </w:rPr>
              <w:tab/>
            </w:r>
            <w:r>
              <w:rPr>
                <w:noProof/>
                <w:webHidden/>
              </w:rPr>
              <w:fldChar w:fldCharType="begin"/>
            </w:r>
            <w:r>
              <w:rPr>
                <w:noProof/>
                <w:webHidden/>
              </w:rPr>
              <w:instrText xml:space="preserve"> PAGEREF _Toc222903976 \h </w:instrText>
            </w:r>
            <w:r>
              <w:rPr>
                <w:noProof/>
                <w:webHidden/>
              </w:rPr>
            </w:r>
            <w:r>
              <w:rPr>
                <w:noProof/>
                <w:webHidden/>
              </w:rPr>
              <w:fldChar w:fldCharType="separate"/>
            </w:r>
            <w:r>
              <w:rPr>
                <w:noProof/>
                <w:webHidden/>
              </w:rPr>
              <w:t>12</w:t>
            </w:r>
            <w:r>
              <w:rPr>
                <w:noProof/>
                <w:webHidden/>
              </w:rPr>
              <w:fldChar w:fldCharType="end"/>
            </w:r>
          </w:hyperlink>
        </w:p>
        <w:p w14:paraId="293F3C2E" w14:textId="37543937" w:rsidR="006F7119" w:rsidRDefault="006F7119">
          <w:pPr>
            <w:pStyle w:val="TOC3"/>
            <w:tabs>
              <w:tab w:val="right" w:leader="dot" w:pos="9350"/>
            </w:tabs>
            <w:rPr>
              <w:rFonts w:eastAsiaTheme="minorEastAsia"/>
              <w:noProof/>
              <w:kern w:val="2"/>
              <w:sz w:val="24"/>
              <w:szCs w:val="24"/>
              <w14:ligatures w14:val="standardContextual"/>
            </w:rPr>
          </w:pPr>
          <w:hyperlink w:anchor="_Toc222903977" w:history="1">
            <w:r w:rsidRPr="009F21D0">
              <w:rPr>
                <w:rStyle w:val="Hyperlink"/>
                <w:noProof/>
              </w:rPr>
              <w:t>Methodology</w:t>
            </w:r>
            <w:r>
              <w:rPr>
                <w:noProof/>
                <w:webHidden/>
              </w:rPr>
              <w:tab/>
            </w:r>
            <w:r>
              <w:rPr>
                <w:noProof/>
                <w:webHidden/>
              </w:rPr>
              <w:fldChar w:fldCharType="begin"/>
            </w:r>
            <w:r>
              <w:rPr>
                <w:noProof/>
                <w:webHidden/>
              </w:rPr>
              <w:instrText xml:space="preserve"> PAGEREF _Toc222903977 \h </w:instrText>
            </w:r>
            <w:r>
              <w:rPr>
                <w:noProof/>
                <w:webHidden/>
              </w:rPr>
            </w:r>
            <w:r>
              <w:rPr>
                <w:noProof/>
                <w:webHidden/>
              </w:rPr>
              <w:fldChar w:fldCharType="separate"/>
            </w:r>
            <w:r>
              <w:rPr>
                <w:noProof/>
                <w:webHidden/>
              </w:rPr>
              <w:t>12</w:t>
            </w:r>
            <w:r>
              <w:rPr>
                <w:noProof/>
                <w:webHidden/>
              </w:rPr>
              <w:fldChar w:fldCharType="end"/>
            </w:r>
          </w:hyperlink>
        </w:p>
        <w:p w14:paraId="79F48544" w14:textId="36B245C7" w:rsidR="006F7119" w:rsidRDefault="006F7119">
          <w:pPr>
            <w:pStyle w:val="TOC2"/>
            <w:tabs>
              <w:tab w:val="right" w:leader="dot" w:pos="9350"/>
            </w:tabs>
            <w:rPr>
              <w:rFonts w:eastAsiaTheme="minorEastAsia"/>
              <w:b w:val="0"/>
              <w:noProof/>
              <w:kern w:val="2"/>
              <w:sz w:val="24"/>
              <w:szCs w:val="24"/>
              <w14:ligatures w14:val="standardContextual"/>
            </w:rPr>
          </w:pPr>
          <w:hyperlink w:anchor="_Toc222903978" w:history="1">
            <w:r w:rsidRPr="009F21D0">
              <w:rPr>
                <w:rStyle w:val="Hyperlink"/>
                <w:noProof/>
              </w:rPr>
              <w:t>Case Study Findings</w:t>
            </w:r>
            <w:r>
              <w:rPr>
                <w:noProof/>
                <w:webHidden/>
              </w:rPr>
              <w:tab/>
            </w:r>
            <w:r>
              <w:rPr>
                <w:noProof/>
                <w:webHidden/>
              </w:rPr>
              <w:fldChar w:fldCharType="begin"/>
            </w:r>
            <w:r>
              <w:rPr>
                <w:noProof/>
                <w:webHidden/>
              </w:rPr>
              <w:instrText xml:space="preserve"> PAGEREF _Toc222903978 \h </w:instrText>
            </w:r>
            <w:r>
              <w:rPr>
                <w:noProof/>
                <w:webHidden/>
              </w:rPr>
            </w:r>
            <w:r>
              <w:rPr>
                <w:noProof/>
                <w:webHidden/>
              </w:rPr>
              <w:fldChar w:fldCharType="separate"/>
            </w:r>
            <w:r>
              <w:rPr>
                <w:noProof/>
                <w:webHidden/>
              </w:rPr>
              <w:t>15</w:t>
            </w:r>
            <w:r>
              <w:rPr>
                <w:noProof/>
                <w:webHidden/>
              </w:rPr>
              <w:fldChar w:fldCharType="end"/>
            </w:r>
          </w:hyperlink>
        </w:p>
        <w:p w14:paraId="34A98504" w14:textId="55A539D2" w:rsidR="006F7119" w:rsidRDefault="006F7119">
          <w:pPr>
            <w:pStyle w:val="TOC3"/>
            <w:tabs>
              <w:tab w:val="right" w:leader="dot" w:pos="9350"/>
            </w:tabs>
            <w:rPr>
              <w:rFonts w:eastAsiaTheme="minorEastAsia"/>
              <w:noProof/>
              <w:kern w:val="2"/>
              <w:sz w:val="24"/>
              <w:szCs w:val="24"/>
              <w14:ligatures w14:val="standardContextual"/>
            </w:rPr>
          </w:pPr>
          <w:hyperlink w:anchor="_Toc222903979" w:history="1">
            <w:r w:rsidRPr="009F21D0">
              <w:rPr>
                <w:rStyle w:val="Hyperlink"/>
                <w:noProof/>
              </w:rPr>
              <w:t>Summary of Interviews</w:t>
            </w:r>
            <w:r>
              <w:rPr>
                <w:noProof/>
                <w:webHidden/>
              </w:rPr>
              <w:tab/>
            </w:r>
            <w:r>
              <w:rPr>
                <w:noProof/>
                <w:webHidden/>
              </w:rPr>
              <w:fldChar w:fldCharType="begin"/>
            </w:r>
            <w:r>
              <w:rPr>
                <w:noProof/>
                <w:webHidden/>
              </w:rPr>
              <w:instrText xml:space="preserve"> PAGEREF _Toc222903979 \h </w:instrText>
            </w:r>
            <w:r>
              <w:rPr>
                <w:noProof/>
                <w:webHidden/>
              </w:rPr>
            </w:r>
            <w:r>
              <w:rPr>
                <w:noProof/>
                <w:webHidden/>
              </w:rPr>
              <w:fldChar w:fldCharType="separate"/>
            </w:r>
            <w:r>
              <w:rPr>
                <w:noProof/>
                <w:webHidden/>
              </w:rPr>
              <w:t>15</w:t>
            </w:r>
            <w:r>
              <w:rPr>
                <w:noProof/>
                <w:webHidden/>
              </w:rPr>
              <w:fldChar w:fldCharType="end"/>
            </w:r>
          </w:hyperlink>
        </w:p>
        <w:p w14:paraId="6660BDB2" w14:textId="5068402D" w:rsidR="006F7119" w:rsidRDefault="006F7119">
          <w:pPr>
            <w:pStyle w:val="TOC4"/>
            <w:tabs>
              <w:tab w:val="right" w:leader="dot" w:pos="9350"/>
            </w:tabs>
            <w:rPr>
              <w:rFonts w:eastAsiaTheme="minorEastAsia"/>
              <w:noProof/>
              <w:kern w:val="2"/>
              <w:sz w:val="24"/>
              <w:szCs w:val="24"/>
              <w14:ligatures w14:val="standardContextual"/>
            </w:rPr>
          </w:pPr>
          <w:hyperlink w:anchor="_Toc222903980" w:history="1">
            <w:r w:rsidRPr="009F21D0">
              <w:rPr>
                <w:rStyle w:val="Hyperlink"/>
                <w:noProof/>
              </w:rPr>
              <w:t>Table 1. Summary of Case Study Interviews</w:t>
            </w:r>
            <w:r>
              <w:rPr>
                <w:noProof/>
                <w:webHidden/>
              </w:rPr>
              <w:tab/>
            </w:r>
            <w:r>
              <w:rPr>
                <w:noProof/>
                <w:webHidden/>
              </w:rPr>
              <w:fldChar w:fldCharType="begin"/>
            </w:r>
            <w:r>
              <w:rPr>
                <w:noProof/>
                <w:webHidden/>
              </w:rPr>
              <w:instrText xml:space="preserve"> PAGEREF _Toc222903980 \h </w:instrText>
            </w:r>
            <w:r>
              <w:rPr>
                <w:noProof/>
                <w:webHidden/>
              </w:rPr>
            </w:r>
            <w:r>
              <w:rPr>
                <w:noProof/>
                <w:webHidden/>
              </w:rPr>
              <w:fldChar w:fldCharType="separate"/>
            </w:r>
            <w:r>
              <w:rPr>
                <w:noProof/>
                <w:webHidden/>
              </w:rPr>
              <w:t>15</w:t>
            </w:r>
            <w:r>
              <w:rPr>
                <w:noProof/>
                <w:webHidden/>
              </w:rPr>
              <w:fldChar w:fldCharType="end"/>
            </w:r>
          </w:hyperlink>
        </w:p>
        <w:p w14:paraId="285A4E4D" w14:textId="329D3DF5" w:rsidR="006F7119" w:rsidRDefault="006F7119">
          <w:pPr>
            <w:pStyle w:val="TOC3"/>
            <w:tabs>
              <w:tab w:val="right" w:leader="dot" w:pos="9350"/>
            </w:tabs>
            <w:rPr>
              <w:rFonts w:eastAsiaTheme="minorEastAsia"/>
              <w:noProof/>
              <w:kern w:val="2"/>
              <w:sz w:val="24"/>
              <w:szCs w:val="24"/>
              <w14:ligatures w14:val="standardContextual"/>
            </w:rPr>
          </w:pPr>
          <w:hyperlink w:anchor="_Toc222903981" w:history="1">
            <w:r w:rsidRPr="009F21D0">
              <w:rPr>
                <w:rStyle w:val="Hyperlink"/>
                <w:noProof/>
              </w:rPr>
              <w:t>Survey Response Data</w:t>
            </w:r>
            <w:r>
              <w:rPr>
                <w:noProof/>
                <w:webHidden/>
              </w:rPr>
              <w:tab/>
            </w:r>
            <w:r>
              <w:rPr>
                <w:noProof/>
                <w:webHidden/>
              </w:rPr>
              <w:fldChar w:fldCharType="begin"/>
            </w:r>
            <w:r>
              <w:rPr>
                <w:noProof/>
                <w:webHidden/>
              </w:rPr>
              <w:instrText xml:space="preserve"> PAGEREF _Toc222903981 \h </w:instrText>
            </w:r>
            <w:r>
              <w:rPr>
                <w:noProof/>
                <w:webHidden/>
              </w:rPr>
            </w:r>
            <w:r>
              <w:rPr>
                <w:noProof/>
                <w:webHidden/>
              </w:rPr>
              <w:fldChar w:fldCharType="separate"/>
            </w:r>
            <w:r>
              <w:rPr>
                <w:noProof/>
                <w:webHidden/>
              </w:rPr>
              <w:t>15</w:t>
            </w:r>
            <w:r>
              <w:rPr>
                <w:noProof/>
                <w:webHidden/>
              </w:rPr>
              <w:fldChar w:fldCharType="end"/>
            </w:r>
          </w:hyperlink>
        </w:p>
        <w:p w14:paraId="2B7AA462" w14:textId="2A521014" w:rsidR="006F7119" w:rsidRDefault="006F7119">
          <w:pPr>
            <w:pStyle w:val="TOC4"/>
            <w:tabs>
              <w:tab w:val="right" w:leader="dot" w:pos="9350"/>
            </w:tabs>
            <w:rPr>
              <w:rFonts w:eastAsiaTheme="minorEastAsia"/>
              <w:noProof/>
              <w:kern w:val="2"/>
              <w:sz w:val="24"/>
              <w:szCs w:val="24"/>
              <w14:ligatures w14:val="standardContextual"/>
            </w:rPr>
          </w:pPr>
          <w:hyperlink w:anchor="_Toc222903982" w:history="1">
            <w:r w:rsidRPr="009F21D0">
              <w:rPr>
                <w:rStyle w:val="Hyperlink"/>
                <w:noProof/>
              </w:rPr>
              <w:t>Table 2. Respondent Information by Survey</w:t>
            </w:r>
            <w:r>
              <w:rPr>
                <w:noProof/>
                <w:webHidden/>
              </w:rPr>
              <w:tab/>
            </w:r>
            <w:r>
              <w:rPr>
                <w:noProof/>
                <w:webHidden/>
              </w:rPr>
              <w:fldChar w:fldCharType="begin"/>
            </w:r>
            <w:r>
              <w:rPr>
                <w:noProof/>
                <w:webHidden/>
              </w:rPr>
              <w:instrText xml:space="preserve"> PAGEREF _Toc222903982 \h </w:instrText>
            </w:r>
            <w:r>
              <w:rPr>
                <w:noProof/>
                <w:webHidden/>
              </w:rPr>
            </w:r>
            <w:r>
              <w:rPr>
                <w:noProof/>
                <w:webHidden/>
              </w:rPr>
              <w:fldChar w:fldCharType="separate"/>
            </w:r>
            <w:r>
              <w:rPr>
                <w:noProof/>
                <w:webHidden/>
              </w:rPr>
              <w:t>16</w:t>
            </w:r>
            <w:r>
              <w:rPr>
                <w:noProof/>
                <w:webHidden/>
              </w:rPr>
              <w:fldChar w:fldCharType="end"/>
            </w:r>
          </w:hyperlink>
        </w:p>
        <w:p w14:paraId="1B011739" w14:textId="08479981" w:rsidR="006F7119" w:rsidRDefault="006F7119">
          <w:pPr>
            <w:pStyle w:val="TOC4"/>
            <w:tabs>
              <w:tab w:val="right" w:leader="dot" w:pos="9350"/>
            </w:tabs>
            <w:rPr>
              <w:rFonts w:eastAsiaTheme="minorEastAsia"/>
              <w:noProof/>
              <w:kern w:val="2"/>
              <w:sz w:val="24"/>
              <w:szCs w:val="24"/>
              <w14:ligatures w14:val="standardContextual"/>
            </w:rPr>
          </w:pPr>
          <w:hyperlink w:anchor="_Toc222903983" w:history="1">
            <w:r w:rsidRPr="009F21D0">
              <w:rPr>
                <w:rStyle w:val="Hyperlink"/>
                <w:noProof/>
              </w:rPr>
              <w:t>Figure 1. Survey Respondents by Role</w:t>
            </w:r>
            <w:r w:rsidRPr="009F21D0">
              <w:rPr>
                <w:rStyle w:val="Hyperlink"/>
                <w:rFonts w:ascii="ZWAdobeF" w:hAnsi="ZWAdobeF" w:cs="ZWAdobeF"/>
                <w:noProof/>
              </w:rPr>
              <w:t>10F</w:t>
            </w:r>
            <w:r>
              <w:rPr>
                <w:noProof/>
                <w:webHidden/>
              </w:rPr>
              <w:tab/>
            </w:r>
            <w:r>
              <w:rPr>
                <w:noProof/>
                <w:webHidden/>
              </w:rPr>
              <w:fldChar w:fldCharType="begin"/>
            </w:r>
            <w:r>
              <w:rPr>
                <w:noProof/>
                <w:webHidden/>
              </w:rPr>
              <w:instrText xml:space="preserve"> PAGEREF _Toc222903983 \h </w:instrText>
            </w:r>
            <w:r>
              <w:rPr>
                <w:noProof/>
                <w:webHidden/>
              </w:rPr>
            </w:r>
            <w:r>
              <w:rPr>
                <w:noProof/>
                <w:webHidden/>
              </w:rPr>
              <w:fldChar w:fldCharType="separate"/>
            </w:r>
            <w:r>
              <w:rPr>
                <w:noProof/>
                <w:webHidden/>
              </w:rPr>
              <w:t>17</w:t>
            </w:r>
            <w:r>
              <w:rPr>
                <w:noProof/>
                <w:webHidden/>
              </w:rPr>
              <w:fldChar w:fldCharType="end"/>
            </w:r>
          </w:hyperlink>
        </w:p>
        <w:p w14:paraId="13E4B476" w14:textId="3AB9DD09" w:rsidR="006F7119" w:rsidRDefault="006F7119">
          <w:pPr>
            <w:pStyle w:val="TOC3"/>
            <w:tabs>
              <w:tab w:val="right" w:leader="dot" w:pos="9350"/>
            </w:tabs>
            <w:rPr>
              <w:rFonts w:eastAsiaTheme="minorEastAsia"/>
              <w:noProof/>
              <w:kern w:val="2"/>
              <w:sz w:val="24"/>
              <w:szCs w:val="24"/>
              <w14:ligatures w14:val="standardContextual"/>
            </w:rPr>
          </w:pPr>
          <w:hyperlink w:anchor="_Toc222903984" w:history="1">
            <w:r w:rsidRPr="009F21D0">
              <w:rPr>
                <w:rStyle w:val="Hyperlink"/>
                <w:noProof/>
              </w:rPr>
              <w:t>Benefits of Timely Delivery</w:t>
            </w:r>
            <w:r>
              <w:rPr>
                <w:noProof/>
                <w:webHidden/>
              </w:rPr>
              <w:tab/>
            </w:r>
            <w:r>
              <w:rPr>
                <w:noProof/>
                <w:webHidden/>
              </w:rPr>
              <w:fldChar w:fldCharType="begin"/>
            </w:r>
            <w:r>
              <w:rPr>
                <w:noProof/>
                <w:webHidden/>
              </w:rPr>
              <w:instrText xml:space="preserve"> PAGEREF _Toc222903984 \h </w:instrText>
            </w:r>
            <w:r>
              <w:rPr>
                <w:noProof/>
                <w:webHidden/>
              </w:rPr>
            </w:r>
            <w:r>
              <w:rPr>
                <w:noProof/>
                <w:webHidden/>
              </w:rPr>
              <w:fldChar w:fldCharType="separate"/>
            </w:r>
            <w:r>
              <w:rPr>
                <w:noProof/>
                <w:webHidden/>
              </w:rPr>
              <w:t>17</w:t>
            </w:r>
            <w:r>
              <w:rPr>
                <w:noProof/>
                <w:webHidden/>
              </w:rPr>
              <w:fldChar w:fldCharType="end"/>
            </w:r>
          </w:hyperlink>
        </w:p>
        <w:p w14:paraId="47EBC2AC" w14:textId="41BAD1A8" w:rsidR="006F7119" w:rsidRDefault="006F7119">
          <w:pPr>
            <w:pStyle w:val="TOC4"/>
            <w:tabs>
              <w:tab w:val="right" w:leader="dot" w:pos="9350"/>
            </w:tabs>
            <w:rPr>
              <w:rFonts w:eastAsiaTheme="minorEastAsia"/>
              <w:noProof/>
              <w:kern w:val="2"/>
              <w:sz w:val="24"/>
              <w:szCs w:val="24"/>
              <w14:ligatures w14:val="standardContextual"/>
            </w:rPr>
          </w:pPr>
          <w:hyperlink w:anchor="_Toc222903985" w:history="1">
            <w:r w:rsidRPr="009F21D0">
              <w:rPr>
                <w:rStyle w:val="Hyperlink"/>
                <w:noProof/>
              </w:rPr>
              <w:t>Figure 2. Benefits of Timely Delivery</w:t>
            </w:r>
            <w:r w:rsidRPr="009F21D0">
              <w:rPr>
                <w:rStyle w:val="Hyperlink"/>
                <w:rFonts w:ascii="ZWAdobeF" w:hAnsi="ZWAdobeF" w:cs="ZWAdobeF"/>
                <w:noProof/>
              </w:rPr>
              <w:t>12F</w:t>
            </w:r>
            <w:r>
              <w:rPr>
                <w:noProof/>
                <w:webHidden/>
              </w:rPr>
              <w:tab/>
            </w:r>
            <w:r>
              <w:rPr>
                <w:noProof/>
                <w:webHidden/>
              </w:rPr>
              <w:fldChar w:fldCharType="begin"/>
            </w:r>
            <w:r>
              <w:rPr>
                <w:noProof/>
                <w:webHidden/>
              </w:rPr>
              <w:instrText xml:space="preserve"> PAGEREF _Toc222903985 \h </w:instrText>
            </w:r>
            <w:r>
              <w:rPr>
                <w:noProof/>
                <w:webHidden/>
              </w:rPr>
            </w:r>
            <w:r>
              <w:rPr>
                <w:noProof/>
                <w:webHidden/>
              </w:rPr>
              <w:fldChar w:fldCharType="separate"/>
            </w:r>
            <w:r>
              <w:rPr>
                <w:noProof/>
                <w:webHidden/>
              </w:rPr>
              <w:t>18</w:t>
            </w:r>
            <w:r>
              <w:rPr>
                <w:noProof/>
                <w:webHidden/>
              </w:rPr>
              <w:fldChar w:fldCharType="end"/>
            </w:r>
          </w:hyperlink>
        </w:p>
        <w:p w14:paraId="3A9815FA" w14:textId="10F22550" w:rsidR="006F7119" w:rsidRDefault="006F7119">
          <w:pPr>
            <w:pStyle w:val="TOC4"/>
            <w:tabs>
              <w:tab w:val="right" w:leader="dot" w:pos="9350"/>
            </w:tabs>
            <w:rPr>
              <w:rFonts w:eastAsiaTheme="minorEastAsia"/>
              <w:noProof/>
              <w:kern w:val="2"/>
              <w:sz w:val="24"/>
              <w:szCs w:val="24"/>
              <w14:ligatures w14:val="standardContextual"/>
            </w:rPr>
          </w:pPr>
          <w:hyperlink w:anchor="_Toc222903986" w:history="1">
            <w:r w:rsidRPr="009F21D0">
              <w:rPr>
                <w:rStyle w:val="Hyperlink"/>
                <w:noProof/>
              </w:rPr>
              <w:t>Figure 3. Benefits of Timely Delivery: Differences by Location</w:t>
            </w:r>
            <w:r w:rsidRPr="009F21D0">
              <w:rPr>
                <w:rStyle w:val="Hyperlink"/>
                <w:rFonts w:ascii="ZWAdobeF" w:hAnsi="ZWAdobeF" w:cs="ZWAdobeF"/>
                <w:noProof/>
              </w:rPr>
              <w:t>13F</w:t>
            </w:r>
            <w:r>
              <w:rPr>
                <w:noProof/>
                <w:webHidden/>
              </w:rPr>
              <w:tab/>
            </w:r>
            <w:r>
              <w:rPr>
                <w:noProof/>
                <w:webHidden/>
              </w:rPr>
              <w:fldChar w:fldCharType="begin"/>
            </w:r>
            <w:r>
              <w:rPr>
                <w:noProof/>
                <w:webHidden/>
              </w:rPr>
              <w:instrText xml:space="preserve"> PAGEREF _Toc222903986 \h </w:instrText>
            </w:r>
            <w:r>
              <w:rPr>
                <w:noProof/>
                <w:webHidden/>
              </w:rPr>
            </w:r>
            <w:r>
              <w:rPr>
                <w:noProof/>
                <w:webHidden/>
              </w:rPr>
              <w:fldChar w:fldCharType="separate"/>
            </w:r>
            <w:r>
              <w:rPr>
                <w:noProof/>
                <w:webHidden/>
              </w:rPr>
              <w:t>19</w:t>
            </w:r>
            <w:r>
              <w:rPr>
                <w:noProof/>
                <w:webHidden/>
              </w:rPr>
              <w:fldChar w:fldCharType="end"/>
            </w:r>
          </w:hyperlink>
        </w:p>
        <w:p w14:paraId="778FFB52" w14:textId="4B30C23C" w:rsidR="006F7119" w:rsidRDefault="006F7119">
          <w:pPr>
            <w:pStyle w:val="TOC4"/>
            <w:tabs>
              <w:tab w:val="right" w:leader="dot" w:pos="9350"/>
            </w:tabs>
            <w:rPr>
              <w:rFonts w:eastAsiaTheme="minorEastAsia"/>
              <w:noProof/>
              <w:kern w:val="2"/>
              <w:sz w:val="24"/>
              <w:szCs w:val="24"/>
              <w14:ligatures w14:val="standardContextual"/>
            </w:rPr>
          </w:pPr>
          <w:hyperlink w:anchor="_Toc222903987" w:history="1">
            <w:r w:rsidRPr="009F21D0">
              <w:rPr>
                <w:rStyle w:val="Hyperlink"/>
                <w:noProof/>
              </w:rPr>
              <w:t>Figure 4. Benefits of Timely Delivery: Differences by Role</w:t>
            </w:r>
            <w:r w:rsidRPr="009F21D0">
              <w:rPr>
                <w:rStyle w:val="Hyperlink"/>
                <w:rFonts w:ascii="ZWAdobeF" w:hAnsi="ZWAdobeF" w:cs="ZWAdobeF"/>
                <w:noProof/>
              </w:rPr>
              <w:t>15F</w:t>
            </w:r>
            <w:r>
              <w:rPr>
                <w:noProof/>
                <w:webHidden/>
              </w:rPr>
              <w:tab/>
            </w:r>
            <w:r>
              <w:rPr>
                <w:noProof/>
                <w:webHidden/>
              </w:rPr>
              <w:fldChar w:fldCharType="begin"/>
            </w:r>
            <w:r>
              <w:rPr>
                <w:noProof/>
                <w:webHidden/>
              </w:rPr>
              <w:instrText xml:space="preserve"> PAGEREF _Toc222903987 \h </w:instrText>
            </w:r>
            <w:r>
              <w:rPr>
                <w:noProof/>
                <w:webHidden/>
              </w:rPr>
            </w:r>
            <w:r>
              <w:rPr>
                <w:noProof/>
                <w:webHidden/>
              </w:rPr>
              <w:fldChar w:fldCharType="separate"/>
            </w:r>
            <w:r>
              <w:rPr>
                <w:noProof/>
                <w:webHidden/>
              </w:rPr>
              <w:t>20</w:t>
            </w:r>
            <w:r>
              <w:rPr>
                <w:noProof/>
                <w:webHidden/>
              </w:rPr>
              <w:fldChar w:fldCharType="end"/>
            </w:r>
          </w:hyperlink>
        </w:p>
        <w:p w14:paraId="69A98162" w14:textId="79608AC7" w:rsidR="006F7119" w:rsidRDefault="006F7119">
          <w:pPr>
            <w:pStyle w:val="TOC4"/>
            <w:tabs>
              <w:tab w:val="right" w:leader="dot" w:pos="9350"/>
            </w:tabs>
            <w:rPr>
              <w:rFonts w:eastAsiaTheme="minorEastAsia"/>
              <w:noProof/>
              <w:kern w:val="2"/>
              <w:sz w:val="24"/>
              <w:szCs w:val="24"/>
              <w14:ligatures w14:val="standardContextual"/>
            </w:rPr>
          </w:pPr>
          <w:hyperlink w:anchor="_Toc222903988" w:history="1">
            <w:r w:rsidRPr="009F21D0">
              <w:rPr>
                <w:rStyle w:val="Hyperlink"/>
                <w:noProof/>
              </w:rPr>
              <w:t>Table 3. Qualitative Descriptions of the Benefits of Timely Delivery</w:t>
            </w:r>
            <w:r w:rsidRPr="009F21D0">
              <w:rPr>
                <w:rStyle w:val="Hyperlink"/>
                <w:rFonts w:ascii="ZWAdobeF" w:hAnsi="ZWAdobeF" w:cs="ZWAdobeF"/>
                <w:noProof/>
              </w:rPr>
              <w:t>18F</w:t>
            </w:r>
            <w:r>
              <w:rPr>
                <w:noProof/>
                <w:webHidden/>
              </w:rPr>
              <w:tab/>
            </w:r>
            <w:r>
              <w:rPr>
                <w:noProof/>
                <w:webHidden/>
              </w:rPr>
              <w:fldChar w:fldCharType="begin"/>
            </w:r>
            <w:r>
              <w:rPr>
                <w:noProof/>
                <w:webHidden/>
              </w:rPr>
              <w:instrText xml:space="preserve"> PAGEREF _Toc222903988 \h </w:instrText>
            </w:r>
            <w:r>
              <w:rPr>
                <w:noProof/>
                <w:webHidden/>
              </w:rPr>
            </w:r>
            <w:r>
              <w:rPr>
                <w:noProof/>
                <w:webHidden/>
              </w:rPr>
              <w:fldChar w:fldCharType="separate"/>
            </w:r>
            <w:r>
              <w:rPr>
                <w:noProof/>
                <w:webHidden/>
              </w:rPr>
              <w:t>21</w:t>
            </w:r>
            <w:r>
              <w:rPr>
                <w:noProof/>
                <w:webHidden/>
              </w:rPr>
              <w:fldChar w:fldCharType="end"/>
            </w:r>
          </w:hyperlink>
        </w:p>
        <w:p w14:paraId="26D56B8A" w14:textId="5A975FC4" w:rsidR="006F7119" w:rsidRDefault="006F7119">
          <w:pPr>
            <w:pStyle w:val="TOC3"/>
            <w:tabs>
              <w:tab w:val="right" w:leader="dot" w:pos="9350"/>
            </w:tabs>
            <w:rPr>
              <w:rFonts w:eastAsiaTheme="minorEastAsia"/>
              <w:noProof/>
              <w:kern w:val="2"/>
              <w:sz w:val="24"/>
              <w:szCs w:val="24"/>
              <w14:ligatures w14:val="standardContextual"/>
            </w:rPr>
          </w:pPr>
          <w:hyperlink w:anchor="_Toc222903989" w:history="1">
            <w:r w:rsidRPr="009F21D0">
              <w:rPr>
                <w:rStyle w:val="Hyperlink"/>
                <w:noProof/>
              </w:rPr>
              <w:t>Timeline for Delivery of Accessible Educational Materials (AEM)</w:t>
            </w:r>
            <w:r>
              <w:rPr>
                <w:noProof/>
                <w:webHidden/>
              </w:rPr>
              <w:tab/>
            </w:r>
            <w:r>
              <w:rPr>
                <w:noProof/>
                <w:webHidden/>
              </w:rPr>
              <w:fldChar w:fldCharType="begin"/>
            </w:r>
            <w:r>
              <w:rPr>
                <w:noProof/>
                <w:webHidden/>
              </w:rPr>
              <w:instrText xml:space="preserve"> PAGEREF _Toc222903989 \h </w:instrText>
            </w:r>
            <w:r>
              <w:rPr>
                <w:noProof/>
                <w:webHidden/>
              </w:rPr>
            </w:r>
            <w:r>
              <w:rPr>
                <w:noProof/>
                <w:webHidden/>
              </w:rPr>
              <w:fldChar w:fldCharType="separate"/>
            </w:r>
            <w:r>
              <w:rPr>
                <w:noProof/>
                <w:webHidden/>
              </w:rPr>
              <w:t>25</w:t>
            </w:r>
            <w:r>
              <w:rPr>
                <w:noProof/>
                <w:webHidden/>
              </w:rPr>
              <w:fldChar w:fldCharType="end"/>
            </w:r>
          </w:hyperlink>
        </w:p>
        <w:p w14:paraId="648B45ED" w14:textId="02A68EDA" w:rsidR="006F7119" w:rsidRDefault="006F7119">
          <w:pPr>
            <w:pStyle w:val="TOC4"/>
            <w:tabs>
              <w:tab w:val="right" w:leader="dot" w:pos="9350"/>
            </w:tabs>
            <w:rPr>
              <w:rFonts w:eastAsiaTheme="minorEastAsia"/>
              <w:noProof/>
              <w:kern w:val="2"/>
              <w:sz w:val="24"/>
              <w:szCs w:val="24"/>
              <w14:ligatures w14:val="standardContextual"/>
            </w:rPr>
          </w:pPr>
          <w:hyperlink w:anchor="_Toc222903990" w:history="1">
            <w:r w:rsidRPr="009F21D0">
              <w:rPr>
                <w:rStyle w:val="Hyperlink"/>
                <w:noProof/>
              </w:rPr>
              <w:t>Figure 5. Familiarity with General Timelines for Delivery of Newly Created Accessible Formats</w:t>
            </w:r>
            <w:r>
              <w:rPr>
                <w:noProof/>
                <w:webHidden/>
              </w:rPr>
              <w:tab/>
            </w:r>
            <w:r>
              <w:rPr>
                <w:noProof/>
                <w:webHidden/>
              </w:rPr>
              <w:fldChar w:fldCharType="begin"/>
            </w:r>
            <w:r>
              <w:rPr>
                <w:noProof/>
                <w:webHidden/>
              </w:rPr>
              <w:instrText xml:space="preserve"> PAGEREF _Toc222903990 \h </w:instrText>
            </w:r>
            <w:r>
              <w:rPr>
                <w:noProof/>
                <w:webHidden/>
              </w:rPr>
            </w:r>
            <w:r>
              <w:rPr>
                <w:noProof/>
                <w:webHidden/>
              </w:rPr>
              <w:fldChar w:fldCharType="separate"/>
            </w:r>
            <w:r>
              <w:rPr>
                <w:noProof/>
                <w:webHidden/>
              </w:rPr>
              <w:t>26</w:t>
            </w:r>
            <w:r>
              <w:rPr>
                <w:noProof/>
                <w:webHidden/>
              </w:rPr>
              <w:fldChar w:fldCharType="end"/>
            </w:r>
          </w:hyperlink>
        </w:p>
        <w:p w14:paraId="4E068929" w14:textId="3270D056" w:rsidR="006F7119" w:rsidRDefault="006F7119">
          <w:pPr>
            <w:pStyle w:val="TOC4"/>
            <w:tabs>
              <w:tab w:val="right" w:leader="dot" w:pos="9350"/>
            </w:tabs>
            <w:rPr>
              <w:rFonts w:eastAsiaTheme="minorEastAsia"/>
              <w:noProof/>
              <w:kern w:val="2"/>
              <w:sz w:val="24"/>
              <w:szCs w:val="24"/>
              <w14:ligatures w14:val="standardContextual"/>
            </w:rPr>
          </w:pPr>
          <w:hyperlink w:anchor="_Toc222903991" w:history="1">
            <w:r w:rsidRPr="009F21D0">
              <w:rPr>
                <w:rStyle w:val="Hyperlink"/>
                <w:noProof/>
              </w:rPr>
              <w:t>Table 4. Timelines for Delivery When NIMAS Files are in the NIMAC System</w:t>
            </w:r>
            <w:r w:rsidRPr="009F21D0">
              <w:rPr>
                <w:rStyle w:val="Hyperlink"/>
                <w:rFonts w:ascii="ZWAdobeF" w:hAnsi="ZWAdobeF" w:cs="ZWAdobeF"/>
                <w:noProof/>
              </w:rPr>
              <w:t>23F</w:t>
            </w:r>
            <w:r>
              <w:rPr>
                <w:noProof/>
                <w:webHidden/>
              </w:rPr>
              <w:tab/>
            </w:r>
            <w:r>
              <w:rPr>
                <w:noProof/>
                <w:webHidden/>
              </w:rPr>
              <w:fldChar w:fldCharType="begin"/>
            </w:r>
            <w:r>
              <w:rPr>
                <w:noProof/>
                <w:webHidden/>
              </w:rPr>
              <w:instrText xml:space="preserve"> PAGEREF _Toc222903991 \h </w:instrText>
            </w:r>
            <w:r>
              <w:rPr>
                <w:noProof/>
                <w:webHidden/>
              </w:rPr>
            </w:r>
            <w:r>
              <w:rPr>
                <w:noProof/>
                <w:webHidden/>
              </w:rPr>
              <w:fldChar w:fldCharType="separate"/>
            </w:r>
            <w:r>
              <w:rPr>
                <w:noProof/>
                <w:webHidden/>
              </w:rPr>
              <w:t>26</w:t>
            </w:r>
            <w:r>
              <w:rPr>
                <w:noProof/>
                <w:webHidden/>
              </w:rPr>
              <w:fldChar w:fldCharType="end"/>
            </w:r>
          </w:hyperlink>
        </w:p>
        <w:p w14:paraId="6BC8D198" w14:textId="55D7FBA0" w:rsidR="006F7119" w:rsidRDefault="006F7119">
          <w:pPr>
            <w:pStyle w:val="TOC4"/>
            <w:tabs>
              <w:tab w:val="right" w:leader="dot" w:pos="9350"/>
            </w:tabs>
            <w:rPr>
              <w:rFonts w:eastAsiaTheme="minorEastAsia"/>
              <w:noProof/>
              <w:kern w:val="2"/>
              <w:sz w:val="24"/>
              <w:szCs w:val="24"/>
              <w14:ligatures w14:val="standardContextual"/>
            </w:rPr>
          </w:pPr>
          <w:hyperlink w:anchor="_Toc222903992" w:history="1">
            <w:r w:rsidRPr="009F21D0">
              <w:rPr>
                <w:rStyle w:val="Hyperlink"/>
                <w:noProof/>
              </w:rPr>
              <w:t>Table 5. Timelines for Delivery When Materials are Added to the NIMAC Watchlist</w:t>
            </w:r>
            <w:r w:rsidRPr="009F21D0">
              <w:rPr>
                <w:rStyle w:val="Hyperlink"/>
                <w:rFonts w:ascii="ZWAdobeF" w:hAnsi="ZWAdobeF" w:cs="ZWAdobeF"/>
                <w:noProof/>
              </w:rPr>
              <w:t>23F</w:t>
            </w:r>
            <w:r>
              <w:rPr>
                <w:noProof/>
                <w:webHidden/>
              </w:rPr>
              <w:tab/>
            </w:r>
            <w:r>
              <w:rPr>
                <w:noProof/>
                <w:webHidden/>
              </w:rPr>
              <w:fldChar w:fldCharType="begin"/>
            </w:r>
            <w:r>
              <w:rPr>
                <w:noProof/>
                <w:webHidden/>
              </w:rPr>
              <w:instrText xml:space="preserve"> PAGEREF _Toc222903992 \h </w:instrText>
            </w:r>
            <w:r>
              <w:rPr>
                <w:noProof/>
                <w:webHidden/>
              </w:rPr>
            </w:r>
            <w:r>
              <w:rPr>
                <w:noProof/>
                <w:webHidden/>
              </w:rPr>
              <w:fldChar w:fldCharType="separate"/>
            </w:r>
            <w:r>
              <w:rPr>
                <w:noProof/>
                <w:webHidden/>
              </w:rPr>
              <w:t>27</w:t>
            </w:r>
            <w:r>
              <w:rPr>
                <w:noProof/>
                <w:webHidden/>
              </w:rPr>
              <w:fldChar w:fldCharType="end"/>
            </w:r>
          </w:hyperlink>
        </w:p>
        <w:p w14:paraId="121D9D0C" w14:textId="0EA23116" w:rsidR="006F7119" w:rsidRDefault="006F7119">
          <w:pPr>
            <w:pStyle w:val="TOC4"/>
            <w:tabs>
              <w:tab w:val="right" w:leader="dot" w:pos="9350"/>
            </w:tabs>
            <w:rPr>
              <w:rFonts w:eastAsiaTheme="minorEastAsia"/>
              <w:noProof/>
              <w:kern w:val="2"/>
              <w:sz w:val="24"/>
              <w:szCs w:val="24"/>
              <w14:ligatures w14:val="standardContextual"/>
            </w:rPr>
          </w:pPr>
          <w:hyperlink w:anchor="_Toc222903993" w:history="1">
            <w:r w:rsidRPr="009F21D0">
              <w:rPr>
                <w:rStyle w:val="Hyperlink"/>
                <w:noProof/>
              </w:rPr>
              <w:t>Table 6. Number of Days from Submission of Watchlist Request to NIMAS File Certified and Accessible in the NIMAC System</w:t>
            </w:r>
            <w:r>
              <w:rPr>
                <w:noProof/>
                <w:webHidden/>
              </w:rPr>
              <w:tab/>
            </w:r>
            <w:r>
              <w:rPr>
                <w:noProof/>
                <w:webHidden/>
              </w:rPr>
              <w:fldChar w:fldCharType="begin"/>
            </w:r>
            <w:r>
              <w:rPr>
                <w:noProof/>
                <w:webHidden/>
              </w:rPr>
              <w:instrText xml:space="preserve"> PAGEREF _Toc222903993 \h </w:instrText>
            </w:r>
            <w:r>
              <w:rPr>
                <w:noProof/>
                <w:webHidden/>
              </w:rPr>
            </w:r>
            <w:r>
              <w:rPr>
                <w:noProof/>
                <w:webHidden/>
              </w:rPr>
              <w:fldChar w:fldCharType="separate"/>
            </w:r>
            <w:r>
              <w:rPr>
                <w:noProof/>
                <w:webHidden/>
              </w:rPr>
              <w:t>27</w:t>
            </w:r>
            <w:r>
              <w:rPr>
                <w:noProof/>
                <w:webHidden/>
              </w:rPr>
              <w:fldChar w:fldCharType="end"/>
            </w:r>
          </w:hyperlink>
        </w:p>
        <w:p w14:paraId="151E8D55" w14:textId="1C842FCA" w:rsidR="006F7119" w:rsidRDefault="006F7119">
          <w:pPr>
            <w:pStyle w:val="TOC4"/>
            <w:tabs>
              <w:tab w:val="right" w:leader="dot" w:pos="9350"/>
            </w:tabs>
            <w:rPr>
              <w:rFonts w:eastAsiaTheme="minorEastAsia"/>
              <w:noProof/>
              <w:kern w:val="2"/>
              <w:sz w:val="24"/>
              <w:szCs w:val="24"/>
              <w14:ligatures w14:val="standardContextual"/>
            </w:rPr>
          </w:pPr>
          <w:hyperlink w:anchor="_Toc222903994" w:history="1">
            <w:r w:rsidRPr="009F21D0">
              <w:rPr>
                <w:rStyle w:val="Hyperlink"/>
                <w:noProof/>
              </w:rPr>
              <w:t>Figure 6. Satisfaction with Timelines for Delivery of Accessible Formats</w:t>
            </w:r>
            <w:r w:rsidRPr="009F21D0">
              <w:rPr>
                <w:rStyle w:val="Hyperlink"/>
                <w:rFonts w:ascii="ZWAdobeF" w:hAnsi="ZWAdobeF" w:cs="ZWAdobeF"/>
                <w:noProof/>
              </w:rPr>
              <w:t>27F</w:t>
            </w:r>
            <w:r>
              <w:rPr>
                <w:noProof/>
                <w:webHidden/>
              </w:rPr>
              <w:tab/>
            </w:r>
            <w:r>
              <w:rPr>
                <w:noProof/>
                <w:webHidden/>
              </w:rPr>
              <w:fldChar w:fldCharType="begin"/>
            </w:r>
            <w:r>
              <w:rPr>
                <w:noProof/>
                <w:webHidden/>
              </w:rPr>
              <w:instrText xml:space="preserve"> PAGEREF _Toc222903994 \h </w:instrText>
            </w:r>
            <w:r>
              <w:rPr>
                <w:noProof/>
                <w:webHidden/>
              </w:rPr>
            </w:r>
            <w:r>
              <w:rPr>
                <w:noProof/>
                <w:webHidden/>
              </w:rPr>
              <w:fldChar w:fldCharType="separate"/>
            </w:r>
            <w:r>
              <w:rPr>
                <w:noProof/>
                <w:webHidden/>
              </w:rPr>
              <w:t>28</w:t>
            </w:r>
            <w:r>
              <w:rPr>
                <w:noProof/>
                <w:webHidden/>
              </w:rPr>
              <w:fldChar w:fldCharType="end"/>
            </w:r>
          </w:hyperlink>
        </w:p>
        <w:p w14:paraId="5020C3A7" w14:textId="6AD891C2" w:rsidR="006F7119" w:rsidRDefault="006F7119">
          <w:pPr>
            <w:pStyle w:val="TOC4"/>
            <w:tabs>
              <w:tab w:val="right" w:leader="dot" w:pos="9350"/>
            </w:tabs>
            <w:rPr>
              <w:rFonts w:eastAsiaTheme="minorEastAsia"/>
              <w:noProof/>
              <w:kern w:val="2"/>
              <w:sz w:val="24"/>
              <w:szCs w:val="24"/>
              <w14:ligatures w14:val="standardContextual"/>
            </w:rPr>
          </w:pPr>
          <w:hyperlink w:anchor="_Toc222903995" w:history="1">
            <w:r w:rsidRPr="009F21D0">
              <w:rPr>
                <w:rStyle w:val="Hyperlink"/>
                <w:noProof/>
              </w:rPr>
              <w:t>Figure 7. Representative Quotations: How Timelines for Delivery are Improved When NIMAS Files are Already in the NIMAC System</w:t>
            </w:r>
            <w:r>
              <w:rPr>
                <w:noProof/>
                <w:webHidden/>
              </w:rPr>
              <w:tab/>
            </w:r>
            <w:r>
              <w:rPr>
                <w:noProof/>
                <w:webHidden/>
              </w:rPr>
              <w:fldChar w:fldCharType="begin"/>
            </w:r>
            <w:r>
              <w:rPr>
                <w:noProof/>
                <w:webHidden/>
              </w:rPr>
              <w:instrText xml:space="preserve"> PAGEREF _Toc222903995 \h </w:instrText>
            </w:r>
            <w:r>
              <w:rPr>
                <w:noProof/>
                <w:webHidden/>
              </w:rPr>
            </w:r>
            <w:r>
              <w:rPr>
                <w:noProof/>
                <w:webHidden/>
              </w:rPr>
              <w:fldChar w:fldCharType="separate"/>
            </w:r>
            <w:r>
              <w:rPr>
                <w:noProof/>
                <w:webHidden/>
              </w:rPr>
              <w:t>29</w:t>
            </w:r>
            <w:r>
              <w:rPr>
                <w:noProof/>
                <w:webHidden/>
              </w:rPr>
              <w:fldChar w:fldCharType="end"/>
            </w:r>
          </w:hyperlink>
        </w:p>
        <w:p w14:paraId="13FECC57" w14:textId="2AFC2CF2" w:rsidR="006F7119" w:rsidRDefault="006F7119">
          <w:pPr>
            <w:pStyle w:val="TOC3"/>
            <w:tabs>
              <w:tab w:val="right" w:leader="dot" w:pos="9350"/>
            </w:tabs>
            <w:rPr>
              <w:rFonts w:eastAsiaTheme="minorEastAsia"/>
              <w:noProof/>
              <w:kern w:val="2"/>
              <w:sz w:val="24"/>
              <w:szCs w:val="24"/>
              <w14:ligatures w14:val="standardContextual"/>
            </w:rPr>
          </w:pPr>
          <w:hyperlink w:anchor="_Toc222903996" w:history="1">
            <w:r w:rsidRPr="009F21D0">
              <w:rPr>
                <w:rStyle w:val="Hyperlink"/>
                <w:noProof/>
              </w:rPr>
              <w:t>Impacts of Timely Delivery and Use of Accessible Educational Materials (AEM)</w:t>
            </w:r>
            <w:r>
              <w:rPr>
                <w:noProof/>
                <w:webHidden/>
              </w:rPr>
              <w:tab/>
            </w:r>
            <w:r>
              <w:rPr>
                <w:noProof/>
                <w:webHidden/>
              </w:rPr>
              <w:fldChar w:fldCharType="begin"/>
            </w:r>
            <w:r>
              <w:rPr>
                <w:noProof/>
                <w:webHidden/>
              </w:rPr>
              <w:instrText xml:space="preserve"> PAGEREF _Toc222903996 \h </w:instrText>
            </w:r>
            <w:r>
              <w:rPr>
                <w:noProof/>
                <w:webHidden/>
              </w:rPr>
            </w:r>
            <w:r>
              <w:rPr>
                <w:noProof/>
                <w:webHidden/>
              </w:rPr>
              <w:fldChar w:fldCharType="separate"/>
            </w:r>
            <w:r>
              <w:rPr>
                <w:noProof/>
                <w:webHidden/>
              </w:rPr>
              <w:t>30</w:t>
            </w:r>
            <w:r>
              <w:rPr>
                <w:noProof/>
                <w:webHidden/>
              </w:rPr>
              <w:fldChar w:fldCharType="end"/>
            </w:r>
          </w:hyperlink>
        </w:p>
        <w:p w14:paraId="30F1E3F2" w14:textId="062BB9E7" w:rsidR="006F7119" w:rsidRDefault="006F7119">
          <w:pPr>
            <w:pStyle w:val="TOC4"/>
            <w:tabs>
              <w:tab w:val="right" w:leader="dot" w:pos="9350"/>
            </w:tabs>
            <w:rPr>
              <w:rFonts w:eastAsiaTheme="minorEastAsia"/>
              <w:noProof/>
              <w:kern w:val="2"/>
              <w:sz w:val="24"/>
              <w:szCs w:val="24"/>
              <w14:ligatures w14:val="standardContextual"/>
            </w:rPr>
          </w:pPr>
          <w:hyperlink w:anchor="_Toc222903997" w:history="1">
            <w:r w:rsidRPr="009F21D0">
              <w:rPr>
                <w:rStyle w:val="Hyperlink"/>
                <w:noProof/>
              </w:rPr>
              <w:t>Figure 8. Frequency of Use of Accessible Formats that are Less than Ideal</w:t>
            </w:r>
            <w:r w:rsidRPr="009F21D0">
              <w:rPr>
                <w:rStyle w:val="Hyperlink"/>
                <w:rFonts w:ascii="ZWAdobeF" w:hAnsi="ZWAdobeF" w:cs="ZWAdobeF"/>
                <w:noProof/>
              </w:rPr>
              <w:t>29F</w:t>
            </w:r>
            <w:r>
              <w:rPr>
                <w:noProof/>
                <w:webHidden/>
              </w:rPr>
              <w:tab/>
            </w:r>
            <w:r>
              <w:rPr>
                <w:noProof/>
                <w:webHidden/>
              </w:rPr>
              <w:fldChar w:fldCharType="begin"/>
            </w:r>
            <w:r>
              <w:rPr>
                <w:noProof/>
                <w:webHidden/>
              </w:rPr>
              <w:instrText xml:space="preserve"> PAGEREF _Toc222903997 \h </w:instrText>
            </w:r>
            <w:r>
              <w:rPr>
                <w:noProof/>
                <w:webHidden/>
              </w:rPr>
            </w:r>
            <w:r>
              <w:rPr>
                <w:noProof/>
                <w:webHidden/>
              </w:rPr>
              <w:fldChar w:fldCharType="separate"/>
            </w:r>
            <w:r>
              <w:rPr>
                <w:noProof/>
                <w:webHidden/>
              </w:rPr>
              <w:t>30</w:t>
            </w:r>
            <w:r>
              <w:rPr>
                <w:noProof/>
                <w:webHidden/>
              </w:rPr>
              <w:fldChar w:fldCharType="end"/>
            </w:r>
          </w:hyperlink>
        </w:p>
        <w:p w14:paraId="4AC2998C" w14:textId="27A34938" w:rsidR="006F7119" w:rsidRDefault="006F7119">
          <w:pPr>
            <w:pStyle w:val="TOC4"/>
            <w:tabs>
              <w:tab w:val="right" w:leader="dot" w:pos="9350"/>
            </w:tabs>
            <w:rPr>
              <w:rFonts w:eastAsiaTheme="minorEastAsia"/>
              <w:noProof/>
              <w:kern w:val="2"/>
              <w:sz w:val="24"/>
              <w:szCs w:val="24"/>
              <w14:ligatures w14:val="standardContextual"/>
            </w:rPr>
          </w:pPr>
          <w:hyperlink w:anchor="_Toc222903998" w:history="1">
            <w:r w:rsidRPr="009F21D0">
              <w:rPr>
                <w:rStyle w:val="Hyperlink"/>
                <w:noProof/>
              </w:rPr>
              <w:t>Figure 9. Frequency of Use of Different Curriculum Due to Lack of Available Accessible Materials</w:t>
            </w:r>
            <w:r w:rsidRPr="009F21D0">
              <w:rPr>
                <w:rStyle w:val="Hyperlink"/>
                <w:rFonts w:ascii="ZWAdobeF" w:hAnsi="ZWAdobeF" w:cs="ZWAdobeF"/>
                <w:noProof/>
              </w:rPr>
              <w:t>31F</w:t>
            </w:r>
            <w:r>
              <w:rPr>
                <w:noProof/>
                <w:webHidden/>
              </w:rPr>
              <w:tab/>
            </w:r>
            <w:r>
              <w:rPr>
                <w:noProof/>
                <w:webHidden/>
              </w:rPr>
              <w:fldChar w:fldCharType="begin"/>
            </w:r>
            <w:r>
              <w:rPr>
                <w:noProof/>
                <w:webHidden/>
              </w:rPr>
              <w:instrText xml:space="preserve"> PAGEREF _Toc222903998 \h </w:instrText>
            </w:r>
            <w:r>
              <w:rPr>
                <w:noProof/>
                <w:webHidden/>
              </w:rPr>
            </w:r>
            <w:r>
              <w:rPr>
                <w:noProof/>
                <w:webHidden/>
              </w:rPr>
              <w:fldChar w:fldCharType="separate"/>
            </w:r>
            <w:r>
              <w:rPr>
                <w:noProof/>
                <w:webHidden/>
              </w:rPr>
              <w:t>31</w:t>
            </w:r>
            <w:r>
              <w:rPr>
                <w:noProof/>
                <w:webHidden/>
              </w:rPr>
              <w:fldChar w:fldCharType="end"/>
            </w:r>
          </w:hyperlink>
        </w:p>
        <w:p w14:paraId="26897983" w14:textId="3A4428D4" w:rsidR="006F7119" w:rsidRDefault="006F7119">
          <w:pPr>
            <w:pStyle w:val="TOC4"/>
            <w:tabs>
              <w:tab w:val="right" w:leader="dot" w:pos="9350"/>
            </w:tabs>
            <w:rPr>
              <w:rFonts w:eastAsiaTheme="minorEastAsia"/>
              <w:noProof/>
              <w:kern w:val="2"/>
              <w:sz w:val="24"/>
              <w:szCs w:val="24"/>
              <w14:ligatures w14:val="standardContextual"/>
            </w:rPr>
          </w:pPr>
          <w:hyperlink w:anchor="_Toc222903999" w:history="1">
            <w:r w:rsidRPr="009F21D0">
              <w:rPr>
                <w:rStyle w:val="Hyperlink"/>
                <w:noProof/>
              </w:rPr>
              <w:t>Figure 10. Representative Quotations: Frequency of Students Using Accessible Formats that are Less than Ideal</w:t>
            </w:r>
            <w:r>
              <w:rPr>
                <w:noProof/>
                <w:webHidden/>
              </w:rPr>
              <w:tab/>
            </w:r>
            <w:r>
              <w:rPr>
                <w:noProof/>
                <w:webHidden/>
              </w:rPr>
              <w:fldChar w:fldCharType="begin"/>
            </w:r>
            <w:r>
              <w:rPr>
                <w:noProof/>
                <w:webHidden/>
              </w:rPr>
              <w:instrText xml:space="preserve"> PAGEREF _Toc222903999 \h </w:instrText>
            </w:r>
            <w:r>
              <w:rPr>
                <w:noProof/>
                <w:webHidden/>
              </w:rPr>
            </w:r>
            <w:r>
              <w:rPr>
                <w:noProof/>
                <w:webHidden/>
              </w:rPr>
              <w:fldChar w:fldCharType="separate"/>
            </w:r>
            <w:r>
              <w:rPr>
                <w:noProof/>
                <w:webHidden/>
              </w:rPr>
              <w:t>32</w:t>
            </w:r>
            <w:r>
              <w:rPr>
                <w:noProof/>
                <w:webHidden/>
              </w:rPr>
              <w:fldChar w:fldCharType="end"/>
            </w:r>
          </w:hyperlink>
        </w:p>
        <w:p w14:paraId="03074E6A" w14:textId="7FFFB277" w:rsidR="006F7119" w:rsidRDefault="006F7119">
          <w:pPr>
            <w:pStyle w:val="TOC4"/>
            <w:tabs>
              <w:tab w:val="right" w:leader="dot" w:pos="9350"/>
            </w:tabs>
            <w:rPr>
              <w:rFonts w:eastAsiaTheme="minorEastAsia"/>
              <w:noProof/>
              <w:kern w:val="2"/>
              <w:sz w:val="24"/>
              <w:szCs w:val="24"/>
              <w14:ligatures w14:val="standardContextual"/>
            </w:rPr>
          </w:pPr>
          <w:hyperlink w:anchor="_Toc222904000" w:history="1">
            <w:r w:rsidRPr="009F21D0">
              <w:rPr>
                <w:rStyle w:val="Hyperlink"/>
                <w:noProof/>
              </w:rPr>
              <w:t>Figure 11. Representative Quotations: Frequency of Students Using Different Curriculum Due to a Lack of Accessible Materials</w:t>
            </w:r>
            <w:r>
              <w:rPr>
                <w:noProof/>
                <w:webHidden/>
              </w:rPr>
              <w:tab/>
            </w:r>
            <w:r>
              <w:rPr>
                <w:noProof/>
                <w:webHidden/>
              </w:rPr>
              <w:fldChar w:fldCharType="begin"/>
            </w:r>
            <w:r>
              <w:rPr>
                <w:noProof/>
                <w:webHidden/>
              </w:rPr>
              <w:instrText xml:space="preserve"> PAGEREF _Toc222904000 \h </w:instrText>
            </w:r>
            <w:r>
              <w:rPr>
                <w:noProof/>
                <w:webHidden/>
              </w:rPr>
            </w:r>
            <w:r>
              <w:rPr>
                <w:noProof/>
                <w:webHidden/>
              </w:rPr>
              <w:fldChar w:fldCharType="separate"/>
            </w:r>
            <w:r>
              <w:rPr>
                <w:noProof/>
                <w:webHidden/>
              </w:rPr>
              <w:t>33</w:t>
            </w:r>
            <w:r>
              <w:rPr>
                <w:noProof/>
                <w:webHidden/>
              </w:rPr>
              <w:fldChar w:fldCharType="end"/>
            </w:r>
          </w:hyperlink>
        </w:p>
        <w:p w14:paraId="4A57F859" w14:textId="1AC891C5" w:rsidR="006F7119" w:rsidRDefault="006F7119">
          <w:pPr>
            <w:pStyle w:val="TOC4"/>
            <w:tabs>
              <w:tab w:val="right" w:leader="dot" w:pos="9350"/>
            </w:tabs>
            <w:rPr>
              <w:rFonts w:eastAsiaTheme="minorEastAsia"/>
              <w:noProof/>
              <w:kern w:val="2"/>
              <w:sz w:val="24"/>
              <w:szCs w:val="24"/>
              <w14:ligatures w14:val="standardContextual"/>
            </w:rPr>
          </w:pPr>
          <w:hyperlink w:anchor="_Toc222904001" w:history="1">
            <w:r w:rsidRPr="009F21D0">
              <w:rPr>
                <w:rStyle w:val="Hyperlink"/>
                <w:noProof/>
              </w:rPr>
              <w:t>Table 7. Qualitative Descriptions of the Impacts of Using Less than Ideal Formats and Curricula That are Different from Peers</w:t>
            </w:r>
            <w:r>
              <w:rPr>
                <w:noProof/>
                <w:webHidden/>
              </w:rPr>
              <w:tab/>
            </w:r>
            <w:r>
              <w:rPr>
                <w:noProof/>
                <w:webHidden/>
              </w:rPr>
              <w:fldChar w:fldCharType="begin"/>
            </w:r>
            <w:r>
              <w:rPr>
                <w:noProof/>
                <w:webHidden/>
              </w:rPr>
              <w:instrText xml:space="preserve"> PAGEREF _Toc222904001 \h </w:instrText>
            </w:r>
            <w:r>
              <w:rPr>
                <w:noProof/>
                <w:webHidden/>
              </w:rPr>
            </w:r>
            <w:r>
              <w:rPr>
                <w:noProof/>
                <w:webHidden/>
              </w:rPr>
              <w:fldChar w:fldCharType="separate"/>
            </w:r>
            <w:r>
              <w:rPr>
                <w:noProof/>
                <w:webHidden/>
              </w:rPr>
              <w:t>34</w:t>
            </w:r>
            <w:r>
              <w:rPr>
                <w:noProof/>
                <w:webHidden/>
              </w:rPr>
              <w:fldChar w:fldCharType="end"/>
            </w:r>
          </w:hyperlink>
        </w:p>
        <w:p w14:paraId="2BDF3EE2" w14:textId="08AC96CD" w:rsidR="006F7119" w:rsidRDefault="006F7119">
          <w:pPr>
            <w:pStyle w:val="TOC4"/>
            <w:tabs>
              <w:tab w:val="right" w:leader="dot" w:pos="9350"/>
            </w:tabs>
            <w:rPr>
              <w:rFonts w:eastAsiaTheme="minorEastAsia"/>
              <w:noProof/>
              <w:kern w:val="2"/>
              <w:sz w:val="24"/>
              <w:szCs w:val="24"/>
              <w14:ligatures w14:val="standardContextual"/>
            </w:rPr>
          </w:pPr>
          <w:hyperlink w:anchor="_Toc222904002" w:history="1">
            <w:r w:rsidRPr="009F21D0">
              <w:rPr>
                <w:rStyle w:val="Hyperlink"/>
                <w:noProof/>
              </w:rPr>
              <w:t>Figure 12. Satisfaction with Access to and Use of Accessible Formats</w:t>
            </w:r>
            <w:r w:rsidRPr="009F21D0">
              <w:rPr>
                <w:rStyle w:val="Hyperlink"/>
                <w:rFonts w:ascii="ZWAdobeF" w:hAnsi="ZWAdobeF" w:cs="ZWAdobeF"/>
                <w:noProof/>
              </w:rPr>
              <w:t>35F</w:t>
            </w:r>
            <w:r>
              <w:rPr>
                <w:noProof/>
                <w:webHidden/>
              </w:rPr>
              <w:tab/>
            </w:r>
            <w:r>
              <w:rPr>
                <w:noProof/>
                <w:webHidden/>
              </w:rPr>
              <w:fldChar w:fldCharType="begin"/>
            </w:r>
            <w:r>
              <w:rPr>
                <w:noProof/>
                <w:webHidden/>
              </w:rPr>
              <w:instrText xml:space="preserve"> PAGEREF _Toc222904002 \h </w:instrText>
            </w:r>
            <w:r>
              <w:rPr>
                <w:noProof/>
                <w:webHidden/>
              </w:rPr>
            </w:r>
            <w:r>
              <w:rPr>
                <w:noProof/>
                <w:webHidden/>
              </w:rPr>
              <w:fldChar w:fldCharType="separate"/>
            </w:r>
            <w:r>
              <w:rPr>
                <w:noProof/>
                <w:webHidden/>
              </w:rPr>
              <w:t>35</w:t>
            </w:r>
            <w:r>
              <w:rPr>
                <w:noProof/>
                <w:webHidden/>
              </w:rPr>
              <w:fldChar w:fldCharType="end"/>
            </w:r>
          </w:hyperlink>
        </w:p>
        <w:p w14:paraId="2E7C38B2" w14:textId="0DFF5923" w:rsidR="006F7119" w:rsidRDefault="006F7119">
          <w:pPr>
            <w:pStyle w:val="TOC4"/>
            <w:tabs>
              <w:tab w:val="right" w:leader="dot" w:pos="9350"/>
            </w:tabs>
            <w:rPr>
              <w:rFonts w:eastAsiaTheme="minorEastAsia"/>
              <w:noProof/>
              <w:kern w:val="2"/>
              <w:sz w:val="24"/>
              <w:szCs w:val="24"/>
              <w14:ligatures w14:val="standardContextual"/>
            </w:rPr>
          </w:pPr>
          <w:hyperlink w:anchor="_Toc222904003" w:history="1">
            <w:r w:rsidRPr="009F21D0">
              <w:rPr>
                <w:rStyle w:val="Hyperlink"/>
                <w:noProof/>
              </w:rPr>
              <w:t>Figure 13. Factors Negatively Impacting Use of Accessible Formats</w:t>
            </w:r>
            <w:r w:rsidRPr="009F21D0">
              <w:rPr>
                <w:rStyle w:val="Hyperlink"/>
                <w:rFonts w:ascii="ZWAdobeF" w:hAnsi="ZWAdobeF" w:cs="ZWAdobeF"/>
                <w:noProof/>
              </w:rPr>
              <w:t>37F</w:t>
            </w:r>
            <w:r>
              <w:rPr>
                <w:noProof/>
                <w:webHidden/>
              </w:rPr>
              <w:tab/>
            </w:r>
            <w:r>
              <w:rPr>
                <w:noProof/>
                <w:webHidden/>
              </w:rPr>
              <w:fldChar w:fldCharType="begin"/>
            </w:r>
            <w:r>
              <w:rPr>
                <w:noProof/>
                <w:webHidden/>
              </w:rPr>
              <w:instrText xml:space="preserve"> PAGEREF _Toc222904003 \h </w:instrText>
            </w:r>
            <w:r>
              <w:rPr>
                <w:noProof/>
                <w:webHidden/>
              </w:rPr>
            </w:r>
            <w:r>
              <w:rPr>
                <w:noProof/>
                <w:webHidden/>
              </w:rPr>
              <w:fldChar w:fldCharType="separate"/>
            </w:r>
            <w:r>
              <w:rPr>
                <w:noProof/>
                <w:webHidden/>
              </w:rPr>
              <w:t>36</w:t>
            </w:r>
            <w:r>
              <w:rPr>
                <w:noProof/>
                <w:webHidden/>
              </w:rPr>
              <w:fldChar w:fldCharType="end"/>
            </w:r>
          </w:hyperlink>
        </w:p>
        <w:p w14:paraId="6E97E146" w14:textId="04270F6F" w:rsidR="006F7119" w:rsidRDefault="006F7119">
          <w:pPr>
            <w:pStyle w:val="TOC4"/>
            <w:tabs>
              <w:tab w:val="right" w:leader="dot" w:pos="9350"/>
            </w:tabs>
            <w:rPr>
              <w:rFonts w:eastAsiaTheme="minorEastAsia"/>
              <w:noProof/>
              <w:kern w:val="2"/>
              <w:sz w:val="24"/>
              <w:szCs w:val="24"/>
              <w14:ligatures w14:val="standardContextual"/>
            </w:rPr>
          </w:pPr>
          <w:hyperlink w:anchor="_Toc222904004" w:history="1">
            <w:r w:rsidRPr="009F21D0">
              <w:rPr>
                <w:rStyle w:val="Hyperlink"/>
                <w:noProof/>
              </w:rPr>
              <w:t>Figure 14. Factors Negatively Impacting Use of Accessible Formats: Differences by Location</w:t>
            </w:r>
            <w:r w:rsidRPr="009F21D0">
              <w:rPr>
                <w:rStyle w:val="Hyperlink"/>
                <w:rFonts w:ascii="ZWAdobeF" w:hAnsi="ZWAdobeF" w:cs="ZWAdobeF"/>
                <w:noProof/>
              </w:rPr>
              <w:t>38F</w:t>
            </w:r>
            <w:r>
              <w:rPr>
                <w:noProof/>
                <w:webHidden/>
              </w:rPr>
              <w:tab/>
            </w:r>
            <w:r>
              <w:rPr>
                <w:noProof/>
                <w:webHidden/>
              </w:rPr>
              <w:fldChar w:fldCharType="begin"/>
            </w:r>
            <w:r>
              <w:rPr>
                <w:noProof/>
                <w:webHidden/>
              </w:rPr>
              <w:instrText xml:space="preserve"> PAGEREF _Toc222904004 \h </w:instrText>
            </w:r>
            <w:r>
              <w:rPr>
                <w:noProof/>
                <w:webHidden/>
              </w:rPr>
            </w:r>
            <w:r>
              <w:rPr>
                <w:noProof/>
                <w:webHidden/>
              </w:rPr>
              <w:fldChar w:fldCharType="separate"/>
            </w:r>
            <w:r>
              <w:rPr>
                <w:noProof/>
                <w:webHidden/>
              </w:rPr>
              <w:t>37</w:t>
            </w:r>
            <w:r>
              <w:rPr>
                <w:noProof/>
                <w:webHidden/>
              </w:rPr>
              <w:fldChar w:fldCharType="end"/>
            </w:r>
          </w:hyperlink>
        </w:p>
        <w:p w14:paraId="53AA27C0" w14:textId="18071F78" w:rsidR="006F7119" w:rsidRDefault="006F7119">
          <w:pPr>
            <w:pStyle w:val="TOC4"/>
            <w:tabs>
              <w:tab w:val="right" w:leader="dot" w:pos="9350"/>
            </w:tabs>
            <w:rPr>
              <w:rFonts w:eastAsiaTheme="minorEastAsia"/>
              <w:noProof/>
              <w:kern w:val="2"/>
              <w:sz w:val="24"/>
              <w:szCs w:val="24"/>
              <w14:ligatures w14:val="standardContextual"/>
            </w:rPr>
          </w:pPr>
          <w:hyperlink w:anchor="_Toc222904005" w:history="1">
            <w:r w:rsidRPr="009F21D0">
              <w:rPr>
                <w:rStyle w:val="Hyperlink"/>
                <w:noProof/>
              </w:rPr>
              <w:t>Table 8. Qualitative Descriptions of Factors that Hinder the Use of Accessible Formats</w:t>
            </w:r>
            <w:r>
              <w:rPr>
                <w:noProof/>
                <w:webHidden/>
              </w:rPr>
              <w:tab/>
            </w:r>
            <w:r>
              <w:rPr>
                <w:noProof/>
                <w:webHidden/>
              </w:rPr>
              <w:fldChar w:fldCharType="begin"/>
            </w:r>
            <w:r>
              <w:rPr>
                <w:noProof/>
                <w:webHidden/>
              </w:rPr>
              <w:instrText xml:space="preserve"> PAGEREF _Toc222904005 \h </w:instrText>
            </w:r>
            <w:r>
              <w:rPr>
                <w:noProof/>
                <w:webHidden/>
              </w:rPr>
            </w:r>
            <w:r>
              <w:rPr>
                <w:noProof/>
                <w:webHidden/>
              </w:rPr>
              <w:fldChar w:fldCharType="separate"/>
            </w:r>
            <w:r>
              <w:rPr>
                <w:noProof/>
                <w:webHidden/>
              </w:rPr>
              <w:t>38</w:t>
            </w:r>
            <w:r>
              <w:rPr>
                <w:noProof/>
                <w:webHidden/>
              </w:rPr>
              <w:fldChar w:fldCharType="end"/>
            </w:r>
          </w:hyperlink>
        </w:p>
        <w:p w14:paraId="41C3CB30" w14:textId="43F70AB8" w:rsidR="006F7119" w:rsidRDefault="006F7119">
          <w:pPr>
            <w:pStyle w:val="TOC3"/>
            <w:tabs>
              <w:tab w:val="right" w:leader="dot" w:pos="9350"/>
            </w:tabs>
            <w:rPr>
              <w:rFonts w:eastAsiaTheme="minorEastAsia"/>
              <w:noProof/>
              <w:kern w:val="2"/>
              <w:sz w:val="24"/>
              <w:szCs w:val="24"/>
              <w14:ligatures w14:val="standardContextual"/>
            </w:rPr>
          </w:pPr>
          <w:hyperlink w:anchor="_Toc222904006" w:history="1">
            <w:r w:rsidRPr="009F21D0">
              <w:rPr>
                <w:rStyle w:val="Hyperlink"/>
                <w:noProof/>
              </w:rPr>
              <w:t>Practices that Facilitate Timely Delivery</w:t>
            </w:r>
            <w:r>
              <w:rPr>
                <w:noProof/>
                <w:webHidden/>
              </w:rPr>
              <w:tab/>
            </w:r>
            <w:r>
              <w:rPr>
                <w:noProof/>
                <w:webHidden/>
              </w:rPr>
              <w:fldChar w:fldCharType="begin"/>
            </w:r>
            <w:r>
              <w:rPr>
                <w:noProof/>
                <w:webHidden/>
              </w:rPr>
              <w:instrText xml:space="preserve"> PAGEREF _Toc222904006 \h </w:instrText>
            </w:r>
            <w:r>
              <w:rPr>
                <w:noProof/>
                <w:webHidden/>
              </w:rPr>
            </w:r>
            <w:r>
              <w:rPr>
                <w:noProof/>
                <w:webHidden/>
              </w:rPr>
              <w:fldChar w:fldCharType="separate"/>
            </w:r>
            <w:r>
              <w:rPr>
                <w:noProof/>
                <w:webHidden/>
              </w:rPr>
              <w:t>42</w:t>
            </w:r>
            <w:r>
              <w:rPr>
                <w:noProof/>
                <w:webHidden/>
              </w:rPr>
              <w:fldChar w:fldCharType="end"/>
            </w:r>
          </w:hyperlink>
        </w:p>
        <w:p w14:paraId="0F56D37F" w14:textId="2EB87B6E" w:rsidR="006F7119" w:rsidRDefault="006F7119">
          <w:pPr>
            <w:pStyle w:val="TOC4"/>
            <w:tabs>
              <w:tab w:val="right" w:leader="dot" w:pos="9350"/>
            </w:tabs>
            <w:rPr>
              <w:rFonts w:eastAsiaTheme="minorEastAsia"/>
              <w:noProof/>
              <w:kern w:val="2"/>
              <w:sz w:val="24"/>
              <w:szCs w:val="24"/>
              <w14:ligatures w14:val="standardContextual"/>
            </w:rPr>
          </w:pPr>
          <w:hyperlink w:anchor="_Toc222904007" w:history="1">
            <w:r w:rsidRPr="009F21D0">
              <w:rPr>
                <w:rStyle w:val="Hyperlink"/>
                <w:noProof/>
              </w:rPr>
              <w:t>Figure 15. Production-Related Factors that Facilitate Timely Delivery</w:t>
            </w:r>
            <w:r w:rsidRPr="009F21D0">
              <w:rPr>
                <w:rStyle w:val="Hyperlink"/>
                <w:rFonts w:ascii="ZWAdobeF" w:hAnsi="ZWAdobeF" w:cs="ZWAdobeF"/>
                <w:noProof/>
              </w:rPr>
              <w:t>40F</w:t>
            </w:r>
            <w:r>
              <w:rPr>
                <w:noProof/>
                <w:webHidden/>
              </w:rPr>
              <w:tab/>
            </w:r>
            <w:r>
              <w:rPr>
                <w:noProof/>
                <w:webHidden/>
              </w:rPr>
              <w:fldChar w:fldCharType="begin"/>
            </w:r>
            <w:r>
              <w:rPr>
                <w:noProof/>
                <w:webHidden/>
              </w:rPr>
              <w:instrText xml:space="preserve"> PAGEREF _Toc222904007 \h </w:instrText>
            </w:r>
            <w:r>
              <w:rPr>
                <w:noProof/>
                <w:webHidden/>
              </w:rPr>
            </w:r>
            <w:r>
              <w:rPr>
                <w:noProof/>
                <w:webHidden/>
              </w:rPr>
              <w:fldChar w:fldCharType="separate"/>
            </w:r>
            <w:r>
              <w:rPr>
                <w:noProof/>
                <w:webHidden/>
              </w:rPr>
              <w:t>43</w:t>
            </w:r>
            <w:r>
              <w:rPr>
                <w:noProof/>
                <w:webHidden/>
              </w:rPr>
              <w:fldChar w:fldCharType="end"/>
            </w:r>
          </w:hyperlink>
        </w:p>
        <w:p w14:paraId="10FC6790" w14:textId="713F3603" w:rsidR="006F7119" w:rsidRDefault="006F7119">
          <w:pPr>
            <w:pStyle w:val="TOC4"/>
            <w:tabs>
              <w:tab w:val="right" w:leader="dot" w:pos="9350"/>
            </w:tabs>
            <w:rPr>
              <w:rFonts w:eastAsiaTheme="minorEastAsia"/>
              <w:noProof/>
              <w:kern w:val="2"/>
              <w:sz w:val="24"/>
              <w:szCs w:val="24"/>
              <w14:ligatures w14:val="standardContextual"/>
            </w:rPr>
          </w:pPr>
          <w:hyperlink w:anchor="_Toc222904008" w:history="1">
            <w:r w:rsidRPr="009F21D0">
              <w:rPr>
                <w:rStyle w:val="Hyperlink"/>
                <w:noProof/>
              </w:rPr>
              <w:t>Figure 16. Production-Related Factors that Facilitate Timely Delivery: Differences by Location</w:t>
            </w:r>
            <w:r w:rsidRPr="009F21D0">
              <w:rPr>
                <w:rStyle w:val="Hyperlink"/>
                <w:rFonts w:ascii="ZWAdobeF" w:hAnsi="ZWAdobeF" w:cs="ZWAdobeF"/>
                <w:noProof/>
              </w:rPr>
              <w:t>41F</w:t>
            </w:r>
            <w:r>
              <w:rPr>
                <w:noProof/>
                <w:webHidden/>
              </w:rPr>
              <w:tab/>
            </w:r>
            <w:r>
              <w:rPr>
                <w:noProof/>
                <w:webHidden/>
              </w:rPr>
              <w:fldChar w:fldCharType="begin"/>
            </w:r>
            <w:r>
              <w:rPr>
                <w:noProof/>
                <w:webHidden/>
              </w:rPr>
              <w:instrText xml:space="preserve"> PAGEREF _Toc222904008 \h </w:instrText>
            </w:r>
            <w:r>
              <w:rPr>
                <w:noProof/>
                <w:webHidden/>
              </w:rPr>
            </w:r>
            <w:r>
              <w:rPr>
                <w:noProof/>
                <w:webHidden/>
              </w:rPr>
              <w:fldChar w:fldCharType="separate"/>
            </w:r>
            <w:r>
              <w:rPr>
                <w:noProof/>
                <w:webHidden/>
              </w:rPr>
              <w:t>44</w:t>
            </w:r>
            <w:r>
              <w:rPr>
                <w:noProof/>
                <w:webHidden/>
              </w:rPr>
              <w:fldChar w:fldCharType="end"/>
            </w:r>
          </w:hyperlink>
        </w:p>
        <w:p w14:paraId="3E1DAA2C" w14:textId="4A16E3D3" w:rsidR="006F7119" w:rsidRDefault="006F7119">
          <w:pPr>
            <w:pStyle w:val="TOC4"/>
            <w:tabs>
              <w:tab w:val="right" w:leader="dot" w:pos="9350"/>
            </w:tabs>
            <w:rPr>
              <w:rFonts w:eastAsiaTheme="minorEastAsia"/>
              <w:noProof/>
              <w:kern w:val="2"/>
              <w:sz w:val="24"/>
              <w:szCs w:val="24"/>
              <w14:ligatures w14:val="standardContextual"/>
            </w:rPr>
          </w:pPr>
          <w:hyperlink w:anchor="_Toc222904009" w:history="1">
            <w:r w:rsidRPr="009F21D0">
              <w:rPr>
                <w:rStyle w:val="Hyperlink"/>
                <w:noProof/>
              </w:rPr>
              <w:t>Figure 17. Production-Related Factors that Facilitate Timely Delivery: Differences by Role</w:t>
            </w:r>
            <w:r w:rsidRPr="009F21D0">
              <w:rPr>
                <w:rStyle w:val="Hyperlink"/>
                <w:rFonts w:ascii="ZWAdobeF" w:hAnsi="ZWAdobeF" w:cs="ZWAdobeF"/>
                <w:noProof/>
              </w:rPr>
              <w:t>42F</w:t>
            </w:r>
            <w:r>
              <w:rPr>
                <w:noProof/>
                <w:webHidden/>
              </w:rPr>
              <w:tab/>
            </w:r>
            <w:r>
              <w:rPr>
                <w:noProof/>
                <w:webHidden/>
              </w:rPr>
              <w:fldChar w:fldCharType="begin"/>
            </w:r>
            <w:r>
              <w:rPr>
                <w:noProof/>
                <w:webHidden/>
              </w:rPr>
              <w:instrText xml:space="preserve"> PAGEREF _Toc222904009 \h </w:instrText>
            </w:r>
            <w:r>
              <w:rPr>
                <w:noProof/>
                <w:webHidden/>
              </w:rPr>
            </w:r>
            <w:r>
              <w:rPr>
                <w:noProof/>
                <w:webHidden/>
              </w:rPr>
              <w:fldChar w:fldCharType="separate"/>
            </w:r>
            <w:r>
              <w:rPr>
                <w:noProof/>
                <w:webHidden/>
              </w:rPr>
              <w:t>45</w:t>
            </w:r>
            <w:r>
              <w:rPr>
                <w:noProof/>
                <w:webHidden/>
              </w:rPr>
              <w:fldChar w:fldCharType="end"/>
            </w:r>
          </w:hyperlink>
        </w:p>
        <w:p w14:paraId="13162FEE" w14:textId="041F1582" w:rsidR="006F7119" w:rsidRDefault="006F7119">
          <w:pPr>
            <w:pStyle w:val="TOC4"/>
            <w:tabs>
              <w:tab w:val="right" w:leader="dot" w:pos="9350"/>
            </w:tabs>
            <w:rPr>
              <w:rFonts w:eastAsiaTheme="minorEastAsia"/>
              <w:noProof/>
              <w:kern w:val="2"/>
              <w:sz w:val="24"/>
              <w:szCs w:val="24"/>
              <w14:ligatures w14:val="standardContextual"/>
            </w:rPr>
          </w:pPr>
          <w:hyperlink w:anchor="_Toc222904010" w:history="1">
            <w:r w:rsidRPr="009F21D0">
              <w:rPr>
                <w:rStyle w:val="Hyperlink"/>
                <w:noProof/>
              </w:rPr>
              <w:t>Table 9. Qualitative Descriptions of Production-Related Factors that Facilitate Timely Delivery</w:t>
            </w:r>
            <w:r>
              <w:rPr>
                <w:noProof/>
                <w:webHidden/>
              </w:rPr>
              <w:tab/>
            </w:r>
            <w:r>
              <w:rPr>
                <w:noProof/>
                <w:webHidden/>
              </w:rPr>
              <w:fldChar w:fldCharType="begin"/>
            </w:r>
            <w:r>
              <w:rPr>
                <w:noProof/>
                <w:webHidden/>
              </w:rPr>
              <w:instrText xml:space="preserve"> PAGEREF _Toc222904010 \h </w:instrText>
            </w:r>
            <w:r>
              <w:rPr>
                <w:noProof/>
                <w:webHidden/>
              </w:rPr>
            </w:r>
            <w:r>
              <w:rPr>
                <w:noProof/>
                <w:webHidden/>
              </w:rPr>
              <w:fldChar w:fldCharType="separate"/>
            </w:r>
            <w:r>
              <w:rPr>
                <w:noProof/>
                <w:webHidden/>
              </w:rPr>
              <w:t>46</w:t>
            </w:r>
            <w:r>
              <w:rPr>
                <w:noProof/>
                <w:webHidden/>
              </w:rPr>
              <w:fldChar w:fldCharType="end"/>
            </w:r>
          </w:hyperlink>
        </w:p>
        <w:p w14:paraId="55397E0C" w14:textId="161C437F" w:rsidR="006F7119" w:rsidRDefault="006F7119">
          <w:pPr>
            <w:pStyle w:val="TOC4"/>
            <w:tabs>
              <w:tab w:val="right" w:leader="dot" w:pos="9350"/>
            </w:tabs>
            <w:rPr>
              <w:rFonts w:eastAsiaTheme="minorEastAsia"/>
              <w:noProof/>
              <w:kern w:val="2"/>
              <w:sz w:val="24"/>
              <w:szCs w:val="24"/>
              <w14:ligatures w14:val="standardContextual"/>
            </w:rPr>
          </w:pPr>
          <w:hyperlink w:anchor="_Toc222904011" w:history="1">
            <w:r w:rsidRPr="009F21D0">
              <w:rPr>
                <w:rStyle w:val="Hyperlink"/>
                <w:noProof/>
              </w:rPr>
              <w:t>Figure 18. State, Regional, District, or School-Level Practices that Facilitate Timely Delivery</w:t>
            </w:r>
            <w:r w:rsidRPr="009F21D0">
              <w:rPr>
                <w:rStyle w:val="Hyperlink"/>
                <w:rFonts w:ascii="ZWAdobeF" w:hAnsi="ZWAdobeF" w:cs="ZWAdobeF"/>
                <w:noProof/>
              </w:rPr>
              <w:t>45F</w:t>
            </w:r>
            <w:r>
              <w:rPr>
                <w:noProof/>
                <w:webHidden/>
              </w:rPr>
              <w:tab/>
            </w:r>
            <w:r>
              <w:rPr>
                <w:noProof/>
                <w:webHidden/>
              </w:rPr>
              <w:fldChar w:fldCharType="begin"/>
            </w:r>
            <w:r>
              <w:rPr>
                <w:noProof/>
                <w:webHidden/>
              </w:rPr>
              <w:instrText xml:space="preserve"> PAGEREF _Toc222904011 \h </w:instrText>
            </w:r>
            <w:r>
              <w:rPr>
                <w:noProof/>
                <w:webHidden/>
              </w:rPr>
            </w:r>
            <w:r>
              <w:rPr>
                <w:noProof/>
                <w:webHidden/>
              </w:rPr>
              <w:fldChar w:fldCharType="separate"/>
            </w:r>
            <w:r>
              <w:rPr>
                <w:noProof/>
                <w:webHidden/>
              </w:rPr>
              <w:t>48</w:t>
            </w:r>
            <w:r>
              <w:rPr>
                <w:noProof/>
                <w:webHidden/>
              </w:rPr>
              <w:fldChar w:fldCharType="end"/>
            </w:r>
          </w:hyperlink>
        </w:p>
        <w:p w14:paraId="19A5823B" w14:textId="64F4C199" w:rsidR="006F7119" w:rsidRDefault="006F7119">
          <w:pPr>
            <w:pStyle w:val="TOC4"/>
            <w:tabs>
              <w:tab w:val="right" w:leader="dot" w:pos="9350"/>
            </w:tabs>
            <w:rPr>
              <w:rFonts w:eastAsiaTheme="minorEastAsia"/>
              <w:noProof/>
              <w:kern w:val="2"/>
              <w:sz w:val="24"/>
              <w:szCs w:val="24"/>
              <w14:ligatures w14:val="standardContextual"/>
            </w:rPr>
          </w:pPr>
          <w:hyperlink w:anchor="_Toc222904012" w:history="1">
            <w:r w:rsidRPr="009F21D0">
              <w:rPr>
                <w:rStyle w:val="Hyperlink"/>
                <w:noProof/>
              </w:rPr>
              <w:t>Figure 19. State, Regional, District, and School-Level Practices that Facilitate Timely Delivery: Difference by Location</w:t>
            </w:r>
            <w:r w:rsidRPr="009F21D0">
              <w:rPr>
                <w:rStyle w:val="Hyperlink"/>
                <w:rFonts w:ascii="ZWAdobeF" w:hAnsi="ZWAdobeF" w:cs="ZWAdobeF"/>
                <w:noProof/>
              </w:rPr>
              <w:t>46F</w:t>
            </w:r>
            <w:r>
              <w:rPr>
                <w:noProof/>
                <w:webHidden/>
              </w:rPr>
              <w:tab/>
            </w:r>
            <w:r>
              <w:rPr>
                <w:noProof/>
                <w:webHidden/>
              </w:rPr>
              <w:fldChar w:fldCharType="begin"/>
            </w:r>
            <w:r>
              <w:rPr>
                <w:noProof/>
                <w:webHidden/>
              </w:rPr>
              <w:instrText xml:space="preserve"> PAGEREF _Toc222904012 \h </w:instrText>
            </w:r>
            <w:r>
              <w:rPr>
                <w:noProof/>
                <w:webHidden/>
              </w:rPr>
            </w:r>
            <w:r>
              <w:rPr>
                <w:noProof/>
                <w:webHidden/>
              </w:rPr>
              <w:fldChar w:fldCharType="separate"/>
            </w:r>
            <w:r>
              <w:rPr>
                <w:noProof/>
                <w:webHidden/>
              </w:rPr>
              <w:t>49</w:t>
            </w:r>
            <w:r>
              <w:rPr>
                <w:noProof/>
                <w:webHidden/>
              </w:rPr>
              <w:fldChar w:fldCharType="end"/>
            </w:r>
          </w:hyperlink>
        </w:p>
        <w:p w14:paraId="7D81CC2D" w14:textId="3F1D7493" w:rsidR="006F7119" w:rsidRDefault="006F7119">
          <w:pPr>
            <w:pStyle w:val="TOC4"/>
            <w:tabs>
              <w:tab w:val="right" w:leader="dot" w:pos="9350"/>
            </w:tabs>
            <w:rPr>
              <w:rFonts w:eastAsiaTheme="minorEastAsia"/>
              <w:noProof/>
              <w:kern w:val="2"/>
              <w:sz w:val="24"/>
              <w:szCs w:val="24"/>
              <w14:ligatures w14:val="standardContextual"/>
            </w:rPr>
          </w:pPr>
          <w:hyperlink w:anchor="_Toc222904013" w:history="1">
            <w:r w:rsidRPr="009F21D0">
              <w:rPr>
                <w:rStyle w:val="Hyperlink"/>
                <w:noProof/>
              </w:rPr>
              <w:t>Table 10. Qualitative Descriptions of State, Regional, District, and School-Level Practices that Facilitate Timely Delivery</w:t>
            </w:r>
            <w:r>
              <w:rPr>
                <w:noProof/>
                <w:webHidden/>
              </w:rPr>
              <w:tab/>
            </w:r>
            <w:r>
              <w:rPr>
                <w:noProof/>
                <w:webHidden/>
              </w:rPr>
              <w:fldChar w:fldCharType="begin"/>
            </w:r>
            <w:r>
              <w:rPr>
                <w:noProof/>
                <w:webHidden/>
              </w:rPr>
              <w:instrText xml:space="preserve"> PAGEREF _Toc222904013 \h </w:instrText>
            </w:r>
            <w:r>
              <w:rPr>
                <w:noProof/>
                <w:webHidden/>
              </w:rPr>
            </w:r>
            <w:r>
              <w:rPr>
                <w:noProof/>
                <w:webHidden/>
              </w:rPr>
              <w:fldChar w:fldCharType="separate"/>
            </w:r>
            <w:r>
              <w:rPr>
                <w:noProof/>
                <w:webHidden/>
              </w:rPr>
              <w:t>50</w:t>
            </w:r>
            <w:r>
              <w:rPr>
                <w:noProof/>
                <w:webHidden/>
              </w:rPr>
              <w:fldChar w:fldCharType="end"/>
            </w:r>
          </w:hyperlink>
        </w:p>
        <w:p w14:paraId="7782C3C5" w14:textId="7DAF6466" w:rsidR="006F7119" w:rsidRDefault="006F7119">
          <w:pPr>
            <w:pStyle w:val="TOC4"/>
            <w:tabs>
              <w:tab w:val="right" w:leader="dot" w:pos="9350"/>
            </w:tabs>
            <w:rPr>
              <w:rFonts w:eastAsiaTheme="minorEastAsia"/>
              <w:noProof/>
              <w:kern w:val="2"/>
              <w:sz w:val="24"/>
              <w:szCs w:val="24"/>
              <w14:ligatures w14:val="standardContextual"/>
            </w:rPr>
          </w:pPr>
          <w:hyperlink w:anchor="_Toc222904014" w:history="1">
            <w:r w:rsidRPr="009F21D0">
              <w:rPr>
                <w:rStyle w:val="Hyperlink"/>
                <w:noProof/>
              </w:rPr>
              <w:t>Figure 20. NIMAC-Related Practices that Facilitate the Timely Delivery</w:t>
            </w:r>
            <w:r w:rsidRPr="009F21D0">
              <w:rPr>
                <w:rStyle w:val="Hyperlink"/>
                <w:rFonts w:ascii="ZWAdobeF" w:hAnsi="ZWAdobeF" w:cs="ZWAdobeF"/>
                <w:noProof/>
              </w:rPr>
              <w:t>47F</w:t>
            </w:r>
            <w:r>
              <w:rPr>
                <w:noProof/>
                <w:webHidden/>
              </w:rPr>
              <w:tab/>
            </w:r>
            <w:r>
              <w:rPr>
                <w:noProof/>
                <w:webHidden/>
              </w:rPr>
              <w:fldChar w:fldCharType="begin"/>
            </w:r>
            <w:r>
              <w:rPr>
                <w:noProof/>
                <w:webHidden/>
              </w:rPr>
              <w:instrText xml:space="preserve"> PAGEREF _Toc222904014 \h </w:instrText>
            </w:r>
            <w:r>
              <w:rPr>
                <w:noProof/>
                <w:webHidden/>
              </w:rPr>
            </w:r>
            <w:r>
              <w:rPr>
                <w:noProof/>
                <w:webHidden/>
              </w:rPr>
              <w:fldChar w:fldCharType="separate"/>
            </w:r>
            <w:r>
              <w:rPr>
                <w:noProof/>
                <w:webHidden/>
              </w:rPr>
              <w:t>56</w:t>
            </w:r>
            <w:r>
              <w:rPr>
                <w:noProof/>
                <w:webHidden/>
              </w:rPr>
              <w:fldChar w:fldCharType="end"/>
            </w:r>
          </w:hyperlink>
        </w:p>
        <w:p w14:paraId="6E9D4C48" w14:textId="6CEB13AC" w:rsidR="006F7119" w:rsidRDefault="006F7119">
          <w:pPr>
            <w:pStyle w:val="TOC4"/>
            <w:tabs>
              <w:tab w:val="right" w:leader="dot" w:pos="9350"/>
            </w:tabs>
            <w:rPr>
              <w:rFonts w:eastAsiaTheme="minorEastAsia"/>
              <w:noProof/>
              <w:kern w:val="2"/>
              <w:sz w:val="24"/>
              <w:szCs w:val="24"/>
              <w14:ligatures w14:val="standardContextual"/>
            </w:rPr>
          </w:pPr>
          <w:hyperlink w:anchor="_Toc222904015" w:history="1">
            <w:r w:rsidRPr="009F21D0">
              <w:rPr>
                <w:rStyle w:val="Hyperlink"/>
                <w:noProof/>
              </w:rPr>
              <w:t>Figure 21. Agreement with NIMAS Files Helping Facilitate Timely Delivery</w:t>
            </w:r>
            <w:r w:rsidRPr="009F21D0">
              <w:rPr>
                <w:rStyle w:val="Hyperlink"/>
                <w:rFonts w:ascii="ZWAdobeF" w:hAnsi="ZWAdobeF" w:cs="ZWAdobeF"/>
                <w:noProof/>
              </w:rPr>
              <w:t>48F</w:t>
            </w:r>
            <w:r>
              <w:rPr>
                <w:noProof/>
                <w:webHidden/>
              </w:rPr>
              <w:tab/>
            </w:r>
            <w:r>
              <w:rPr>
                <w:noProof/>
                <w:webHidden/>
              </w:rPr>
              <w:fldChar w:fldCharType="begin"/>
            </w:r>
            <w:r>
              <w:rPr>
                <w:noProof/>
                <w:webHidden/>
              </w:rPr>
              <w:instrText xml:space="preserve"> PAGEREF _Toc222904015 \h </w:instrText>
            </w:r>
            <w:r>
              <w:rPr>
                <w:noProof/>
                <w:webHidden/>
              </w:rPr>
            </w:r>
            <w:r>
              <w:rPr>
                <w:noProof/>
                <w:webHidden/>
              </w:rPr>
              <w:fldChar w:fldCharType="separate"/>
            </w:r>
            <w:r>
              <w:rPr>
                <w:noProof/>
                <w:webHidden/>
              </w:rPr>
              <w:t>56</w:t>
            </w:r>
            <w:r>
              <w:rPr>
                <w:noProof/>
                <w:webHidden/>
              </w:rPr>
              <w:fldChar w:fldCharType="end"/>
            </w:r>
          </w:hyperlink>
        </w:p>
        <w:p w14:paraId="23845FC4" w14:textId="75C486EE" w:rsidR="006F7119" w:rsidRDefault="006F7119">
          <w:pPr>
            <w:pStyle w:val="TOC4"/>
            <w:tabs>
              <w:tab w:val="right" w:leader="dot" w:pos="9350"/>
            </w:tabs>
            <w:rPr>
              <w:rFonts w:eastAsiaTheme="minorEastAsia"/>
              <w:noProof/>
              <w:kern w:val="2"/>
              <w:sz w:val="24"/>
              <w:szCs w:val="24"/>
              <w14:ligatures w14:val="standardContextual"/>
            </w:rPr>
          </w:pPr>
          <w:hyperlink w:anchor="_Toc222904016" w:history="1">
            <w:r w:rsidRPr="009F21D0">
              <w:rPr>
                <w:rStyle w:val="Hyperlink"/>
                <w:noProof/>
              </w:rPr>
              <w:t>Figure 22. Agreement with the NIMAC Watchlist Being a Valuable Service</w:t>
            </w:r>
            <w:r w:rsidRPr="009F21D0">
              <w:rPr>
                <w:rStyle w:val="Hyperlink"/>
                <w:rFonts w:ascii="ZWAdobeF" w:hAnsi="ZWAdobeF" w:cs="ZWAdobeF"/>
                <w:noProof/>
              </w:rPr>
              <w:t>49F</w:t>
            </w:r>
            <w:r>
              <w:rPr>
                <w:noProof/>
                <w:webHidden/>
              </w:rPr>
              <w:tab/>
            </w:r>
            <w:r>
              <w:rPr>
                <w:noProof/>
                <w:webHidden/>
              </w:rPr>
              <w:fldChar w:fldCharType="begin"/>
            </w:r>
            <w:r>
              <w:rPr>
                <w:noProof/>
                <w:webHidden/>
              </w:rPr>
              <w:instrText xml:space="preserve"> PAGEREF _Toc222904016 \h </w:instrText>
            </w:r>
            <w:r>
              <w:rPr>
                <w:noProof/>
                <w:webHidden/>
              </w:rPr>
            </w:r>
            <w:r>
              <w:rPr>
                <w:noProof/>
                <w:webHidden/>
              </w:rPr>
              <w:fldChar w:fldCharType="separate"/>
            </w:r>
            <w:r>
              <w:rPr>
                <w:noProof/>
                <w:webHidden/>
              </w:rPr>
              <w:t>57</w:t>
            </w:r>
            <w:r>
              <w:rPr>
                <w:noProof/>
                <w:webHidden/>
              </w:rPr>
              <w:fldChar w:fldCharType="end"/>
            </w:r>
          </w:hyperlink>
        </w:p>
        <w:p w14:paraId="285AB48D" w14:textId="3A7F83C8" w:rsidR="006F7119" w:rsidRDefault="006F7119">
          <w:pPr>
            <w:pStyle w:val="TOC4"/>
            <w:tabs>
              <w:tab w:val="right" w:leader="dot" w:pos="9350"/>
            </w:tabs>
            <w:rPr>
              <w:rFonts w:eastAsiaTheme="minorEastAsia"/>
              <w:noProof/>
              <w:kern w:val="2"/>
              <w:sz w:val="24"/>
              <w:szCs w:val="24"/>
              <w14:ligatures w14:val="standardContextual"/>
            </w:rPr>
          </w:pPr>
          <w:hyperlink w:anchor="_Toc222904017" w:history="1">
            <w:r w:rsidRPr="009F21D0">
              <w:rPr>
                <w:rStyle w:val="Hyperlink"/>
                <w:noProof/>
              </w:rPr>
              <w:t>Table 11. Qualitative Descriptions of NIMAC-Related Practices that Facilitate Timely Delivery</w:t>
            </w:r>
            <w:r>
              <w:rPr>
                <w:noProof/>
                <w:webHidden/>
              </w:rPr>
              <w:tab/>
            </w:r>
            <w:r>
              <w:rPr>
                <w:noProof/>
                <w:webHidden/>
              </w:rPr>
              <w:fldChar w:fldCharType="begin"/>
            </w:r>
            <w:r>
              <w:rPr>
                <w:noProof/>
                <w:webHidden/>
              </w:rPr>
              <w:instrText xml:space="preserve"> PAGEREF _Toc222904017 \h </w:instrText>
            </w:r>
            <w:r>
              <w:rPr>
                <w:noProof/>
                <w:webHidden/>
              </w:rPr>
            </w:r>
            <w:r>
              <w:rPr>
                <w:noProof/>
                <w:webHidden/>
              </w:rPr>
              <w:fldChar w:fldCharType="separate"/>
            </w:r>
            <w:r>
              <w:rPr>
                <w:noProof/>
                <w:webHidden/>
              </w:rPr>
              <w:t>58</w:t>
            </w:r>
            <w:r>
              <w:rPr>
                <w:noProof/>
                <w:webHidden/>
              </w:rPr>
              <w:fldChar w:fldCharType="end"/>
            </w:r>
          </w:hyperlink>
        </w:p>
        <w:p w14:paraId="3ACD509A" w14:textId="24419837" w:rsidR="006F7119" w:rsidRDefault="006F7119">
          <w:pPr>
            <w:pStyle w:val="TOC3"/>
            <w:tabs>
              <w:tab w:val="right" w:leader="dot" w:pos="9350"/>
            </w:tabs>
            <w:rPr>
              <w:rFonts w:eastAsiaTheme="minorEastAsia"/>
              <w:noProof/>
              <w:kern w:val="2"/>
              <w:sz w:val="24"/>
              <w:szCs w:val="24"/>
              <w14:ligatures w14:val="standardContextual"/>
            </w:rPr>
          </w:pPr>
          <w:hyperlink w:anchor="_Toc222904018" w:history="1">
            <w:r w:rsidRPr="009F21D0">
              <w:rPr>
                <w:rStyle w:val="Hyperlink"/>
                <w:noProof/>
              </w:rPr>
              <w:t>Practices that Hinder Timely Delivery</w:t>
            </w:r>
            <w:r>
              <w:rPr>
                <w:noProof/>
                <w:webHidden/>
              </w:rPr>
              <w:tab/>
            </w:r>
            <w:r>
              <w:rPr>
                <w:noProof/>
                <w:webHidden/>
              </w:rPr>
              <w:fldChar w:fldCharType="begin"/>
            </w:r>
            <w:r>
              <w:rPr>
                <w:noProof/>
                <w:webHidden/>
              </w:rPr>
              <w:instrText xml:space="preserve"> PAGEREF _Toc222904018 \h </w:instrText>
            </w:r>
            <w:r>
              <w:rPr>
                <w:noProof/>
                <w:webHidden/>
              </w:rPr>
            </w:r>
            <w:r>
              <w:rPr>
                <w:noProof/>
                <w:webHidden/>
              </w:rPr>
              <w:fldChar w:fldCharType="separate"/>
            </w:r>
            <w:r>
              <w:rPr>
                <w:noProof/>
                <w:webHidden/>
              </w:rPr>
              <w:t>59</w:t>
            </w:r>
            <w:r>
              <w:rPr>
                <w:noProof/>
                <w:webHidden/>
              </w:rPr>
              <w:fldChar w:fldCharType="end"/>
            </w:r>
          </w:hyperlink>
        </w:p>
        <w:p w14:paraId="7199F371" w14:textId="5D267D6C" w:rsidR="006F7119" w:rsidRDefault="006F7119">
          <w:pPr>
            <w:pStyle w:val="TOC4"/>
            <w:tabs>
              <w:tab w:val="right" w:leader="dot" w:pos="9350"/>
            </w:tabs>
            <w:rPr>
              <w:rFonts w:eastAsiaTheme="minorEastAsia"/>
              <w:noProof/>
              <w:kern w:val="2"/>
              <w:sz w:val="24"/>
              <w:szCs w:val="24"/>
              <w14:ligatures w14:val="standardContextual"/>
            </w:rPr>
          </w:pPr>
          <w:hyperlink w:anchor="_Toc222904019" w:history="1">
            <w:r w:rsidRPr="009F21D0">
              <w:rPr>
                <w:rStyle w:val="Hyperlink"/>
                <w:noProof/>
              </w:rPr>
              <w:t>Figure 23. Procurement-Related Factors that Hinder Timely Delivery of Accessible Formats</w:t>
            </w:r>
            <w:r w:rsidRPr="009F21D0">
              <w:rPr>
                <w:rStyle w:val="Hyperlink"/>
                <w:rFonts w:ascii="ZWAdobeF" w:hAnsi="ZWAdobeF" w:cs="ZWAdobeF"/>
                <w:noProof/>
              </w:rPr>
              <w:t>51F</w:t>
            </w:r>
            <w:r>
              <w:rPr>
                <w:noProof/>
                <w:webHidden/>
              </w:rPr>
              <w:tab/>
            </w:r>
            <w:r>
              <w:rPr>
                <w:noProof/>
                <w:webHidden/>
              </w:rPr>
              <w:fldChar w:fldCharType="begin"/>
            </w:r>
            <w:r>
              <w:rPr>
                <w:noProof/>
                <w:webHidden/>
              </w:rPr>
              <w:instrText xml:space="preserve"> PAGEREF _Toc222904019 \h </w:instrText>
            </w:r>
            <w:r>
              <w:rPr>
                <w:noProof/>
                <w:webHidden/>
              </w:rPr>
            </w:r>
            <w:r>
              <w:rPr>
                <w:noProof/>
                <w:webHidden/>
              </w:rPr>
              <w:fldChar w:fldCharType="separate"/>
            </w:r>
            <w:r>
              <w:rPr>
                <w:noProof/>
                <w:webHidden/>
              </w:rPr>
              <w:t>60</w:t>
            </w:r>
            <w:r>
              <w:rPr>
                <w:noProof/>
                <w:webHidden/>
              </w:rPr>
              <w:fldChar w:fldCharType="end"/>
            </w:r>
          </w:hyperlink>
        </w:p>
        <w:p w14:paraId="3A1D2B8A" w14:textId="142B37CF" w:rsidR="006F7119" w:rsidRDefault="006F7119">
          <w:pPr>
            <w:pStyle w:val="TOC4"/>
            <w:tabs>
              <w:tab w:val="right" w:leader="dot" w:pos="9350"/>
            </w:tabs>
            <w:rPr>
              <w:rFonts w:eastAsiaTheme="minorEastAsia"/>
              <w:noProof/>
              <w:kern w:val="2"/>
              <w:sz w:val="24"/>
              <w:szCs w:val="24"/>
              <w14:ligatures w14:val="standardContextual"/>
            </w:rPr>
          </w:pPr>
          <w:hyperlink w:anchor="_Toc222904020" w:history="1">
            <w:r w:rsidRPr="009F21D0">
              <w:rPr>
                <w:rStyle w:val="Hyperlink"/>
                <w:noProof/>
              </w:rPr>
              <w:t>Figure 24. Procurement-Related Factors that Hinder Timely Delivery of Accessible Formats: Differences by Role</w:t>
            </w:r>
            <w:r w:rsidRPr="009F21D0">
              <w:rPr>
                <w:rStyle w:val="Hyperlink"/>
                <w:rFonts w:ascii="ZWAdobeF" w:hAnsi="ZWAdobeF" w:cs="ZWAdobeF"/>
                <w:noProof/>
              </w:rPr>
              <w:t>52F</w:t>
            </w:r>
            <w:r>
              <w:rPr>
                <w:noProof/>
                <w:webHidden/>
              </w:rPr>
              <w:tab/>
            </w:r>
            <w:r>
              <w:rPr>
                <w:noProof/>
                <w:webHidden/>
              </w:rPr>
              <w:fldChar w:fldCharType="begin"/>
            </w:r>
            <w:r>
              <w:rPr>
                <w:noProof/>
                <w:webHidden/>
              </w:rPr>
              <w:instrText xml:space="preserve"> PAGEREF _Toc222904020 \h </w:instrText>
            </w:r>
            <w:r>
              <w:rPr>
                <w:noProof/>
                <w:webHidden/>
              </w:rPr>
            </w:r>
            <w:r>
              <w:rPr>
                <w:noProof/>
                <w:webHidden/>
              </w:rPr>
              <w:fldChar w:fldCharType="separate"/>
            </w:r>
            <w:r>
              <w:rPr>
                <w:noProof/>
                <w:webHidden/>
              </w:rPr>
              <w:t>61</w:t>
            </w:r>
            <w:r>
              <w:rPr>
                <w:noProof/>
                <w:webHidden/>
              </w:rPr>
              <w:fldChar w:fldCharType="end"/>
            </w:r>
          </w:hyperlink>
        </w:p>
        <w:p w14:paraId="0C1C1FC8" w14:textId="41C178E7" w:rsidR="006F7119" w:rsidRDefault="006F7119">
          <w:pPr>
            <w:pStyle w:val="TOC4"/>
            <w:tabs>
              <w:tab w:val="right" w:leader="dot" w:pos="9350"/>
            </w:tabs>
            <w:rPr>
              <w:rFonts w:eastAsiaTheme="minorEastAsia"/>
              <w:noProof/>
              <w:kern w:val="2"/>
              <w:sz w:val="24"/>
              <w:szCs w:val="24"/>
              <w14:ligatures w14:val="standardContextual"/>
            </w:rPr>
          </w:pPr>
          <w:hyperlink w:anchor="_Toc222904021" w:history="1">
            <w:r w:rsidRPr="009F21D0">
              <w:rPr>
                <w:rStyle w:val="Hyperlink"/>
                <w:noProof/>
              </w:rPr>
              <w:t>Table 12. Qualitative Descriptions of Procurement-Related Factors that Hinder Timely Delivery</w:t>
            </w:r>
            <w:r>
              <w:rPr>
                <w:noProof/>
                <w:webHidden/>
              </w:rPr>
              <w:tab/>
            </w:r>
            <w:r>
              <w:rPr>
                <w:noProof/>
                <w:webHidden/>
              </w:rPr>
              <w:fldChar w:fldCharType="begin"/>
            </w:r>
            <w:r>
              <w:rPr>
                <w:noProof/>
                <w:webHidden/>
              </w:rPr>
              <w:instrText xml:space="preserve"> PAGEREF _Toc222904021 \h </w:instrText>
            </w:r>
            <w:r>
              <w:rPr>
                <w:noProof/>
                <w:webHidden/>
              </w:rPr>
            </w:r>
            <w:r>
              <w:rPr>
                <w:noProof/>
                <w:webHidden/>
              </w:rPr>
              <w:fldChar w:fldCharType="separate"/>
            </w:r>
            <w:r>
              <w:rPr>
                <w:noProof/>
                <w:webHidden/>
              </w:rPr>
              <w:t>62</w:t>
            </w:r>
            <w:r>
              <w:rPr>
                <w:noProof/>
                <w:webHidden/>
              </w:rPr>
              <w:fldChar w:fldCharType="end"/>
            </w:r>
          </w:hyperlink>
        </w:p>
        <w:p w14:paraId="2DFBFC8C" w14:textId="0526FBF0" w:rsidR="006F7119" w:rsidRDefault="006F7119">
          <w:pPr>
            <w:pStyle w:val="TOC4"/>
            <w:tabs>
              <w:tab w:val="right" w:leader="dot" w:pos="9350"/>
            </w:tabs>
            <w:rPr>
              <w:rFonts w:eastAsiaTheme="minorEastAsia"/>
              <w:noProof/>
              <w:kern w:val="2"/>
              <w:sz w:val="24"/>
              <w:szCs w:val="24"/>
              <w14:ligatures w14:val="standardContextual"/>
            </w:rPr>
          </w:pPr>
          <w:hyperlink w:anchor="_Toc222904022" w:history="1">
            <w:r w:rsidRPr="009F21D0">
              <w:rPr>
                <w:rStyle w:val="Hyperlink"/>
                <w:noProof/>
              </w:rPr>
              <w:t>Figure 25. NIMAC-Related Factors that Hinder Timely Delivery</w:t>
            </w:r>
            <w:r w:rsidRPr="009F21D0">
              <w:rPr>
                <w:rStyle w:val="Hyperlink"/>
                <w:rFonts w:ascii="ZWAdobeF" w:hAnsi="ZWAdobeF" w:cs="ZWAdobeF"/>
                <w:noProof/>
              </w:rPr>
              <w:t>53F</w:t>
            </w:r>
            <w:r>
              <w:rPr>
                <w:noProof/>
                <w:webHidden/>
              </w:rPr>
              <w:tab/>
            </w:r>
            <w:r>
              <w:rPr>
                <w:noProof/>
                <w:webHidden/>
              </w:rPr>
              <w:fldChar w:fldCharType="begin"/>
            </w:r>
            <w:r>
              <w:rPr>
                <w:noProof/>
                <w:webHidden/>
              </w:rPr>
              <w:instrText xml:space="preserve"> PAGEREF _Toc222904022 \h </w:instrText>
            </w:r>
            <w:r>
              <w:rPr>
                <w:noProof/>
                <w:webHidden/>
              </w:rPr>
            </w:r>
            <w:r>
              <w:rPr>
                <w:noProof/>
                <w:webHidden/>
              </w:rPr>
              <w:fldChar w:fldCharType="separate"/>
            </w:r>
            <w:r>
              <w:rPr>
                <w:noProof/>
                <w:webHidden/>
              </w:rPr>
              <w:t>65</w:t>
            </w:r>
            <w:r>
              <w:rPr>
                <w:noProof/>
                <w:webHidden/>
              </w:rPr>
              <w:fldChar w:fldCharType="end"/>
            </w:r>
          </w:hyperlink>
        </w:p>
        <w:p w14:paraId="371445E0" w14:textId="4CC382E3" w:rsidR="006F7119" w:rsidRDefault="006F7119">
          <w:pPr>
            <w:pStyle w:val="TOC4"/>
            <w:tabs>
              <w:tab w:val="right" w:leader="dot" w:pos="9350"/>
            </w:tabs>
            <w:rPr>
              <w:rFonts w:eastAsiaTheme="minorEastAsia"/>
              <w:noProof/>
              <w:kern w:val="2"/>
              <w:sz w:val="24"/>
              <w:szCs w:val="24"/>
              <w14:ligatures w14:val="standardContextual"/>
            </w:rPr>
          </w:pPr>
          <w:hyperlink w:anchor="_Toc222904023" w:history="1">
            <w:r w:rsidRPr="009F21D0">
              <w:rPr>
                <w:rStyle w:val="Hyperlink"/>
                <w:noProof/>
              </w:rPr>
              <w:t>Table 13. Qualitative Descriptions of NIMAC-Related Factors that Hinder Timely Delivery</w:t>
            </w:r>
            <w:r>
              <w:rPr>
                <w:noProof/>
                <w:webHidden/>
              </w:rPr>
              <w:tab/>
            </w:r>
            <w:r>
              <w:rPr>
                <w:noProof/>
                <w:webHidden/>
              </w:rPr>
              <w:fldChar w:fldCharType="begin"/>
            </w:r>
            <w:r>
              <w:rPr>
                <w:noProof/>
                <w:webHidden/>
              </w:rPr>
              <w:instrText xml:space="preserve"> PAGEREF _Toc222904023 \h </w:instrText>
            </w:r>
            <w:r>
              <w:rPr>
                <w:noProof/>
                <w:webHidden/>
              </w:rPr>
            </w:r>
            <w:r>
              <w:rPr>
                <w:noProof/>
                <w:webHidden/>
              </w:rPr>
              <w:fldChar w:fldCharType="separate"/>
            </w:r>
            <w:r>
              <w:rPr>
                <w:noProof/>
                <w:webHidden/>
              </w:rPr>
              <w:t>66</w:t>
            </w:r>
            <w:r>
              <w:rPr>
                <w:noProof/>
                <w:webHidden/>
              </w:rPr>
              <w:fldChar w:fldCharType="end"/>
            </w:r>
          </w:hyperlink>
        </w:p>
        <w:p w14:paraId="1FC97300" w14:textId="0AB95812" w:rsidR="006F7119" w:rsidRDefault="006F7119">
          <w:pPr>
            <w:pStyle w:val="TOC4"/>
            <w:tabs>
              <w:tab w:val="right" w:leader="dot" w:pos="9350"/>
            </w:tabs>
            <w:rPr>
              <w:rFonts w:eastAsiaTheme="minorEastAsia"/>
              <w:noProof/>
              <w:kern w:val="2"/>
              <w:sz w:val="24"/>
              <w:szCs w:val="24"/>
              <w14:ligatures w14:val="standardContextual"/>
            </w:rPr>
          </w:pPr>
          <w:hyperlink w:anchor="_Toc222904024" w:history="1">
            <w:r w:rsidRPr="009F21D0">
              <w:rPr>
                <w:rStyle w:val="Hyperlink"/>
                <w:noProof/>
              </w:rPr>
              <w:t>Figure 26. Production-Related Factors that Hinder Timely Delivery of Accessible Formats</w:t>
            </w:r>
            <w:r w:rsidRPr="009F21D0">
              <w:rPr>
                <w:rStyle w:val="Hyperlink"/>
                <w:rFonts w:ascii="ZWAdobeF" w:hAnsi="ZWAdobeF" w:cs="ZWAdobeF"/>
                <w:noProof/>
              </w:rPr>
              <w:t>55F</w:t>
            </w:r>
            <w:r>
              <w:rPr>
                <w:noProof/>
                <w:webHidden/>
              </w:rPr>
              <w:tab/>
            </w:r>
            <w:r>
              <w:rPr>
                <w:noProof/>
                <w:webHidden/>
              </w:rPr>
              <w:fldChar w:fldCharType="begin"/>
            </w:r>
            <w:r>
              <w:rPr>
                <w:noProof/>
                <w:webHidden/>
              </w:rPr>
              <w:instrText xml:space="preserve"> PAGEREF _Toc222904024 \h </w:instrText>
            </w:r>
            <w:r>
              <w:rPr>
                <w:noProof/>
                <w:webHidden/>
              </w:rPr>
            </w:r>
            <w:r>
              <w:rPr>
                <w:noProof/>
                <w:webHidden/>
              </w:rPr>
              <w:fldChar w:fldCharType="separate"/>
            </w:r>
            <w:r>
              <w:rPr>
                <w:noProof/>
                <w:webHidden/>
              </w:rPr>
              <w:t>69</w:t>
            </w:r>
            <w:r>
              <w:rPr>
                <w:noProof/>
                <w:webHidden/>
              </w:rPr>
              <w:fldChar w:fldCharType="end"/>
            </w:r>
          </w:hyperlink>
        </w:p>
        <w:p w14:paraId="0E4D8B90" w14:textId="2472582B" w:rsidR="006F7119" w:rsidRDefault="006F7119">
          <w:pPr>
            <w:pStyle w:val="TOC4"/>
            <w:tabs>
              <w:tab w:val="right" w:leader="dot" w:pos="9350"/>
            </w:tabs>
            <w:rPr>
              <w:rFonts w:eastAsiaTheme="minorEastAsia"/>
              <w:noProof/>
              <w:kern w:val="2"/>
              <w:sz w:val="24"/>
              <w:szCs w:val="24"/>
              <w14:ligatures w14:val="standardContextual"/>
            </w:rPr>
          </w:pPr>
          <w:hyperlink w:anchor="_Toc222904025" w:history="1">
            <w:r w:rsidRPr="009F21D0">
              <w:rPr>
                <w:rStyle w:val="Hyperlink"/>
                <w:noProof/>
              </w:rPr>
              <w:t>Figure 27. Production-Related Factors that Hinder Timely Delivery: Difference by Location</w:t>
            </w:r>
            <w:r w:rsidRPr="009F21D0">
              <w:rPr>
                <w:rStyle w:val="Hyperlink"/>
                <w:rFonts w:ascii="ZWAdobeF" w:hAnsi="ZWAdobeF" w:cs="ZWAdobeF"/>
                <w:noProof/>
              </w:rPr>
              <w:t>56F</w:t>
            </w:r>
            <w:r>
              <w:rPr>
                <w:noProof/>
                <w:webHidden/>
              </w:rPr>
              <w:tab/>
            </w:r>
            <w:r>
              <w:rPr>
                <w:noProof/>
                <w:webHidden/>
              </w:rPr>
              <w:fldChar w:fldCharType="begin"/>
            </w:r>
            <w:r>
              <w:rPr>
                <w:noProof/>
                <w:webHidden/>
              </w:rPr>
              <w:instrText xml:space="preserve"> PAGEREF _Toc222904025 \h </w:instrText>
            </w:r>
            <w:r>
              <w:rPr>
                <w:noProof/>
                <w:webHidden/>
              </w:rPr>
            </w:r>
            <w:r>
              <w:rPr>
                <w:noProof/>
                <w:webHidden/>
              </w:rPr>
              <w:fldChar w:fldCharType="separate"/>
            </w:r>
            <w:r>
              <w:rPr>
                <w:noProof/>
                <w:webHidden/>
              </w:rPr>
              <w:t>70</w:t>
            </w:r>
            <w:r>
              <w:rPr>
                <w:noProof/>
                <w:webHidden/>
              </w:rPr>
              <w:fldChar w:fldCharType="end"/>
            </w:r>
          </w:hyperlink>
        </w:p>
        <w:p w14:paraId="4FEFCE81" w14:textId="7ABAA8CF" w:rsidR="006F7119" w:rsidRDefault="006F7119">
          <w:pPr>
            <w:pStyle w:val="TOC4"/>
            <w:tabs>
              <w:tab w:val="right" w:leader="dot" w:pos="9350"/>
            </w:tabs>
            <w:rPr>
              <w:rFonts w:eastAsiaTheme="minorEastAsia"/>
              <w:noProof/>
              <w:kern w:val="2"/>
              <w:sz w:val="24"/>
              <w:szCs w:val="24"/>
              <w14:ligatures w14:val="standardContextual"/>
            </w:rPr>
          </w:pPr>
          <w:hyperlink w:anchor="_Toc222904026" w:history="1">
            <w:r w:rsidRPr="009F21D0">
              <w:rPr>
                <w:rStyle w:val="Hyperlink"/>
                <w:noProof/>
              </w:rPr>
              <w:t>Figure 28. Agreement that the Capacity of AMPs is Generally Sufficient</w:t>
            </w:r>
            <w:r w:rsidRPr="009F21D0">
              <w:rPr>
                <w:rStyle w:val="Hyperlink"/>
                <w:rFonts w:ascii="ZWAdobeF" w:hAnsi="ZWAdobeF" w:cs="ZWAdobeF"/>
                <w:noProof/>
              </w:rPr>
              <w:t>57F</w:t>
            </w:r>
            <w:r>
              <w:rPr>
                <w:noProof/>
                <w:webHidden/>
              </w:rPr>
              <w:tab/>
            </w:r>
            <w:r>
              <w:rPr>
                <w:noProof/>
                <w:webHidden/>
              </w:rPr>
              <w:fldChar w:fldCharType="begin"/>
            </w:r>
            <w:r>
              <w:rPr>
                <w:noProof/>
                <w:webHidden/>
              </w:rPr>
              <w:instrText xml:space="preserve"> PAGEREF _Toc222904026 \h </w:instrText>
            </w:r>
            <w:r>
              <w:rPr>
                <w:noProof/>
                <w:webHidden/>
              </w:rPr>
            </w:r>
            <w:r>
              <w:rPr>
                <w:noProof/>
                <w:webHidden/>
              </w:rPr>
              <w:fldChar w:fldCharType="separate"/>
            </w:r>
            <w:r>
              <w:rPr>
                <w:noProof/>
                <w:webHidden/>
              </w:rPr>
              <w:t>71</w:t>
            </w:r>
            <w:r>
              <w:rPr>
                <w:noProof/>
                <w:webHidden/>
              </w:rPr>
              <w:fldChar w:fldCharType="end"/>
            </w:r>
          </w:hyperlink>
        </w:p>
        <w:p w14:paraId="3DD217BC" w14:textId="04F25FA8" w:rsidR="006F7119" w:rsidRDefault="006F7119">
          <w:pPr>
            <w:pStyle w:val="TOC4"/>
            <w:tabs>
              <w:tab w:val="right" w:leader="dot" w:pos="9350"/>
            </w:tabs>
            <w:rPr>
              <w:rFonts w:eastAsiaTheme="minorEastAsia"/>
              <w:noProof/>
              <w:kern w:val="2"/>
              <w:sz w:val="24"/>
              <w:szCs w:val="24"/>
              <w14:ligatures w14:val="standardContextual"/>
            </w:rPr>
          </w:pPr>
          <w:hyperlink w:anchor="_Toc222904027" w:history="1">
            <w:r w:rsidRPr="009F21D0">
              <w:rPr>
                <w:rStyle w:val="Hyperlink"/>
                <w:noProof/>
              </w:rPr>
              <w:t>Table 14. Qualitative Descriptions of Production-Related Factors that Hinder Timely Delivery</w:t>
            </w:r>
            <w:r>
              <w:rPr>
                <w:noProof/>
                <w:webHidden/>
              </w:rPr>
              <w:tab/>
            </w:r>
            <w:r>
              <w:rPr>
                <w:noProof/>
                <w:webHidden/>
              </w:rPr>
              <w:fldChar w:fldCharType="begin"/>
            </w:r>
            <w:r>
              <w:rPr>
                <w:noProof/>
                <w:webHidden/>
              </w:rPr>
              <w:instrText xml:space="preserve"> PAGEREF _Toc222904027 \h </w:instrText>
            </w:r>
            <w:r>
              <w:rPr>
                <w:noProof/>
                <w:webHidden/>
              </w:rPr>
            </w:r>
            <w:r>
              <w:rPr>
                <w:noProof/>
                <w:webHidden/>
              </w:rPr>
              <w:fldChar w:fldCharType="separate"/>
            </w:r>
            <w:r>
              <w:rPr>
                <w:noProof/>
                <w:webHidden/>
              </w:rPr>
              <w:t>72</w:t>
            </w:r>
            <w:r>
              <w:rPr>
                <w:noProof/>
                <w:webHidden/>
              </w:rPr>
              <w:fldChar w:fldCharType="end"/>
            </w:r>
          </w:hyperlink>
        </w:p>
        <w:p w14:paraId="3FE55E37" w14:textId="48507DE5" w:rsidR="006F7119" w:rsidRDefault="006F7119">
          <w:pPr>
            <w:pStyle w:val="TOC4"/>
            <w:tabs>
              <w:tab w:val="right" w:leader="dot" w:pos="9350"/>
            </w:tabs>
            <w:rPr>
              <w:rFonts w:eastAsiaTheme="minorEastAsia"/>
              <w:noProof/>
              <w:kern w:val="2"/>
              <w:sz w:val="24"/>
              <w:szCs w:val="24"/>
              <w14:ligatures w14:val="standardContextual"/>
            </w:rPr>
          </w:pPr>
          <w:hyperlink w:anchor="_Toc222904028" w:history="1">
            <w:r w:rsidRPr="009F21D0">
              <w:rPr>
                <w:rStyle w:val="Hyperlink"/>
                <w:noProof/>
              </w:rPr>
              <w:t>Figure 29. State, Regional, District, or School-Level Practices that Hinder Timely Delivery</w:t>
            </w:r>
            <w:r w:rsidRPr="009F21D0">
              <w:rPr>
                <w:rStyle w:val="Hyperlink"/>
                <w:rFonts w:ascii="ZWAdobeF" w:hAnsi="ZWAdobeF" w:cs="ZWAdobeF"/>
                <w:noProof/>
              </w:rPr>
              <w:t>61F</w:t>
            </w:r>
            <w:r>
              <w:rPr>
                <w:noProof/>
                <w:webHidden/>
              </w:rPr>
              <w:tab/>
            </w:r>
            <w:r>
              <w:rPr>
                <w:noProof/>
                <w:webHidden/>
              </w:rPr>
              <w:fldChar w:fldCharType="begin"/>
            </w:r>
            <w:r>
              <w:rPr>
                <w:noProof/>
                <w:webHidden/>
              </w:rPr>
              <w:instrText xml:space="preserve"> PAGEREF _Toc222904028 \h </w:instrText>
            </w:r>
            <w:r>
              <w:rPr>
                <w:noProof/>
                <w:webHidden/>
              </w:rPr>
            </w:r>
            <w:r>
              <w:rPr>
                <w:noProof/>
                <w:webHidden/>
              </w:rPr>
              <w:fldChar w:fldCharType="separate"/>
            </w:r>
            <w:r>
              <w:rPr>
                <w:noProof/>
                <w:webHidden/>
              </w:rPr>
              <w:t>76</w:t>
            </w:r>
            <w:r>
              <w:rPr>
                <w:noProof/>
                <w:webHidden/>
              </w:rPr>
              <w:fldChar w:fldCharType="end"/>
            </w:r>
          </w:hyperlink>
        </w:p>
        <w:p w14:paraId="5D5C326E" w14:textId="6FA3C461" w:rsidR="006F7119" w:rsidRDefault="006F7119">
          <w:pPr>
            <w:pStyle w:val="TOC4"/>
            <w:tabs>
              <w:tab w:val="right" w:leader="dot" w:pos="9350"/>
            </w:tabs>
            <w:rPr>
              <w:rFonts w:eastAsiaTheme="minorEastAsia"/>
              <w:noProof/>
              <w:kern w:val="2"/>
              <w:sz w:val="24"/>
              <w:szCs w:val="24"/>
              <w14:ligatures w14:val="standardContextual"/>
            </w:rPr>
          </w:pPr>
          <w:hyperlink w:anchor="_Toc222904029" w:history="1">
            <w:r w:rsidRPr="009F21D0">
              <w:rPr>
                <w:rStyle w:val="Hyperlink"/>
                <w:noProof/>
              </w:rPr>
              <w:t>Figure 30. State, Regional, District, and School-Level Practices that Hinder Timely Delivery: Differences by Location</w:t>
            </w:r>
            <w:r w:rsidRPr="009F21D0">
              <w:rPr>
                <w:rStyle w:val="Hyperlink"/>
                <w:rFonts w:ascii="ZWAdobeF" w:hAnsi="ZWAdobeF" w:cs="ZWAdobeF"/>
                <w:noProof/>
              </w:rPr>
              <w:t>62F</w:t>
            </w:r>
            <w:r>
              <w:rPr>
                <w:noProof/>
                <w:webHidden/>
              </w:rPr>
              <w:tab/>
            </w:r>
            <w:r>
              <w:rPr>
                <w:noProof/>
                <w:webHidden/>
              </w:rPr>
              <w:fldChar w:fldCharType="begin"/>
            </w:r>
            <w:r>
              <w:rPr>
                <w:noProof/>
                <w:webHidden/>
              </w:rPr>
              <w:instrText xml:space="preserve"> PAGEREF _Toc222904029 \h </w:instrText>
            </w:r>
            <w:r>
              <w:rPr>
                <w:noProof/>
                <w:webHidden/>
              </w:rPr>
            </w:r>
            <w:r>
              <w:rPr>
                <w:noProof/>
                <w:webHidden/>
              </w:rPr>
              <w:fldChar w:fldCharType="separate"/>
            </w:r>
            <w:r>
              <w:rPr>
                <w:noProof/>
                <w:webHidden/>
              </w:rPr>
              <w:t>77</w:t>
            </w:r>
            <w:r>
              <w:rPr>
                <w:noProof/>
                <w:webHidden/>
              </w:rPr>
              <w:fldChar w:fldCharType="end"/>
            </w:r>
          </w:hyperlink>
        </w:p>
        <w:p w14:paraId="3507869F" w14:textId="5639044F" w:rsidR="006F7119" w:rsidRDefault="006F7119">
          <w:pPr>
            <w:pStyle w:val="TOC4"/>
            <w:tabs>
              <w:tab w:val="right" w:leader="dot" w:pos="9350"/>
            </w:tabs>
            <w:rPr>
              <w:rFonts w:eastAsiaTheme="minorEastAsia"/>
              <w:noProof/>
              <w:kern w:val="2"/>
              <w:sz w:val="24"/>
              <w:szCs w:val="24"/>
              <w14:ligatures w14:val="standardContextual"/>
            </w:rPr>
          </w:pPr>
          <w:hyperlink w:anchor="_Toc222904030" w:history="1">
            <w:r w:rsidRPr="009F21D0">
              <w:rPr>
                <w:rStyle w:val="Hyperlink"/>
                <w:noProof/>
              </w:rPr>
              <w:t>Table 15. Qualitative Descriptions of State, Regional, District, and School-Level Practices that Hinder Timely Delivery</w:t>
            </w:r>
            <w:r>
              <w:rPr>
                <w:noProof/>
                <w:webHidden/>
              </w:rPr>
              <w:tab/>
            </w:r>
            <w:r>
              <w:rPr>
                <w:noProof/>
                <w:webHidden/>
              </w:rPr>
              <w:fldChar w:fldCharType="begin"/>
            </w:r>
            <w:r>
              <w:rPr>
                <w:noProof/>
                <w:webHidden/>
              </w:rPr>
              <w:instrText xml:space="preserve"> PAGEREF _Toc222904030 \h </w:instrText>
            </w:r>
            <w:r>
              <w:rPr>
                <w:noProof/>
                <w:webHidden/>
              </w:rPr>
            </w:r>
            <w:r>
              <w:rPr>
                <w:noProof/>
                <w:webHidden/>
              </w:rPr>
              <w:fldChar w:fldCharType="separate"/>
            </w:r>
            <w:r>
              <w:rPr>
                <w:noProof/>
                <w:webHidden/>
              </w:rPr>
              <w:t>78</w:t>
            </w:r>
            <w:r>
              <w:rPr>
                <w:noProof/>
                <w:webHidden/>
              </w:rPr>
              <w:fldChar w:fldCharType="end"/>
            </w:r>
          </w:hyperlink>
        </w:p>
        <w:p w14:paraId="7CC4415F" w14:textId="682A632D" w:rsidR="006F7119" w:rsidRDefault="006F7119">
          <w:pPr>
            <w:pStyle w:val="TOC4"/>
            <w:tabs>
              <w:tab w:val="right" w:leader="dot" w:pos="9350"/>
            </w:tabs>
            <w:rPr>
              <w:rFonts w:eastAsiaTheme="minorEastAsia"/>
              <w:noProof/>
              <w:kern w:val="2"/>
              <w:sz w:val="24"/>
              <w:szCs w:val="24"/>
              <w14:ligatures w14:val="standardContextual"/>
            </w:rPr>
          </w:pPr>
          <w:hyperlink w:anchor="_Toc222904031" w:history="1">
            <w:r w:rsidRPr="009F21D0">
              <w:rPr>
                <w:rStyle w:val="Hyperlink"/>
                <w:noProof/>
              </w:rPr>
              <w:t>Figure 31. Factors that Hinder Timely Delivery in Charter Schools</w:t>
            </w:r>
            <w:r w:rsidRPr="009F21D0">
              <w:rPr>
                <w:rStyle w:val="Hyperlink"/>
                <w:rFonts w:ascii="ZWAdobeF" w:hAnsi="ZWAdobeF" w:cs="ZWAdobeF"/>
                <w:noProof/>
              </w:rPr>
              <w:t>66F</w:t>
            </w:r>
            <w:r>
              <w:rPr>
                <w:noProof/>
                <w:webHidden/>
              </w:rPr>
              <w:tab/>
            </w:r>
            <w:r>
              <w:rPr>
                <w:noProof/>
                <w:webHidden/>
              </w:rPr>
              <w:fldChar w:fldCharType="begin"/>
            </w:r>
            <w:r>
              <w:rPr>
                <w:noProof/>
                <w:webHidden/>
              </w:rPr>
              <w:instrText xml:space="preserve"> PAGEREF _Toc222904031 \h </w:instrText>
            </w:r>
            <w:r>
              <w:rPr>
                <w:noProof/>
                <w:webHidden/>
              </w:rPr>
            </w:r>
            <w:r>
              <w:rPr>
                <w:noProof/>
                <w:webHidden/>
              </w:rPr>
              <w:fldChar w:fldCharType="separate"/>
            </w:r>
            <w:r>
              <w:rPr>
                <w:noProof/>
                <w:webHidden/>
              </w:rPr>
              <w:t>87</w:t>
            </w:r>
            <w:r>
              <w:rPr>
                <w:noProof/>
                <w:webHidden/>
              </w:rPr>
              <w:fldChar w:fldCharType="end"/>
            </w:r>
          </w:hyperlink>
        </w:p>
        <w:p w14:paraId="100CE1E2" w14:textId="4E908E89" w:rsidR="006F7119" w:rsidRDefault="006F7119">
          <w:pPr>
            <w:pStyle w:val="TOC4"/>
            <w:tabs>
              <w:tab w:val="right" w:leader="dot" w:pos="9350"/>
            </w:tabs>
            <w:rPr>
              <w:rFonts w:eastAsiaTheme="minorEastAsia"/>
              <w:noProof/>
              <w:kern w:val="2"/>
              <w:sz w:val="24"/>
              <w:szCs w:val="24"/>
              <w14:ligatures w14:val="standardContextual"/>
            </w:rPr>
          </w:pPr>
          <w:hyperlink w:anchor="_Toc222904032" w:history="1">
            <w:r w:rsidRPr="009F21D0">
              <w:rPr>
                <w:rStyle w:val="Hyperlink"/>
                <w:noProof/>
              </w:rPr>
              <w:t>Figure 32. Factors that Hinder Timely Delivery in Charter Schools: Difference by Location</w:t>
            </w:r>
            <w:r w:rsidRPr="009F21D0">
              <w:rPr>
                <w:rStyle w:val="Hyperlink"/>
                <w:rFonts w:ascii="ZWAdobeF" w:hAnsi="ZWAdobeF" w:cs="ZWAdobeF"/>
                <w:noProof/>
              </w:rPr>
              <w:t>67F</w:t>
            </w:r>
            <w:r>
              <w:rPr>
                <w:noProof/>
                <w:webHidden/>
              </w:rPr>
              <w:tab/>
            </w:r>
            <w:r>
              <w:rPr>
                <w:noProof/>
                <w:webHidden/>
              </w:rPr>
              <w:fldChar w:fldCharType="begin"/>
            </w:r>
            <w:r>
              <w:rPr>
                <w:noProof/>
                <w:webHidden/>
              </w:rPr>
              <w:instrText xml:space="preserve"> PAGEREF _Toc222904032 \h </w:instrText>
            </w:r>
            <w:r>
              <w:rPr>
                <w:noProof/>
                <w:webHidden/>
              </w:rPr>
            </w:r>
            <w:r>
              <w:rPr>
                <w:noProof/>
                <w:webHidden/>
              </w:rPr>
              <w:fldChar w:fldCharType="separate"/>
            </w:r>
            <w:r>
              <w:rPr>
                <w:noProof/>
                <w:webHidden/>
              </w:rPr>
              <w:t>88</w:t>
            </w:r>
            <w:r>
              <w:rPr>
                <w:noProof/>
                <w:webHidden/>
              </w:rPr>
              <w:fldChar w:fldCharType="end"/>
            </w:r>
          </w:hyperlink>
        </w:p>
        <w:p w14:paraId="5942650E" w14:textId="45AC6596" w:rsidR="006F7119" w:rsidRDefault="006F7119">
          <w:pPr>
            <w:pStyle w:val="TOC4"/>
            <w:tabs>
              <w:tab w:val="right" w:leader="dot" w:pos="9350"/>
            </w:tabs>
            <w:rPr>
              <w:rFonts w:eastAsiaTheme="minorEastAsia"/>
              <w:noProof/>
              <w:kern w:val="2"/>
              <w:sz w:val="24"/>
              <w:szCs w:val="24"/>
              <w14:ligatures w14:val="standardContextual"/>
            </w:rPr>
          </w:pPr>
          <w:hyperlink w:anchor="_Toc222904033" w:history="1">
            <w:r w:rsidRPr="009F21D0">
              <w:rPr>
                <w:rStyle w:val="Hyperlink"/>
                <w:noProof/>
              </w:rPr>
              <w:t>Table 16. Qualitative Descriptions of Factors that Hinder Timely Delivery in Charter Schools</w:t>
            </w:r>
            <w:r>
              <w:rPr>
                <w:noProof/>
                <w:webHidden/>
              </w:rPr>
              <w:tab/>
            </w:r>
            <w:r>
              <w:rPr>
                <w:noProof/>
                <w:webHidden/>
              </w:rPr>
              <w:fldChar w:fldCharType="begin"/>
            </w:r>
            <w:r>
              <w:rPr>
                <w:noProof/>
                <w:webHidden/>
              </w:rPr>
              <w:instrText xml:space="preserve"> PAGEREF _Toc222904033 \h </w:instrText>
            </w:r>
            <w:r>
              <w:rPr>
                <w:noProof/>
                <w:webHidden/>
              </w:rPr>
            </w:r>
            <w:r>
              <w:rPr>
                <w:noProof/>
                <w:webHidden/>
              </w:rPr>
              <w:fldChar w:fldCharType="separate"/>
            </w:r>
            <w:r>
              <w:rPr>
                <w:noProof/>
                <w:webHidden/>
              </w:rPr>
              <w:t>89</w:t>
            </w:r>
            <w:r>
              <w:rPr>
                <w:noProof/>
                <w:webHidden/>
              </w:rPr>
              <w:fldChar w:fldCharType="end"/>
            </w:r>
          </w:hyperlink>
        </w:p>
        <w:p w14:paraId="632BAEA3" w14:textId="08B2BDD1" w:rsidR="006F7119" w:rsidRDefault="006F7119">
          <w:pPr>
            <w:pStyle w:val="TOC3"/>
            <w:tabs>
              <w:tab w:val="right" w:leader="dot" w:pos="9350"/>
            </w:tabs>
            <w:rPr>
              <w:rFonts w:eastAsiaTheme="minorEastAsia"/>
              <w:noProof/>
              <w:kern w:val="2"/>
              <w:sz w:val="24"/>
              <w:szCs w:val="24"/>
              <w14:ligatures w14:val="standardContextual"/>
            </w:rPr>
          </w:pPr>
          <w:hyperlink w:anchor="_Toc222904034" w:history="1">
            <w:r w:rsidRPr="009F21D0">
              <w:rPr>
                <w:rStyle w:val="Hyperlink"/>
                <w:noProof/>
              </w:rPr>
              <w:t>NIMAS and Procurement</w:t>
            </w:r>
            <w:r>
              <w:rPr>
                <w:noProof/>
                <w:webHidden/>
              </w:rPr>
              <w:tab/>
            </w:r>
            <w:r>
              <w:rPr>
                <w:noProof/>
                <w:webHidden/>
              </w:rPr>
              <w:fldChar w:fldCharType="begin"/>
            </w:r>
            <w:r>
              <w:rPr>
                <w:noProof/>
                <w:webHidden/>
              </w:rPr>
              <w:instrText xml:space="preserve"> PAGEREF _Toc222904034 \h </w:instrText>
            </w:r>
            <w:r>
              <w:rPr>
                <w:noProof/>
                <w:webHidden/>
              </w:rPr>
            </w:r>
            <w:r>
              <w:rPr>
                <w:noProof/>
                <w:webHidden/>
              </w:rPr>
              <w:fldChar w:fldCharType="separate"/>
            </w:r>
            <w:r>
              <w:rPr>
                <w:noProof/>
                <w:webHidden/>
              </w:rPr>
              <w:t>90</w:t>
            </w:r>
            <w:r>
              <w:rPr>
                <w:noProof/>
                <w:webHidden/>
              </w:rPr>
              <w:fldChar w:fldCharType="end"/>
            </w:r>
          </w:hyperlink>
        </w:p>
        <w:p w14:paraId="1DD79A47" w14:textId="506F85CE" w:rsidR="006F7119" w:rsidRDefault="006F7119">
          <w:pPr>
            <w:pStyle w:val="TOC4"/>
            <w:tabs>
              <w:tab w:val="right" w:leader="dot" w:pos="9350"/>
            </w:tabs>
            <w:rPr>
              <w:rFonts w:eastAsiaTheme="minorEastAsia"/>
              <w:noProof/>
              <w:kern w:val="2"/>
              <w:sz w:val="24"/>
              <w:szCs w:val="24"/>
              <w14:ligatures w14:val="standardContextual"/>
            </w:rPr>
          </w:pPr>
          <w:hyperlink w:anchor="_Toc222904035" w:history="1">
            <w:r w:rsidRPr="009F21D0">
              <w:rPr>
                <w:rStyle w:val="Hyperlink"/>
                <w:noProof/>
              </w:rPr>
              <w:t>Figure 33. Familiarity with Procurement Contract Processes for Educational Materials</w:t>
            </w:r>
            <w:r>
              <w:rPr>
                <w:noProof/>
                <w:webHidden/>
              </w:rPr>
              <w:tab/>
            </w:r>
            <w:r>
              <w:rPr>
                <w:noProof/>
                <w:webHidden/>
              </w:rPr>
              <w:fldChar w:fldCharType="begin"/>
            </w:r>
            <w:r>
              <w:rPr>
                <w:noProof/>
                <w:webHidden/>
              </w:rPr>
              <w:instrText xml:space="preserve"> PAGEREF _Toc222904035 \h </w:instrText>
            </w:r>
            <w:r>
              <w:rPr>
                <w:noProof/>
                <w:webHidden/>
              </w:rPr>
            </w:r>
            <w:r>
              <w:rPr>
                <w:noProof/>
                <w:webHidden/>
              </w:rPr>
              <w:fldChar w:fldCharType="separate"/>
            </w:r>
            <w:r>
              <w:rPr>
                <w:noProof/>
                <w:webHidden/>
              </w:rPr>
              <w:t>91</w:t>
            </w:r>
            <w:r>
              <w:rPr>
                <w:noProof/>
                <w:webHidden/>
              </w:rPr>
              <w:fldChar w:fldCharType="end"/>
            </w:r>
          </w:hyperlink>
        </w:p>
        <w:p w14:paraId="73466151" w14:textId="31D943D6" w:rsidR="006F7119" w:rsidRDefault="006F7119">
          <w:pPr>
            <w:pStyle w:val="TOC4"/>
            <w:tabs>
              <w:tab w:val="right" w:leader="dot" w:pos="9350"/>
            </w:tabs>
            <w:rPr>
              <w:rFonts w:eastAsiaTheme="minorEastAsia"/>
              <w:noProof/>
              <w:kern w:val="2"/>
              <w:sz w:val="24"/>
              <w:szCs w:val="24"/>
              <w14:ligatures w14:val="standardContextual"/>
            </w:rPr>
          </w:pPr>
          <w:hyperlink w:anchor="_Toc222904036" w:history="1">
            <w:r w:rsidRPr="009F21D0">
              <w:rPr>
                <w:rStyle w:val="Hyperlink"/>
                <w:noProof/>
              </w:rPr>
              <w:t>Figure 34. Familiarity with Procurement Contract Processes for Educational Materials: Differences by Role</w:t>
            </w:r>
            <w:r w:rsidRPr="009F21D0">
              <w:rPr>
                <w:rStyle w:val="Hyperlink"/>
                <w:rFonts w:ascii="ZWAdobeF" w:hAnsi="ZWAdobeF" w:cs="ZWAdobeF"/>
                <w:noProof/>
              </w:rPr>
              <w:t>69F</w:t>
            </w:r>
            <w:r>
              <w:rPr>
                <w:noProof/>
                <w:webHidden/>
              </w:rPr>
              <w:tab/>
            </w:r>
            <w:r>
              <w:rPr>
                <w:noProof/>
                <w:webHidden/>
              </w:rPr>
              <w:fldChar w:fldCharType="begin"/>
            </w:r>
            <w:r>
              <w:rPr>
                <w:noProof/>
                <w:webHidden/>
              </w:rPr>
              <w:instrText xml:space="preserve"> PAGEREF _Toc222904036 \h </w:instrText>
            </w:r>
            <w:r>
              <w:rPr>
                <w:noProof/>
                <w:webHidden/>
              </w:rPr>
            </w:r>
            <w:r>
              <w:rPr>
                <w:noProof/>
                <w:webHidden/>
              </w:rPr>
              <w:fldChar w:fldCharType="separate"/>
            </w:r>
            <w:r>
              <w:rPr>
                <w:noProof/>
                <w:webHidden/>
              </w:rPr>
              <w:t>92</w:t>
            </w:r>
            <w:r>
              <w:rPr>
                <w:noProof/>
                <w:webHidden/>
              </w:rPr>
              <w:fldChar w:fldCharType="end"/>
            </w:r>
          </w:hyperlink>
        </w:p>
        <w:p w14:paraId="6E106439" w14:textId="2A7D55A9" w:rsidR="006F7119" w:rsidRDefault="006F7119">
          <w:pPr>
            <w:pStyle w:val="TOC4"/>
            <w:tabs>
              <w:tab w:val="right" w:leader="dot" w:pos="9350"/>
            </w:tabs>
            <w:rPr>
              <w:rFonts w:eastAsiaTheme="minorEastAsia"/>
              <w:noProof/>
              <w:kern w:val="2"/>
              <w:sz w:val="24"/>
              <w:szCs w:val="24"/>
              <w14:ligatures w14:val="standardContextual"/>
            </w:rPr>
          </w:pPr>
          <w:hyperlink w:anchor="_Toc222904037" w:history="1">
            <w:r w:rsidRPr="009F21D0">
              <w:rPr>
                <w:rStyle w:val="Hyperlink"/>
                <w:noProof/>
              </w:rPr>
              <w:t>Figure 35. Involvement in Procurement Contract Process</w:t>
            </w:r>
            <w:r>
              <w:rPr>
                <w:noProof/>
                <w:webHidden/>
              </w:rPr>
              <w:tab/>
            </w:r>
            <w:r>
              <w:rPr>
                <w:noProof/>
                <w:webHidden/>
              </w:rPr>
              <w:fldChar w:fldCharType="begin"/>
            </w:r>
            <w:r>
              <w:rPr>
                <w:noProof/>
                <w:webHidden/>
              </w:rPr>
              <w:instrText xml:space="preserve"> PAGEREF _Toc222904037 \h </w:instrText>
            </w:r>
            <w:r>
              <w:rPr>
                <w:noProof/>
                <w:webHidden/>
              </w:rPr>
            </w:r>
            <w:r>
              <w:rPr>
                <w:noProof/>
                <w:webHidden/>
              </w:rPr>
              <w:fldChar w:fldCharType="separate"/>
            </w:r>
            <w:r>
              <w:rPr>
                <w:noProof/>
                <w:webHidden/>
              </w:rPr>
              <w:t>92</w:t>
            </w:r>
            <w:r>
              <w:rPr>
                <w:noProof/>
                <w:webHidden/>
              </w:rPr>
              <w:fldChar w:fldCharType="end"/>
            </w:r>
          </w:hyperlink>
        </w:p>
        <w:p w14:paraId="05E1CC08" w14:textId="6CDFDE1C" w:rsidR="006F7119" w:rsidRDefault="006F7119">
          <w:pPr>
            <w:pStyle w:val="TOC4"/>
            <w:tabs>
              <w:tab w:val="right" w:leader="dot" w:pos="9350"/>
            </w:tabs>
            <w:rPr>
              <w:rFonts w:eastAsiaTheme="minorEastAsia"/>
              <w:noProof/>
              <w:kern w:val="2"/>
              <w:sz w:val="24"/>
              <w:szCs w:val="24"/>
              <w14:ligatures w14:val="standardContextual"/>
            </w:rPr>
          </w:pPr>
          <w:hyperlink w:anchor="_Toc222904038" w:history="1">
            <w:r w:rsidRPr="009F21D0">
              <w:rPr>
                <w:rStyle w:val="Hyperlink"/>
                <w:noProof/>
              </w:rPr>
              <w:t>Figure 36. How Often NIMAS Requirement is Included in Procurement Contracts</w:t>
            </w:r>
            <w:r w:rsidRPr="009F21D0">
              <w:rPr>
                <w:rStyle w:val="Hyperlink"/>
                <w:rFonts w:ascii="ZWAdobeF" w:hAnsi="ZWAdobeF" w:cs="ZWAdobeF"/>
                <w:noProof/>
              </w:rPr>
              <w:t>72F</w:t>
            </w:r>
            <w:r>
              <w:rPr>
                <w:noProof/>
                <w:webHidden/>
              </w:rPr>
              <w:tab/>
            </w:r>
            <w:r>
              <w:rPr>
                <w:noProof/>
                <w:webHidden/>
              </w:rPr>
              <w:fldChar w:fldCharType="begin"/>
            </w:r>
            <w:r>
              <w:rPr>
                <w:noProof/>
                <w:webHidden/>
              </w:rPr>
              <w:instrText xml:space="preserve"> PAGEREF _Toc222904038 \h </w:instrText>
            </w:r>
            <w:r>
              <w:rPr>
                <w:noProof/>
                <w:webHidden/>
              </w:rPr>
            </w:r>
            <w:r>
              <w:rPr>
                <w:noProof/>
                <w:webHidden/>
              </w:rPr>
              <w:fldChar w:fldCharType="separate"/>
            </w:r>
            <w:r>
              <w:rPr>
                <w:noProof/>
                <w:webHidden/>
              </w:rPr>
              <w:t>93</w:t>
            </w:r>
            <w:r>
              <w:rPr>
                <w:noProof/>
                <w:webHidden/>
              </w:rPr>
              <w:fldChar w:fldCharType="end"/>
            </w:r>
          </w:hyperlink>
        </w:p>
        <w:p w14:paraId="425D02FB" w14:textId="62AB2A09" w:rsidR="006F7119" w:rsidRDefault="006F7119">
          <w:pPr>
            <w:pStyle w:val="TOC4"/>
            <w:tabs>
              <w:tab w:val="right" w:leader="dot" w:pos="9350"/>
            </w:tabs>
            <w:rPr>
              <w:rFonts w:eastAsiaTheme="minorEastAsia"/>
              <w:noProof/>
              <w:kern w:val="2"/>
              <w:sz w:val="24"/>
              <w:szCs w:val="24"/>
              <w14:ligatures w14:val="standardContextual"/>
            </w:rPr>
          </w:pPr>
          <w:hyperlink w:anchor="_Toc222904039" w:history="1">
            <w:r w:rsidRPr="009F21D0">
              <w:rPr>
                <w:rStyle w:val="Hyperlink"/>
                <w:noProof/>
              </w:rPr>
              <w:t>Figure 37. Understanding of Educational Materials that Fall within Scope for NIMAS</w:t>
            </w:r>
            <w:r w:rsidRPr="009F21D0">
              <w:rPr>
                <w:rStyle w:val="Hyperlink"/>
                <w:rFonts w:ascii="ZWAdobeF" w:hAnsi="ZWAdobeF" w:cs="ZWAdobeF"/>
                <w:noProof/>
              </w:rPr>
              <w:t>75F</w:t>
            </w:r>
            <w:r>
              <w:rPr>
                <w:noProof/>
                <w:webHidden/>
              </w:rPr>
              <w:tab/>
            </w:r>
            <w:r>
              <w:rPr>
                <w:noProof/>
                <w:webHidden/>
              </w:rPr>
              <w:fldChar w:fldCharType="begin"/>
            </w:r>
            <w:r>
              <w:rPr>
                <w:noProof/>
                <w:webHidden/>
              </w:rPr>
              <w:instrText xml:space="preserve"> PAGEREF _Toc222904039 \h </w:instrText>
            </w:r>
            <w:r>
              <w:rPr>
                <w:noProof/>
                <w:webHidden/>
              </w:rPr>
            </w:r>
            <w:r>
              <w:rPr>
                <w:noProof/>
                <w:webHidden/>
              </w:rPr>
              <w:fldChar w:fldCharType="separate"/>
            </w:r>
            <w:r>
              <w:rPr>
                <w:noProof/>
                <w:webHidden/>
              </w:rPr>
              <w:t>94</w:t>
            </w:r>
            <w:r>
              <w:rPr>
                <w:noProof/>
                <w:webHidden/>
              </w:rPr>
              <w:fldChar w:fldCharType="end"/>
            </w:r>
          </w:hyperlink>
        </w:p>
        <w:p w14:paraId="05483A3E" w14:textId="3751236C" w:rsidR="006F7119" w:rsidRDefault="006F7119">
          <w:pPr>
            <w:pStyle w:val="TOC4"/>
            <w:tabs>
              <w:tab w:val="right" w:leader="dot" w:pos="9350"/>
            </w:tabs>
            <w:rPr>
              <w:rFonts w:eastAsiaTheme="minorEastAsia"/>
              <w:noProof/>
              <w:kern w:val="2"/>
              <w:sz w:val="24"/>
              <w:szCs w:val="24"/>
              <w14:ligatures w14:val="standardContextual"/>
            </w:rPr>
          </w:pPr>
          <w:hyperlink w:anchor="_Toc222904040" w:history="1">
            <w:r w:rsidRPr="009F21D0">
              <w:rPr>
                <w:rStyle w:val="Hyperlink"/>
                <w:noProof/>
              </w:rPr>
              <w:t>Figure 38. Understanding of Educational Materials that Fall within Scope for NIMAS: Differences by Role</w:t>
            </w:r>
            <w:r w:rsidRPr="009F21D0">
              <w:rPr>
                <w:rStyle w:val="Hyperlink"/>
                <w:rFonts w:ascii="ZWAdobeF" w:hAnsi="ZWAdobeF" w:cs="ZWAdobeF"/>
                <w:noProof/>
              </w:rPr>
              <w:t>76F</w:t>
            </w:r>
            <w:r>
              <w:rPr>
                <w:noProof/>
                <w:webHidden/>
              </w:rPr>
              <w:tab/>
            </w:r>
            <w:r>
              <w:rPr>
                <w:noProof/>
                <w:webHidden/>
              </w:rPr>
              <w:fldChar w:fldCharType="begin"/>
            </w:r>
            <w:r>
              <w:rPr>
                <w:noProof/>
                <w:webHidden/>
              </w:rPr>
              <w:instrText xml:space="preserve"> PAGEREF _Toc222904040 \h </w:instrText>
            </w:r>
            <w:r>
              <w:rPr>
                <w:noProof/>
                <w:webHidden/>
              </w:rPr>
            </w:r>
            <w:r>
              <w:rPr>
                <w:noProof/>
                <w:webHidden/>
              </w:rPr>
              <w:fldChar w:fldCharType="separate"/>
            </w:r>
            <w:r>
              <w:rPr>
                <w:noProof/>
                <w:webHidden/>
              </w:rPr>
              <w:t>95</w:t>
            </w:r>
            <w:r>
              <w:rPr>
                <w:noProof/>
                <w:webHidden/>
              </w:rPr>
              <w:fldChar w:fldCharType="end"/>
            </w:r>
          </w:hyperlink>
        </w:p>
        <w:p w14:paraId="3EEF14F2" w14:textId="3560D761" w:rsidR="006F7119" w:rsidRDefault="006F7119">
          <w:pPr>
            <w:pStyle w:val="TOC3"/>
            <w:tabs>
              <w:tab w:val="right" w:leader="dot" w:pos="9350"/>
            </w:tabs>
            <w:rPr>
              <w:rFonts w:eastAsiaTheme="minorEastAsia"/>
              <w:noProof/>
              <w:kern w:val="2"/>
              <w:sz w:val="24"/>
              <w:szCs w:val="24"/>
              <w14:ligatures w14:val="standardContextual"/>
            </w:rPr>
          </w:pPr>
          <w:hyperlink w:anchor="_Toc222904041" w:history="1">
            <w:r w:rsidRPr="009F21D0">
              <w:rPr>
                <w:rStyle w:val="Hyperlink"/>
                <w:noProof/>
              </w:rPr>
              <w:t>NIMAC Assistance</w:t>
            </w:r>
            <w:r>
              <w:rPr>
                <w:noProof/>
                <w:webHidden/>
              </w:rPr>
              <w:tab/>
            </w:r>
            <w:r>
              <w:rPr>
                <w:noProof/>
                <w:webHidden/>
              </w:rPr>
              <w:fldChar w:fldCharType="begin"/>
            </w:r>
            <w:r>
              <w:rPr>
                <w:noProof/>
                <w:webHidden/>
              </w:rPr>
              <w:instrText xml:space="preserve"> PAGEREF _Toc222904041 \h </w:instrText>
            </w:r>
            <w:r>
              <w:rPr>
                <w:noProof/>
                <w:webHidden/>
              </w:rPr>
            </w:r>
            <w:r>
              <w:rPr>
                <w:noProof/>
                <w:webHidden/>
              </w:rPr>
              <w:fldChar w:fldCharType="separate"/>
            </w:r>
            <w:r>
              <w:rPr>
                <w:noProof/>
                <w:webHidden/>
              </w:rPr>
              <w:t>95</w:t>
            </w:r>
            <w:r>
              <w:rPr>
                <w:noProof/>
                <w:webHidden/>
              </w:rPr>
              <w:fldChar w:fldCharType="end"/>
            </w:r>
          </w:hyperlink>
        </w:p>
        <w:p w14:paraId="75035922" w14:textId="534DCFE6" w:rsidR="006F7119" w:rsidRDefault="006F7119">
          <w:pPr>
            <w:pStyle w:val="TOC4"/>
            <w:tabs>
              <w:tab w:val="right" w:leader="dot" w:pos="9350"/>
            </w:tabs>
            <w:rPr>
              <w:rFonts w:eastAsiaTheme="minorEastAsia"/>
              <w:noProof/>
              <w:kern w:val="2"/>
              <w:sz w:val="24"/>
              <w:szCs w:val="24"/>
              <w14:ligatures w14:val="standardContextual"/>
            </w:rPr>
          </w:pPr>
          <w:hyperlink w:anchor="_Toc222904042" w:history="1">
            <w:r w:rsidRPr="009F21D0">
              <w:rPr>
                <w:rStyle w:val="Hyperlink"/>
                <w:noProof/>
              </w:rPr>
              <w:t>Figure 39. Strategies to Help SEAs and LEAs Consistently Include the NIMAS Requirement in Procurement Contracts</w:t>
            </w:r>
            <w:r w:rsidRPr="009F21D0">
              <w:rPr>
                <w:rStyle w:val="Hyperlink"/>
                <w:rFonts w:ascii="ZWAdobeF" w:hAnsi="ZWAdobeF" w:cs="ZWAdobeF"/>
                <w:smallCaps/>
                <w:noProof/>
              </w:rPr>
              <w:t>78F</w:t>
            </w:r>
            <w:r>
              <w:rPr>
                <w:noProof/>
                <w:webHidden/>
              </w:rPr>
              <w:tab/>
            </w:r>
            <w:r>
              <w:rPr>
                <w:noProof/>
                <w:webHidden/>
              </w:rPr>
              <w:fldChar w:fldCharType="begin"/>
            </w:r>
            <w:r>
              <w:rPr>
                <w:noProof/>
                <w:webHidden/>
              </w:rPr>
              <w:instrText xml:space="preserve"> PAGEREF _Toc222904042 \h </w:instrText>
            </w:r>
            <w:r>
              <w:rPr>
                <w:noProof/>
                <w:webHidden/>
              </w:rPr>
            </w:r>
            <w:r>
              <w:rPr>
                <w:noProof/>
                <w:webHidden/>
              </w:rPr>
              <w:fldChar w:fldCharType="separate"/>
            </w:r>
            <w:r>
              <w:rPr>
                <w:noProof/>
                <w:webHidden/>
              </w:rPr>
              <w:t>96</w:t>
            </w:r>
            <w:r>
              <w:rPr>
                <w:noProof/>
                <w:webHidden/>
              </w:rPr>
              <w:fldChar w:fldCharType="end"/>
            </w:r>
          </w:hyperlink>
        </w:p>
        <w:p w14:paraId="1C7F69A9" w14:textId="4AA1DADB" w:rsidR="006F7119" w:rsidRDefault="006F7119">
          <w:pPr>
            <w:pStyle w:val="TOC4"/>
            <w:tabs>
              <w:tab w:val="right" w:leader="dot" w:pos="9350"/>
            </w:tabs>
            <w:rPr>
              <w:rFonts w:eastAsiaTheme="minorEastAsia"/>
              <w:noProof/>
              <w:kern w:val="2"/>
              <w:sz w:val="24"/>
              <w:szCs w:val="24"/>
              <w14:ligatures w14:val="standardContextual"/>
            </w:rPr>
          </w:pPr>
          <w:hyperlink w:anchor="_Toc222904043" w:history="1">
            <w:r w:rsidRPr="009F21D0">
              <w:rPr>
                <w:rStyle w:val="Hyperlink"/>
                <w:noProof/>
              </w:rPr>
              <w:t>Figure 40. Strategies to Help SEAs and LEAs Consistently Include the NIMAS Requirement in Procurement Contracts: Differences by Role (Part 1)</w:t>
            </w:r>
            <w:r w:rsidRPr="009F21D0">
              <w:rPr>
                <w:rStyle w:val="Hyperlink"/>
                <w:rFonts w:ascii="ZWAdobeF" w:hAnsi="ZWAdobeF" w:cs="ZWAdobeF"/>
                <w:noProof/>
              </w:rPr>
              <w:t>79F</w:t>
            </w:r>
            <w:r>
              <w:rPr>
                <w:noProof/>
                <w:webHidden/>
              </w:rPr>
              <w:tab/>
            </w:r>
            <w:r>
              <w:rPr>
                <w:noProof/>
                <w:webHidden/>
              </w:rPr>
              <w:fldChar w:fldCharType="begin"/>
            </w:r>
            <w:r>
              <w:rPr>
                <w:noProof/>
                <w:webHidden/>
              </w:rPr>
              <w:instrText xml:space="preserve"> PAGEREF _Toc222904043 \h </w:instrText>
            </w:r>
            <w:r>
              <w:rPr>
                <w:noProof/>
                <w:webHidden/>
              </w:rPr>
            </w:r>
            <w:r>
              <w:rPr>
                <w:noProof/>
                <w:webHidden/>
              </w:rPr>
              <w:fldChar w:fldCharType="separate"/>
            </w:r>
            <w:r>
              <w:rPr>
                <w:noProof/>
                <w:webHidden/>
              </w:rPr>
              <w:t>98</w:t>
            </w:r>
            <w:r>
              <w:rPr>
                <w:noProof/>
                <w:webHidden/>
              </w:rPr>
              <w:fldChar w:fldCharType="end"/>
            </w:r>
          </w:hyperlink>
        </w:p>
        <w:p w14:paraId="5F05390E" w14:textId="0120CC74" w:rsidR="006F7119" w:rsidRDefault="006F7119">
          <w:pPr>
            <w:pStyle w:val="TOC4"/>
            <w:tabs>
              <w:tab w:val="right" w:leader="dot" w:pos="9350"/>
            </w:tabs>
            <w:rPr>
              <w:rFonts w:eastAsiaTheme="minorEastAsia"/>
              <w:noProof/>
              <w:kern w:val="2"/>
              <w:sz w:val="24"/>
              <w:szCs w:val="24"/>
              <w14:ligatures w14:val="standardContextual"/>
            </w:rPr>
          </w:pPr>
          <w:hyperlink w:anchor="_Toc222904044" w:history="1">
            <w:r w:rsidRPr="009F21D0">
              <w:rPr>
                <w:rStyle w:val="Hyperlink"/>
                <w:noProof/>
              </w:rPr>
              <w:t>Figure 41. Strategies to Help SEAs and LEAs Consistently Include the NIMAS Requirement in Procurement Contracts: Differences by Role (Part 2)</w:t>
            </w:r>
            <w:r w:rsidRPr="009F21D0">
              <w:rPr>
                <w:rStyle w:val="Hyperlink"/>
                <w:rFonts w:ascii="ZWAdobeF" w:hAnsi="ZWAdobeF" w:cs="ZWAdobeF"/>
                <w:noProof/>
              </w:rPr>
              <w:t>80F</w:t>
            </w:r>
            <w:r>
              <w:rPr>
                <w:noProof/>
                <w:webHidden/>
              </w:rPr>
              <w:tab/>
            </w:r>
            <w:r>
              <w:rPr>
                <w:noProof/>
                <w:webHidden/>
              </w:rPr>
              <w:fldChar w:fldCharType="begin"/>
            </w:r>
            <w:r>
              <w:rPr>
                <w:noProof/>
                <w:webHidden/>
              </w:rPr>
              <w:instrText xml:space="preserve"> PAGEREF _Toc222904044 \h </w:instrText>
            </w:r>
            <w:r>
              <w:rPr>
                <w:noProof/>
                <w:webHidden/>
              </w:rPr>
            </w:r>
            <w:r>
              <w:rPr>
                <w:noProof/>
                <w:webHidden/>
              </w:rPr>
              <w:fldChar w:fldCharType="separate"/>
            </w:r>
            <w:r>
              <w:rPr>
                <w:noProof/>
                <w:webHidden/>
              </w:rPr>
              <w:t>99</w:t>
            </w:r>
            <w:r>
              <w:rPr>
                <w:noProof/>
                <w:webHidden/>
              </w:rPr>
              <w:fldChar w:fldCharType="end"/>
            </w:r>
          </w:hyperlink>
        </w:p>
        <w:p w14:paraId="666AC4EC" w14:textId="378CA318" w:rsidR="006F7119" w:rsidRDefault="006F7119">
          <w:pPr>
            <w:pStyle w:val="TOC4"/>
            <w:tabs>
              <w:tab w:val="right" w:leader="dot" w:pos="9350"/>
            </w:tabs>
            <w:rPr>
              <w:rFonts w:eastAsiaTheme="minorEastAsia"/>
              <w:noProof/>
              <w:kern w:val="2"/>
              <w:sz w:val="24"/>
              <w:szCs w:val="24"/>
              <w14:ligatures w14:val="standardContextual"/>
            </w:rPr>
          </w:pPr>
          <w:hyperlink w:anchor="_Toc222904045" w:history="1">
            <w:r w:rsidRPr="009F21D0">
              <w:rPr>
                <w:rStyle w:val="Hyperlink"/>
                <w:noProof/>
              </w:rPr>
              <w:t>Table 17. Qualitative Descriptions of Strategies to Help SEAs and LEAs Consistently Include the NIMAS Requirement in Procurement Contracts</w:t>
            </w:r>
            <w:r>
              <w:rPr>
                <w:noProof/>
                <w:webHidden/>
              </w:rPr>
              <w:tab/>
            </w:r>
            <w:r>
              <w:rPr>
                <w:noProof/>
                <w:webHidden/>
              </w:rPr>
              <w:fldChar w:fldCharType="begin"/>
            </w:r>
            <w:r>
              <w:rPr>
                <w:noProof/>
                <w:webHidden/>
              </w:rPr>
              <w:instrText xml:space="preserve"> PAGEREF _Toc222904045 \h </w:instrText>
            </w:r>
            <w:r>
              <w:rPr>
                <w:noProof/>
                <w:webHidden/>
              </w:rPr>
            </w:r>
            <w:r>
              <w:rPr>
                <w:noProof/>
                <w:webHidden/>
              </w:rPr>
              <w:fldChar w:fldCharType="separate"/>
            </w:r>
            <w:r>
              <w:rPr>
                <w:noProof/>
                <w:webHidden/>
              </w:rPr>
              <w:t>100</w:t>
            </w:r>
            <w:r>
              <w:rPr>
                <w:noProof/>
                <w:webHidden/>
              </w:rPr>
              <w:fldChar w:fldCharType="end"/>
            </w:r>
          </w:hyperlink>
        </w:p>
        <w:p w14:paraId="29116EB9" w14:textId="6C63ABCE" w:rsidR="006F7119" w:rsidRDefault="006F7119">
          <w:pPr>
            <w:pStyle w:val="TOC2"/>
            <w:tabs>
              <w:tab w:val="right" w:leader="dot" w:pos="9350"/>
            </w:tabs>
            <w:rPr>
              <w:rFonts w:eastAsiaTheme="minorEastAsia"/>
              <w:b w:val="0"/>
              <w:noProof/>
              <w:kern w:val="2"/>
              <w:sz w:val="24"/>
              <w:szCs w:val="24"/>
              <w14:ligatures w14:val="standardContextual"/>
            </w:rPr>
          </w:pPr>
          <w:hyperlink w:anchor="_Toc222904046" w:history="1">
            <w:r w:rsidRPr="009F21D0">
              <w:rPr>
                <w:rStyle w:val="Hyperlink"/>
                <w:noProof/>
              </w:rPr>
              <w:t>Conclusion</w:t>
            </w:r>
            <w:r>
              <w:rPr>
                <w:noProof/>
                <w:webHidden/>
              </w:rPr>
              <w:tab/>
            </w:r>
            <w:r>
              <w:rPr>
                <w:noProof/>
                <w:webHidden/>
              </w:rPr>
              <w:fldChar w:fldCharType="begin"/>
            </w:r>
            <w:r>
              <w:rPr>
                <w:noProof/>
                <w:webHidden/>
              </w:rPr>
              <w:instrText xml:space="preserve"> PAGEREF _Toc222904046 \h </w:instrText>
            </w:r>
            <w:r>
              <w:rPr>
                <w:noProof/>
                <w:webHidden/>
              </w:rPr>
            </w:r>
            <w:r>
              <w:rPr>
                <w:noProof/>
                <w:webHidden/>
              </w:rPr>
              <w:fldChar w:fldCharType="separate"/>
            </w:r>
            <w:r>
              <w:rPr>
                <w:noProof/>
                <w:webHidden/>
              </w:rPr>
              <w:t>103</w:t>
            </w:r>
            <w:r>
              <w:rPr>
                <w:noProof/>
                <w:webHidden/>
              </w:rPr>
              <w:fldChar w:fldCharType="end"/>
            </w:r>
          </w:hyperlink>
        </w:p>
        <w:p w14:paraId="1CD172A5" w14:textId="3EEF561B" w:rsidR="006F7119" w:rsidRDefault="006F7119">
          <w:pPr>
            <w:pStyle w:val="TOC3"/>
            <w:tabs>
              <w:tab w:val="right" w:leader="dot" w:pos="9350"/>
            </w:tabs>
            <w:rPr>
              <w:rFonts w:eastAsiaTheme="minorEastAsia"/>
              <w:noProof/>
              <w:kern w:val="2"/>
              <w:sz w:val="24"/>
              <w:szCs w:val="24"/>
              <w14:ligatures w14:val="standardContextual"/>
            </w:rPr>
          </w:pPr>
          <w:hyperlink w:anchor="_Toc222904047" w:history="1">
            <w:r w:rsidRPr="009F21D0">
              <w:rPr>
                <w:rStyle w:val="Hyperlink"/>
                <w:noProof/>
              </w:rPr>
              <w:t>Recommendations</w:t>
            </w:r>
            <w:r>
              <w:rPr>
                <w:noProof/>
                <w:webHidden/>
              </w:rPr>
              <w:tab/>
            </w:r>
            <w:r>
              <w:rPr>
                <w:noProof/>
                <w:webHidden/>
              </w:rPr>
              <w:fldChar w:fldCharType="begin"/>
            </w:r>
            <w:r>
              <w:rPr>
                <w:noProof/>
                <w:webHidden/>
              </w:rPr>
              <w:instrText xml:space="preserve"> PAGEREF _Toc222904047 \h </w:instrText>
            </w:r>
            <w:r>
              <w:rPr>
                <w:noProof/>
                <w:webHidden/>
              </w:rPr>
            </w:r>
            <w:r>
              <w:rPr>
                <w:noProof/>
                <w:webHidden/>
              </w:rPr>
              <w:fldChar w:fldCharType="separate"/>
            </w:r>
            <w:r>
              <w:rPr>
                <w:noProof/>
                <w:webHidden/>
              </w:rPr>
              <w:t>108</w:t>
            </w:r>
            <w:r>
              <w:rPr>
                <w:noProof/>
                <w:webHidden/>
              </w:rPr>
              <w:fldChar w:fldCharType="end"/>
            </w:r>
          </w:hyperlink>
        </w:p>
        <w:p w14:paraId="2A27E9B4" w14:textId="37989586" w:rsidR="006F7119" w:rsidRDefault="006F7119">
          <w:pPr>
            <w:pStyle w:val="TOC2"/>
            <w:tabs>
              <w:tab w:val="right" w:leader="dot" w:pos="9350"/>
            </w:tabs>
            <w:rPr>
              <w:rFonts w:eastAsiaTheme="minorEastAsia"/>
              <w:b w:val="0"/>
              <w:noProof/>
              <w:kern w:val="2"/>
              <w:sz w:val="24"/>
              <w:szCs w:val="24"/>
              <w14:ligatures w14:val="standardContextual"/>
            </w:rPr>
          </w:pPr>
          <w:hyperlink w:anchor="_Toc222904048" w:history="1">
            <w:r w:rsidRPr="009F21D0">
              <w:rPr>
                <w:rStyle w:val="Hyperlink"/>
                <w:noProof/>
              </w:rPr>
              <w:t>Appendix A: Survey</w:t>
            </w:r>
            <w:r>
              <w:rPr>
                <w:noProof/>
                <w:webHidden/>
              </w:rPr>
              <w:tab/>
            </w:r>
            <w:r>
              <w:rPr>
                <w:noProof/>
                <w:webHidden/>
              </w:rPr>
              <w:fldChar w:fldCharType="begin"/>
            </w:r>
            <w:r>
              <w:rPr>
                <w:noProof/>
                <w:webHidden/>
              </w:rPr>
              <w:instrText xml:space="preserve"> PAGEREF _Toc222904048 \h </w:instrText>
            </w:r>
            <w:r>
              <w:rPr>
                <w:noProof/>
                <w:webHidden/>
              </w:rPr>
            </w:r>
            <w:r>
              <w:rPr>
                <w:noProof/>
                <w:webHidden/>
              </w:rPr>
              <w:fldChar w:fldCharType="separate"/>
            </w:r>
            <w:r>
              <w:rPr>
                <w:noProof/>
                <w:webHidden/>
              </w:rPr>
              <w:t>110</w:t>
            </w:r>
            <w:r>
              <w:rPr>
                <w:noProof/>
                <w:webHidden/>
              </w:rPr>
              <w:fldChar w:fldCharType="end"/>
            </w:r>
          </w:hyperlink>
        </w:p>
        <w:p w14:paraId="583D55FC" w14:textId="4DD51A0B" w:rsidR="006F7119" w:rsidRDefault="006F7119">
          <w:pPr>
            <w:pStyle w:val="TOC2"/>
            <w:tabs>
              <w:tab w:val="right" w:leader="dot" w:pos="9350"/>
            </w:tabs>
            <w:rPr>
              <w:rFonts w:eastAsiaTheme="minorEastAsia"/>
              <w:b w:val="0"/>
              <w:noProof/>
              <w:kern w:val="2"/>
              <w:sz w:val="24"/>
              <w:szCs w:val="24"/>
              <w14:ligatures w14:val="standardContextual"/>
            </w:rPr>
          </w:pPr>
          <w:hyperlink w:anchor="_Toc222904049" w:history="1">
            <w:r w:rsidRPr="009F21D0">
              <w:rPr>
                <w:rStyle w:val="Hyperlink"/>
                <w:noProof/>
              </w:rPr>
              <w:t>Appendix B: Interview Protocol</w:t>
            </w:r>
            <w:r>
              <w:rPr>
                <w:noProof/>
                <w:webHidden/>
              </w:rPr>
              <w:tab/>
            </w:r>
            <w:r>
              <w:rPr>
                <w:noProof/>
                <w:webHidden/>
              </w:rPr>
              <w:fldChar w:fldCharType="begin"/>
            </w:r>
            <w:r>
              <w:rPr>
                <w:noProof/>
                <w:webHidden/>
              </w:rPr>
              <w:instrText xml:space="preserve"> PAGEREF _Toc222904049 \h </w:instrText>
            </w:r>
            <w:r>
              <w:rPr>
                <w:noProof/>
                <w:webHidden/>
              </w:rPr>
            </w:r>
            <w:r>
              <w:rPr>
                <w:noProof/>
                <w:webHidden/>
              </w:rPr>
              <w:fldChar w:fldCharType="separate"/>
            </w:r>
            <w:r>
              <w:rPr>
                <w:noProof/>
                <w:webHidden/>
              </w:rPr>
              <w:t>122</w:t>
            </w:r>
            <w:r>
              <w:rPr>
                <w:noProof/>
                <w:webHidden/>
              </w:rPr>
              <w:fldChar w:fldCharType="end"/>
            </w:r>
          </w:hyperlink>
        </w:p>
        <w:p w14:paraId="44189C35" w14:textId="6F46D3F6" w:rsidR="006F7119" w:rsidRDefault="006F7119">
          <w:pPr>
            <w:pStyle w:val="TOC2"/>
            <w:tabs>
              <w:tab w:val="right" w:leader="dot" w:pos="9350"/>
            </w:tabs>
            <w:rPr>
              <w:rFonts w:eastAsiaTheme="minorEastAsia"/>
              <w:b w:val="0"/>
              <w:noProof/>
              <w:kern w:val="2"/>
              <w:sz w:val="24"/>
              <w:szCs w:val="24"/>
              <w14:ligatures w14:val="standardContextual"/>
            </w:rPr>
          </w:pPr>
          <w:hyperlink w:anchor="_Toc222904050" w:history="1">
            <w:r w:rsidRPr="009F21D0">
              <w:rPr>
                <w:rStyle w:val="Hyperlink"/>
                <w:noProof/>
              </w:rPr>
              <w:t>Appendix C: NIMAC 2025 Publisher/Vendor Webinar Training (Parts 1, 2, and 3) Exit Surveys: Data Report for the NIMAC Case Study</w:t>
            </w:r>
            <w:r>
              <w:rPr>
                <w:noProof/>
                <w:webHidden/>
              </w:rPr>
              <w:tab/>
            </w:r>
            <w:r>
              <w:rPr>
                <w:noProof/>
                <w:webHidden/>
              </w:rPr>
              <w:fldChar w:fldCharType="begin"/>
            </w:r>
            <w:r>
              <w:rPr>
                <w:noProof/>
                <w:webHidden/>
              </w:rPr>
              <w:instrText xml:space="preserve"> PAGEREF _Toc222904050 \h </w:instrText>
            </w:r>
            <w:r>
              <w:rPr>
                <w:noProof/>
                <w:webHidden/>
              </w:rPr>
            </w:r>
            <w:r>
              <w:rPr>
                <w:noProof/>
                <w:webHidden/>
              </w:rPr>
              <w:fldChar w:fldCharType="separate"/>
            </w:r>
            <w:r>
              <w:rPr>
                <w:noProof/>
                <w:webHidden/>
              </w:rPr>
              <w:t>126</w:t>
            </w:r>
            <w:r>
              <w:rPr>
                <w:noProof/>
                <w:webHidden/>
              </w:rPr>
              <w:fldChar w:fldCharType="end"/>
            </w:r>
          </w:hyperlink>
        </w:p>
        <w:p w14:paraId="7F6E2C8A" w14:textId="4746B274" w:rsidR="00A67F8E" w:rsidRPr="00BD06A8" w:rsidRDefault="00EB03E7" w:rsidP="00972494">
          <w:pPr>
            <w:rPr>
              <w:rFonts w:ascii="Times New Roman" w:hAnsi="Times New Roman" w:cs="Times New Roman"/>
              <w:b/>
              <w:bCs/>
              <w:noProof/>
            </w:rPr>
          </w:pPr>
          <w:r>
            <w:rPr>
              <w:rFonts w:ascii="Times New Roman" w:hAnsi="Times New Roman" w:cs="Times New Roman"/>
              <w:noProof/>
            </w:rPr>
            <w:fldChar w:fldCharType="end"/>
          </w:r>
        </w:p>
      </w:sdtContent>
    </w:sdt>
    <w:p w14:paraId="653FD508" w14:textId="0709C2E6" w:rsidR="000F1480" w:rsidRPr="00E52FD0" w:rsidRDefault="00653114" w:rsidP="00E52FD0">
      <w:pPr>
        <w:rPr>
          <w:rStyle w:val="Strong"/>
          <w:rFonts w:ascii="Times New Roman" w:hAnsi="Times New Roman" w:cs="Times New Roman"/>
          <w:noProof/>
          <w:color w:val="auto"/>
          <w:sz w:val="22"/>
        </w:rPr>
      </w:pPr>
      <w:r>
        <w:rPr>
          <w:rFonts w:ascii="Times New Roman" w:hAnsi="Times New Roman" w:cs="Times New Roman"/>
          <w:b/>
          <w:bCs/>
          <w:noProof/>
        </w:rPr>
        <w:br w:type="page"/>
      </w:r>
    </w:p>
    <w:p w14:paraId="20D3672D" w14:textId="14C417FA" w:rsidR="00E52FD0" w:rsidRPr="00E52FD0" w:rsidRDefault="00E52FD0" w:rsidP="00E52FD0">
      <w:pPr>
        <w:pStyle w:val="Heading2"/>
      </w:pPr>
      <w:bookmarkStart w:id="1" w:name="_Toc222903973"/>
      <w:r>
        <w:lastRenderedPageBreak/>
        <w:t>Executive Summary</w:t>
      </w:r>
      <w:bookmarkEnd w:id="1"/>
    </w:p>
    <w:p w14:paraId="6FFCFC83" w14:textId="77777777" w:rsidR="000F1480" w:rsidRDefault="000F1480" w:rsidP="000F1480">
      <w:pPr>
        <w:jc w:val="both"/>
        <w:rPr>
          <w:rStyle w:val="Strong"/>
          <w:rFonts w:ascii="Calibri" w:eastAsiaTheme="majorEastAsia" w:hAnsi="Calibri" w:cs="Calibri"/>
          <w:b w:val="0"/>
          <w:bCs w:val="0"/>
          <w:color w:val="auto"/>
          <w:sz w:val="24"/>
          <w:szCs w:val="24"/>
        </w:rPr>
      </w:pPr>
    </w:p>
    <w:p w14:paraId="01DC4808" w14:textId="079CDD4F" w:rsidR="00EB4002" w:rsidRPr="00605BA7" w:rsidRDefault="00B55C67" w:rsidP="00605BA7">
      <w:pPr>
        <w:spacing w:line="276" w:lineRule="auto"/>
        <w:rPr>
          <w:rFonts w:eastAsiaTheme="majorEastAsia" w:cstheme="minorHAnsi"/>
          <w:sz w:val="24"/>
          <w:szCs w:val="24"/>
        </w:rPr>
      </w:pPr>
      <w:r>
        <w:rPr>
          <w:rFonts w:ascii="ZWAdobeF" w:eastAsiaTheme="majorEastAsia" w:hAnsi="ZWAdobeF" w:cs="ZWAdobeF"/>
          <w:sz w:val="2"/>
          <w:szCs w:val="2"/>
        </w:rPr>
        <w:t>42B</w:t>
      </w:r>
      <w:r w:rsidR="00EB4002" w:rsidRPr="00605BA7">
        <w:rPr>
          <w:rFonts w:eastAsiaTheme="majorEastAsia" w:cstheme="minorHAnsi"/>
          <w:sz w:val="24"/>
          <w:szCs w:val="24"/>
        </w:rPr>
        <w:t xml:space="preserve">The NIMAC contracted with True North Evaluation in November 2024 to conduct a </w:t>
      </w:r>
      <w:r w:rsidR="00EA05EA">
        <w:rPr>
          <w:rFonts w:eastAsiaTheme="majorEastAsia" w:cstheme="minorHAnsi"/>
          <w:sz w:val="24"/>
          <w:szCs w:val="24"/>
        </w:rPr>
        <w:t xml:space="preserve">mixed methods </w:t>
      </w:r>
      <w:r w:rsidR="00EB4002" w:rsidRPr="00605BA7">
        <w:rPr>
          <w:rFonts w:eastAsiaTheme="majorEastAsia" w:cstheme="minorHAnsi"/>
          <w:sz w:val="24"/>
          <w:szCs w:val="24"/>
        </w:rPr>
        <w:t>case study to explore factors that support the timely delivery of accessible formats. In collaboration with NIMAC leadership, True North Evaluation finalized the case study design (including sample and questions), data collection methodology, and instrumentation (online survey and interview protocol). Quantitative and qualitative data answer</w:t>
      </w:r>
      <w:r w:rsidR="00911EE4">
        <w:rPr>
          <w:rFonts w:eastAsiaTheme="majorEastAsia" w:cstheme="minorHAnsi"/>
          <w:sz w:val="24"/>
          <w:szCs w:val="24"/>
        </w:rPr>
        <w:t>ed</w:t>
      </w:r>
      <w:r w:rsidR="00EB4002" w:rsidRPr="00605BA7">
        <w:rPr>
          <w:rFonts w:eastAsiaTheme="majorEastAsia" w:cstheme="minorHAnsi"/>
          <w:sz w:val="24"/>
          <w:szCs w:val="24"/>
        </w:rPr>
        <w:t xml:space="preserve"> case study questions and sub-questions (listed in italics below).</w:t>
      </w:r>
    </w:p>
    <w:p w14:paraId="7AC40FA7" w14:textId="1CA88256" w:rsidR="00EB4002" w:rsidRPr="00605BA7" w:rsidRDefault="00B55C67" w:rsidP="00605BA7">
      <w:pPr>
        <w:spacing w:line="276" w:lineRule="auto"/>
        <w:rPr>
          <w:rFonts w:eastAsiaTheme="majorEastAsia" w:cstheme="minorHAnsi"/>
          <w:b/>
          <w:bCs/>
          <w:sz w:val="24"/>
          <w:szCs w:val="24"/>
        </w:rPr>
      </w:pPr>
      <w:r>
        <w:rPr>
          <w:rFonts w:ascii="ZWAdobeF" w:eastAsiaTheme="majorEastAsia" w:hAnsi="ZWAdobeF" w:cs="ZWAdobeF"/>
          <w:sz w:val="2"/>
          <w:szCs w:val="2"/>
        </w:rPr>
        <w:t>43B</w:t>
      </w:r>
      <w:r w:rsidR="00EB4002" w:rsidRPr="00605BA7">
        <w:rPr>
          <w:rFonts w:eastAsiaTheme="majorEastAsia" w:cstheme="minorHAnsi"/>
          <w:sz w:val="24"/>
          <w:szCs w:val="24"/>
        </w:rPr>
        <w:t xml:space="preserve">After pilot testing the survey with case study states (Ohio, Oregon, Utah), the survey was administered widely between August-October 2025 to target audiences in case study states and via national channels; 329 surveys were completed. Simultaneously, True North Evaluation conducted 24 interviews (1:1 and focus group interviews) with a total of 119 participants.  </w:t>
      </w:r>
    </w:p>
    <w:p w14:paraId="4E997514" w14:textId="678CB92B" w:rsidR="00EB4002" w:rsidRPr="00605BA7" w:rsidRDefault="00B55C67" w:rsidP="00605BA7">
      <w:pPr>
        <w:spacing w:line="276" w:lineRule="auto"/>
        <w:rPr>
          <w:rFonts w:eastAsiaTheme="majorEastAsia" w:cstheme="minorHAnsi"/>
          <w:b/>
          <w:bCs/>
          <w:sz w:val="24"/>
          <w:szCs w:val="24"/>
        </w:rPr>
      </w:pPr>
      <w:r>
        <w:rPr>
          <w:rFonts w:ascii="ZWAdobeF" w:eastAsiaTheme="majorEastAsia" w:hAnsi="ZWAdobeF" w:cs="ZWAdobeF"/>
          <w:bCs/>
          <w:iCs/>
          <w:sz w:val="2"/>
          <w:szCs w:val="2"/>
        </w:rPr>
        <w:t>44B</w:t>
      </w:r>
      <w:r w:rsidR="00EB4002" w:rsidRPr="00605BA7">
        <w:rPr>
          <w:rFonts w:eastAsiaTheme="majorEastAsia" w:cstheme="minorHAnsi"/>
          <w:b/>
          <w:bCs/>
          <w:i/>
          <w:iCs/>
          <w:sz w:val="24"/>
          <w:szCs w:val="24"/>
        </w:rPr>
        <w:t xml:space="preserve">Question 1: What are the positive benefits to timely delivery of newly created accessible instructional materials when NIMAS files for the materials are already in the NIMAC system? </w:t>
      </w:r>
    </w:p>
    <w:p w14:paraId="702D50F6" w14:textId="06F45C7C" w:rsidR="00EB4002" w:rsidRPr="00605BA7" w:rsidRDefault="00B55C67" w:rsidP="00605BA7">
      <w:pPr>
        <w:spacing w:line="276" w:lineRule="auto"/>
        <w:rPr>
          <w:rFonts w:eastAsiaTheme="majorEastAsia" w:cstheme="minorHAnsi"/>
          <w:sz w:val="24"/>
          <w:szCs w:val="24"/>
        </w:rPr>
      </w:pPr>
      <w:r>
        <w:rPr>
          <w:rFonts w:ascii="ZWAdobeF" w:eastAsiaTheme="majorEastAsia" w:hAnsi="ZWAdobeF" w:cs="ZWAdobeF"/>
          <w:sz w:val="2"/>
          <w:szCs w:val="2"/>
        </w:rPr>
        <w:t>45B</w:t>
      </w:r>
      <w:r w:rsidR="00EA05EA">
        <w:rPr>
          <w:rFonts w:eastAsiaTheme="majorEastAsia" w:cstheme="minorHAnsi"/>
          <w:sz w:val="24"/>
          <w:szCs w:val="24"/>
        </w:rPr>
        <w:t>T</w:t>
      </w:r>
      <w:r w:rsidR="00EB4002" w:rsidRPr="00605BA7">
        <w:rPr>
          <w:rFonts w:eastAsiaTheme="majorEastAsia" w:cstheme="minorHAnsi"/>
          <w:sz w:val="24"/>
          <w:szCs w:val="24"/>
        </w:rPr>
        <w:t xml:space="preserve">imely delivery was defined as students who need accessible formats receiving them at the same time </w:t>
      </w:r>
      <w:proofErr w:type="gramStart"/>
      <w:r w:rsidR="00EB4002" w:rsidRPr="00605BA7">
        <w:rPr>
          <w:rFonts w:eastAsiaTheme="majorEastAsia" w:cstheme="minorHAnsi"/>
          <w:sz w:val="24"/>
          <w:szCs w:val="24"/>
        </w:rPr>
        <w:t>as when</w:t>
      </w:r>
      <w:proofErr w:type="gramEnd"/>
      <w:r w:rsidR="00EB4002" w:rsidRPr="00605BA7">
        <w:rPr>
          <w:rFonts w:eastAsiaTheme="majorEastAsia" w:cstheme="minorHAnsi"/>
          <w:sz w:val="24"/>
          <w:szCs w:val="24"/>
        </w:rPr>
        <w:t xml:space="preserve"> their peers receive educational materials. Over two-thirds of respondents endorsed all benefits to timely delivery that were presented on the survey. Benefits of timely delivery, </w:t>
      </w:r>
      <w:r w:rsidR="00EA05EA">
        <w:rPr>
          <w:rFonts w:eastAsiaTheme="majorEastAsia" w:cstheme="minorHAnsi"/>
          <w:sz w:val="24"/>
          <w:szCs w:val="24"/>
        </w:rPr>
        <w:t>from mo</w:t>
      </w:r>
      <w:r w:rsidR="00EB4002" w:rsidRPr="00605BA7">
        <w:rPr>
          <w:rFonts w:eastAsiaTheme="majorEastAsia" w:cstheme="minorHAnsi"/>
          <w:sz w:val="24"/>
          <w:szCs w:val="24"/>
        </w:rPr>
        <w:t xml:space="preserve">st to least frequently endorsed, include equitable access to instructional materials, independence, active learning, psychological well-being, academic achievement, ownership of learning, reduced stigma, and positive relationships among students with print disabilities and their peers. Through qualitative feedback, participants suggested two additional benefits: timely delivery meets legal requirements and supports teacher effectiveness. </w:t>
      </w:r>
    </w:p>
    <w:p w14:paraId="1587DF43" w14:textId="1B7F8A96" w:rsidR="00EB4002" w:rsidRPr="00605BA7" w:rsidRDefault="00B55C67" w:rsidP="00605BA7">
      <w:pPr>
        <w:spacing w:line="276" w:lineRule="auto"/>
        <w:rPr>
          <w:rFonts w:eastAsiaTheme="majorEastAsia" w:cstheme="minorHAnsi"/>
          <w:b/>
          <w:bCs/>
          <w:i/>
          <w:iCs/>
          <w:sz w:val="24"/>
          <w:szCs w:val="24"/>
        </w:rPr>
      </w:pPr>
      <w:r>
        <w:rPr>
          <w:rFonts w:ascii="ZWAdobeF" w:eastAsiaTheme="majorEastAsia" w:hAnsi="ZWAdobeF" w:cs="ZWAdobeF"/>
          <w:bCs/>
          <w:iCs/>
          <w:sz w:val="2"/>
          <w:szCs w:val="2"/>
        </w:rPr>
        <w:t>46B</w:t>
      </w:r>
      <w:r w:rsidR="00EB4002" w:rsidRPr="00605BA7">
        <w:rPr>
          <w:rFonts w:eastAsiaTheme="majorEastAsia" w:cstheme="minorHAnsi"/>
          <w:b/>
          <w:bCs/>
          <w:i/>
          <w:iCs/>
          <w:sz w:val="24"/>
          <w:szCs w:val="24"/>
        </w:rPr>
        <w:t>Sub-question 1a: What is the timeline for delivery of newly created accessible instructional materials when 1) NIMAS files for materials are already in the NIMAC system, 2) NIMAS files are not in the NIMAC system and materials are added to the Watchlist, and 3) materials are not within scope for NIMAS?</w:t>
      </w:r>
    </w:p>
    <w:p w14:paraId="188CC46A" w14:textId="4A8CED7C" w:rsidR="00EB4002" w:rsidRPr="00605BA7" w:rsidRDefault="00B55C67" w:rsidP="00605BA7">
      <w:pPr>
        <w:spacing w:line="276" w:lineRule="auto"/>
        <w:rPr>
          <w:rFonts w:eastAsiaTheme="majorEastAsia" w:cstheme="minorHAnsi"/>
          <w:sz w:val="24"/>
          <w:szCs w:val="24"/>
        </w:rPr>
      </w:pPr>
      <w:r>
        <w:rPr>
          <w:rFonts w:ascii="ZWAdobeF" w:eastAsiaTheme="majorEastAsia" w:hAnsi="ZWAdobeF" w:cs="ZWAdobeF"/>
          <w:sz w:val="2"/>
          <w:szCs w:val="2"/>
        </w:rPr>
        <w:t>47B</w:t>
      </w:r>
      <w:r w:rsidR="00EB4002" w:rsidRPr="00605BA7">
        <w:rPr>
          <w:rFonts w:eastAsiaTheme="majorEastAsia" w:cstheme="minorHAnsi"/>
          <w:sz w:val="24"/>
          <w:szCs w:val="24"/>
        </w:rPr>
        <w:t xml:space="preserve">Participants reported that timelines for delivery of accessible formats are shortest when NIMAS files are in the NIMAC system. </w:t>
      </w:r>
      <w:r w:rsidR="00E901E1">
        <w:rPr>
          <w:rFonts w:eastAsiaTheme="majorEastAsia" w:cstheme="minorHAnsi"/>
          <w:sz w:val="24"/>
          <w:szCs w:val="24"/>
        </w:rPr>
        <w:t>M</w:t>
      </w:r>
      <w:r w:rsidR="00EB4002" w:rsidRPr="00605BA7">
        <w:rPr>
          <w:rFonts w:eastAsiaTheme="majorEastAsia" w:cstheme="minorHAnsi"/>
          <w:sz w:val="24"/>
          <w:szCs w:val="24"/>
        </w:rPr>
        <w:t xml:space="preserve">edian timelines for delivery when NIMAS files are in the NIMAC system </w:t>
      </w:r>
      <w:proofErr w:type="gramStart"/>
      <w:r w:rsidR="00EB4002" w:rsidRPr="00605BA7">
        <w:rPr>
          <w:rFonts w:eastAsiaTheme="majorEastAsia" w:cstheme="minorHAnsi"/>
          <w:sz w:val="24"/>
          <w:szCs w:val="24"/>
        </w:rPr>
        <w:t>ranged</w:t>
      </w:r>
      <w:proofErr w:type="gramEnd"/>
      <w:r w:rsidR="00EB4002" w:rsidRPr="00605BA7">
        <w:rPr>
          <w:rFonts w:eastAsiaTheme="majorEastAsia" w:cstheme="minorHAnsi"/>
          <w:sz w:val="24"/>
          <w:szCs w:val="24"/>
        </w:rPr>
        <w:t xml:space="preserve"> from two months (braille for STEM materials) to less than two weeks (accessible digital text materials). These timelines were shorter than </w:t>
      </w:r>
      <w:r w:rsidR="00E901E1">
        <w:rPr>
          <w:rFonts w:eastAsiaTheme="majorEastAsia" w:cstheme="minorHAnsi"/>
          <w:sz w:val="24"/>
          <w:szCs w:val="24"/>
        </w:rPr>
        <w:t xml:space="preserve">the </w:t>
      </w:r>
      <w:r w:rsidR="00EB4002" w:rsidRPr="00605BA7">
        <w:rPr>
          <w:rFonts w:eastAsiaTheme="majorEastAsia" w:cstheme="minorHAnsi"/>
          <w:sz w:val="24"/>
          <w:szCs w:val="24"/>
        </w:rPr>
        <w:t xml:space="preserve">median timelines for delivery when materials are added to the NIMAC Watchlist, which ranged from nearly three-and-a-half months (braille for STEM materials) to approximately 3 weeks (accessible digital text materials). Respondents expressed difficulty specifying delivery timelines because of the breadth and complexity of materials and the variability in timelines based on each educational material.  </w:t>
      </w:r>
    </w:p>
    <w:p w14:paraId="6B57DD63" w14:textId="344EB545" w:rsidR="00EB4002" w:rsidRPr="00605BA7" w:rsidRDefault="00B55C67" w:rsidP="00605BA7">
      <w:pPr>
        <w:spacing w:line="276" w:lineRule="auto"/>
        <w:rPr>
          <w:rFonts w:eastAsiaTheme="majorEastAsia" w:cstheme="minorHAnsi"/>
          <w:sz w:val="24"/>
          <w:szCs w:val="24"/>
        </w:rPr>
      </w:pPr>
      <w:r>
        <w:rPr>
          <w:rFonts w:ascii="ZWAdobeF" w:eastAsiaTheme="majorEastAsia" w:hAnsi="ZWAdobeF" w:cs="ZWAdobeF"/>
          <w:sz w:val="2"/>
          <w:szCs w:val="2"/>
        </w:rPr>
        <w:lastRenderedPageBreak/>
        <w:t>48B</w:t>
      </w:r>
      <w:r w:rsidR="00590B52">
        <w:rPr>
          <w:rFonts w:eastAsiaTheme="majorEastAsia" w:cstheme="minorHAnsi"/>
          <w:sz w:val="24"/>
          <w:szCs w:val="24"/>
        </w:rPr>
        <w:t>T</w:t>
      </w:r>
      <w:r w:rsidR="00EB4002" w:rsidRPr="00605BA7">
        <w:rPr>
          <w:rFonts w:eastAsiaTheme="majorEastAsia" w:cstheme="minorHAnsi"/>
          <w:sz w:val="24"/>
          <w:szCs w:val="24"/>
        </w:rPr>
        <w:t xml:space="preserve">imelines reported by case study participants </w:t>
      </w:r>
      <w:r w:rsidR="00564FEB">
        <w:rPr>
          <w:rFonts w:eastAsiaTheme="majorEastAsia" w:cstheme="minorHAnsi"/>
          <w:sz w:val="24"/>
          <w:szCs w:val="24"/>
        </w:rPr>
        <w:t>were</w:t>
      </w:r>
      <w:r w:rsidR="00EB4002" w:rsidRPr="00605BA7">
        <w:rPr>
          <w:rFonts w:eastAsiaTheme="majorEastAsia" w:cstheme="minorHAnsi"/>
          <w:sz w:val="24"/>
          <w:szCs w:val="24"/>
        </w:rPr>
        <w:t xml:space="preserve"> consistent with NIMAC’s internal tracking data from three recent calendar years (2021-2023), indicating that it takes a median of 34-38 days for NIMAS files to be acquired from publishers, certified, and accessible in the NIMAC system after they are submitted to the NIMAC Watchlist. </w:t>
      </w:r>
    </w:p>
    <w:p w14:paraId="24D518BA" w14:textId="6A5404F2" w:rsidR="00EB4002" w:rsidRPr="00605BA7" w:rsidRDefault="00B55C67" w:rsidP="00605BA7">
      <w:pPr>
        <w:spacing w:line="276" w:lineRule="auto"/>
        <w:rPr>
          <w:rFonts w:eastAsiaTheme="majorEastAsia" w:cstheme="minorHAnsi"/>
          <w:sz w:val="24"/>
          <w:szCs w:val="24"/>
        </w:rPr>
      </w:pPr>
      <w:r>
        <w:rPr>
          <w:rFonts w:ascii="ZWAdobeF" w:eastAsiaTheme="majorEastAsia" w:hAnsi="ZWAdobeF" w:cs="ZWAdobeF"/>
          <w:sz w:val="2"/>
          <w:szCs w:val="2"/>
        </w:rPr>
        <w:t>49B</w:t>
      </w:r>
      <w:r w:rsidR="00EB4002" w:rsidRPr="00605BA7">
        <w:rPr>
          <w:rFonts w:eastAsiaTheme="majorEastAsia" w:cstheme="minorHAnsi"/>
          <w:sz w:val="24"/>
          <w:szCs w:val="24"/>
        </w:rPr>
        <w:t xml:space="preserve">Overall satisfaction with timelines for delivery of accessible formats was relatively low, with respondents reporting their lowest satisfaction when accessible formats are not within scope for NIMAS and their highest satisfaction when NIMAS files are already in the NIMAC system. </w:t>
      </w:r>
    </w:p>
    <w:p w14:paraId="1E22517E" w14:textId="07914014" w:rsidR="00EB4002" w:rsidRPr="00605BA7" w:rsidRDefault="00B55C67" w:rsidP="00605BA7">
      <w:pPr>
        <w:spacing w:line="276" w:lineRule="auto"/>
        <w:rPr>
          <w:rFonts w:eastAsiaTheme="majorEastAsia" w:cstheme="minorHAnsi"/>
          <w:b/>
          <w:bCs/>
          <w:i/>
          <w:iCs/>
          <w:sz w:val="24"/>
          <w:szCs w:val="24"/>
        </w:rPr>
      </w:pPr>
      <w:r>
        <w:rPr>
          <w:rFonts w:ascii="ZWAdobeF" w:eastAsiaTheme="majorEastAsia" w:hAnsi="ZWAdobeF" w:cs="ZWAdobeF"/>
          <w:bCs/>
          <w:iCs/>
          <w:sz w:val="2"/>
          <w:szCs w:val="2"/>
        </w:rPr>
        <w:t>50B</w:t>
      </w:r>
      <w:r w:rsidR="00EB4002" w:rsidRPr="00605BA7">
        <w:rPr>
          <w:rFonts w:eastAsiaTheme="majorEastAsia" w:cstheme="minorHAnsi"/>
          <w:b/>
          <w:bCs/>
          <w:i/>
          <w:iCs/>
          <w:sz w:val="24"/>
          <w:szCs w:val="24"/>
        </w:rPr>
        <w:t xml:space="preserve">Sub-question 1b: What impacts the timely delivery and use of accessible instructional materials best formatted to meet students’ needs, as specified in their IEP? </w:t>
      </w:r>
    </w:p>
    <w:p w14:paraId="259D11E9" w14:textId="4F5EEC04" w:rsidR="00EB4002" w:rsidRPr="00605BA7" w:rsidRDefault="00B55C67" w:rsidP="00605BA7">
      <w:pPr>
        <w:spacing w:line="276" w:lineRule="auto"/>
        <w:rPr>
          <w:rFonts w:eastAsiaTheme="majorEastAsia" w:cstheme="minorHAnsi"/>
          <w:sz w:val="24"/>
          <w:szCs w:val="24"/>
        </w:rPr>
      </w:pPr>
      <w:r>
        <w:rPr>
          <w:rFonts w:ascii="ZWAdobeF" w:eastAsiaTheme="majorEastAsia" w:hAnsi="ZWAdobeF" w:cs="ZWAdobeF"/>
          <w:sz w:val="2"/>
          <w:szCs w:val="2"/>
        </w:rPr>
        <w:t>51B</w:t>
      </w:r>
      <w:r w:rsidR="00EB4002" w:rsidRPr="00605BA7">
        <w:rPr>
          <w:rFonts w:eastAsiaTheme="majorEastAsia" w:cstheme="minorHAnsi"/>
          <w:sz w:val="24"/>
          <w:szCs w:val="24"/>
        </w:rPr>
        <w:t>Participants consistently reported that</w:t>
      </w:r>
      <w:r w:rsidR="004C249D">
        <w:rPr>
          <w:rFonts w:eastAsiaTheme="majorEastAsia" w:cstheme="minorHAnsi"/>
          <w:sz w:val="24"/>
          <w:szCs w:val="24"/>
        </w:rPr>
        <w:t>, on a regular basis,</w:t>
      </w:r>
      <w:r w:rsidR="00EB4002" w:rsidRPr="00605BA7">
        <w:rPr>
          <w:rFonts w:eastAsiaTheme="majorEastAsia" w:cstheme="minorHAnsi"/>
          <w:sz w:val="24"/>
          <w:szCs w:val="24"/>
        </w:rPr>
        <w:t xml:space="preserve"> students with visual impairments and print disabilities use accessible formats that are less than ideal</w:t>
      </w:r>
      <w:r w:rsidR="004C249D">
        <w:rPr>
          <w:rFonts w:eastAsiaTheme="majorEastAsia" w:cstheme="minorHAnsi"/>
          <w:sz w:val="24"/>
          <w:szCs w:val="24"/>
        </w:rPr>
        <w:t xml:space="preserve"> (based on their IEPs)</w:t>
      </w:r>
      <w:r w:rsidR="00EB4002" w:rsidRPr="00605BA7">
        <w:rPr>
          <w:rFonts w:eastAsiaTheme="majorEastAsia" w:cstheme="minorHAnsi"/>
          <w:sz w:val="24"/>
          <w:szCs w:val="24"/>
        </w:rPr>
        <w:t xml:space="preserve">, </w:t>
      </w:r>
      <w:r w:rsidR="004C249D">
        <w:rPr>
          <w:rFonts w:eastAsiaTheme="majorEastAsia" w:cstheme="minorHAnsi"/>
          <w:sz w:val="24"/>
          <w:szCs w:val="24"/>
        </w:rPr>
        <w:t xml:space="preserve">as well as </w:t>
      </w:r>
      <w:r w:rsidR="00EB4002" w:rsidRPr="00605BA7">
        <w:rPr>
          <w:rFonts w:eastAsiaTheme="majorEastAsia" w:cstheme="minorHAnsi"/>
          <w:sz w:val="24"/>
          <w:szCs w:val="24"/>
        </w:rPr>
        <w:t xml:space="preserve">use different curricula from their peers. Over half of survey respondents reported that students use accessible formats that are less than ideal “often” or “always.” </w:t>
      </w:r>
      <w:r w:rsidR="00F12DFF">
        <w:rPr>
          <w:rFonts w:eastAsiaTheme="majorEastAsia" w:cstheme="minorHAnsi"/>
          <w:sz w:val="24"/>
          <w:szCs w:val="24"/>
        </w:rPr>
        <w:t>A</w:t>
      </w:r>
      <w:r w:rsidR="00EB4002" w:rsidRPr="00605BA7">
        <w:rPr>
          <w:rFonts w:eastAsiaTheme="majorEastAsia" w:cstheme="minorHAnsi"/>
          <w:sz w:val="24"/>
          <w:szCs w:val="24"/>
        </w:rPr>
        <w:t>s</w:t>
      </w:r>
      <w:r w:rsidR="00F12DFF">
        <w:rPr>
          <w:rFonts w:eastAsiaTheme="majorEastAsia" w:cstheme="minorHAnsi"/>
          <w:sz w:val="24"/>
          <w:szCs w:val="24"/>
        </w:rPr>
        <w:t>s</w:t>
      </w:r>
      <w:r w:rsidR="00EB4002" w:rsidRPr="00605BA7">
        <w:rPr>
          <w:rFonts w:eastAsiaTheme="majorEastAsia" w:cstheme="minorHAnsi"/>
          <w:sz w:val="24"/>
          <w:szCs w:val="24"/>
        </w:rPr>
        <w:t>ociated negative impacts</w:t>
      </w:r>
      <w:r w:rsidR="00F12DFF">
        <w:rPr>
          <w:rFonts w:eastAsiaTheme="majorEastAsia" w:cstheme="minorHAnsi"/>
          <w:sz w:val="24"/>
          <w:szCs w:val="24"/>
        </w:rPr>
        <w:t xml:space="preserve"> include</w:t>
      </w:r>
      <w:r w:rsidR="00EB4002" w:rsidRPr="00605BA7">
        <w:rPr>
          <w:rFonts w:eastAsiaTheme="majorEastAsia" w:cstheme="minorHAnsi"/>
          <w:sz w:val="24"/>
          <w:szCs w:val="24"/>
        </w:rPr>
        <w:t xml:space="preserve"> decreased academic achievement, increased teacher stress and responsibility, and mental health consequences for students. </w:t>
      </w:r>
      <w:r w:rsidR="00F12DFF">
        <w:rPr>
          <w:rFonts w:eastAsiaTheme="majorEastAsia" w:cstheme="minorHAnsi"/>
          <w:sz w:val="24"/>
          <w:szCs w:val="24"/>
        </w:rPr>
        <w:t>N</w:t>
      </w:r>
      <w:r w:rsidR="00EB4002" w:rsidRPr="00605BA7">
        <w:rPr>
          <w:rFonts w:eastAsiaTheme="majorEastAsia" w:cstheme="minorHAnsi"/>
          <w:sz w:val="24"/>
          <w:szCs w:val="24"/>
        </w:rPr>
        <w:t xml:space="preserve">early two-thirds of survey respondents were </w:t>
      </w:r>
      <w:r w:rsidR="00E35FEC">
        <w:rPr>
          <w:rFonts w:eastAsiaTheme="majorEastAsia" w:cstheme="minorHAnsi"/>
          <w:sz w:val="24"/>
          <w:szCs w:val="24"/>
        </w:rPr>
        <w:t>diss</w:t>
      </w:r>
      <w:r w:rsidR="00EB4002" w:rsidRPr="00605BA7">
        <w:rPr>
          <w:rFonts w:eastAsiaTheme="majorEastAsia" w:cstheme="minorHAnsi"/>
          <w:sz w:val="24"/>
          <w:szCs w:val="24"/>
        </w:rPr>
        <w:t xml:space="preserve">atisfied with </w:t>
      </w:r>
      <w:r w:rsidR="00F12DFF">
        <w:rPr>
          <w:rFonts w:eastAsiaTheme="majorEastAsia" w:cstheme="minorHAnsi"/>
          <w:sz w:val="24"/>
          <w:szCs w:val="24"/>
        </w:rPr>
        <w:t xml:space="preserve">students’ </w:t>
      </w:r>
      <w:r w:rsidR="00EB4002" w:rsidRPr="00605BA7">
        <w:rPr>
          <w:rFonts w:eastAsiaTheme="majorEastAsia" w:cstheme="minorHAnsi"/>
          <w:sz w:val="24"/>
          <w:szCs w:val="24"/>
        </w:rPr>
        <w:t>ability</w:t>
      </w:r>
      <w:r w:rsidR="00F12DFF">
        <w:rPr>
          <w:rFonts w:eastAsiaTheme="majorEastAsia" w:cstheme="minorHAnsi"/>
          <w:sz w:val="24"/>
          <w:szCs w:val="24"/>
        </w:rPr>
        <w:t xml:space="preserve"> </w:t>
      </w:r>
      <w:r w:rsidR="00EB4002" w:rsidRPr="00605BA7">
        <w:rPr>
          <w:rFonts w:eastAsiaTheme="majorEastAsia" w:cstheme="minorHAnsi"/>
          <w:sz w:val="24"/>
          <w:szCs w:val="24"/>
        </w:rPr>
        <w:t xml:space="preserve">to access and use accessible formats. </w:t>
      </w:r>
    </w:p>
    <w:p w14:paraId="15C4E7E5" w14:textId="3A57A4ED" w:rsidR="00EB4002" w:rsidRPr="00605BA7" w:rsidRDefault="00B55C67" w:rsidP="00605BA7">
      <w:pPr>
        <w:spacing w:line="276" w:lineRule="auto"/>
        <w:rPr>
          <w:rFonts w:eastAsiaTheme="majorEastAsia" w:cstheme="minorHAnsi"/>
          <w:sz w:val="24"/>
          <w:szCs w:val="24"/>
        </w:rPr>
      </w:pPr>
      <w:r>
        <w:rPr>
          <w:rFonts w:ascii="ZWAdobeF" w:eastAsiaTheme="majorEastAsia" w:hAnsi="ZWAdobeF" w:cs="ZWAdobeF"/>
          <w:sz w:val="2"/>
          <w:szCs w:val="2"/>
        </w:rPr>
        <w:t>52B</w:t>
      </w:r>
      <w:r w:rsidR="00EB4002" w:rsidRPr="00605BA7">
        <w:rPr>
          <w:rFonts w:eastAsiaTheme="majorEastAsia" w:cstheme="minorHAnsi"/>
          <w:sz w:val="24"/>
          <w:szCs w:val="24"/>
        </w:rPr>
        <w:t xml:space="preserve">Nearly one-half to two-thirds of survey respondents endorsed a range of factors that negatively impact use of accessible formats, including lack of instructional support, pressure on teachers to use the most readily-available and least expensive format, lack of AT, the cumbersome nature of some accessible formats, the use of “backup” materials as students wait for appropriate accessible formats, and students’ lack of familiarity with some formats. Qualitative feedback noted challenges associated with AT, materials that claim to be accessible but are not, and student preferences that are not respected. Statistically significant differences between states indicate that the structures and systems that facilitate the use of accessible formats (e.g., systems that facilitate AT and instructional support) likely differ across states. </w:t>
      </w:r>
    </w:p>
    <w:p w14:paraId="3E010446" w14:textId="4326960F" w:rsidR="00EB4002" w:rsidRPr="00605BA7" w:rsidRDefault="00B55C67" w:rsidP="00605BA7">
      <w:pPr>
        <w:spacing w:line="276" w:lineRule="auto"/>
        <w:rPr>
          <w:rFonts w:eastAsiaTheme="majorEastAsia" w:cstheme="minorHAnsi"/>
          <w:b/>
          <w:bCs/>
          <w:i/>
          <w:iCs/>
          <w:sz w:val="24"/>
          <w:szCs w:val="24"/>
        </w:rPr>
      </w:pPr>
      <w:r>
        <w:rPr>
          <w:rFonts w:ascii="ZWAdobeF" w:eastAsiaTheme="majorEastAsia" w:hAnsi="ZWAdobeF" w:cs="ZWAdobeF"/>
          <w:bCs/>
          <w:iCs/>
          <w:sz w:val="2"/>
          <w:szCs w:val="2"/>
        </w:rPr>
        <w:t>53B</w:t>
      </w:r>
      <w:r w:rsidR="00EB4002" w:rsidRPr="00605BA7">
        <w:rPr>
          <w:rFonts w:eastAsiaTheme="majorEastAsia" w:cstheme="minorHAnsi"/>
          <w:b/>
          <w:bCs/>
          <w:i/>
          <w:iCs/>
          <w:sz w:val="24"/>
          <w:szCs w:val="24"/>
        </w:rPr>
        <w:t>Question 2: What practices, including procurement contracts, facilitate the timely delivery of accessible instructional materials?</w:t>
      </w:r>
    </w:p>
    <w:p w14:paraId="480DC13A" w14:textId="2602593F" w:rsidR="00EB4002" w:rsidRPr="00605BA7" w:rsidRDefault="00B55C67" w:rsidP="00605BA7">
      <w:pPr>
        <w:spacing w:line="276" w:lineRule="auto"/>
        <w:rPr>
          <w:rFonts w:eastAsiaTheme="majorEastAsia" w:cstheme="minorHAnsi"/>
          <w:sz w:val="24"/>
          <w:szCs w:val="24"/>
        </w:rPr>
      </w:pPr>
      <w:r>
        <w:rPr>
          <w:rFonts w:ascii="ZWAdobeF" w:eastAsiaTheme="majorEastAsia" w:hAnsi="ZWAdobeF" w:cs="ZWAdobeF"/>
          <w:sz w:val="2"/>
          <w:szCs w:val="2"/>
        </w:rPr>
        <w:t>54B</w:t>
      </w:r>
      <w:r w:rsidR="00EB4002" w:rsidRPr="00605BA7">
        <w:rPr>
          <w:rFonts w:eastAsiaTheme="majorEastAsia" w:cstheme="minorHAnsi"/>
          <w:sz w:val="24"/>
          <w:szCs w:val="24"/>
        </w:rPr>
        <w:t xml:space="preserve">Participants indicated many factors that facilitate timely delivery, organized into three domains: production practices, practices at the state, regional, district, and school level, and NIMAC practices. Regarding production practices, nearly three-quarters of survey respondents indicated the facilitation of timely delivery when accessible formats are already available at a central location in a state or district. Qualitative feedback illuminated two additional facilitators: local resources for accessible media production (e.g., local braille transcribers) and a streamlined production system. </w:t>
      </w:r>
    </w:p>
    <w:p w14:paraId="52BAB911" w14:textId="5F10E3DC" w:rsidR="00EB4002" w:rsidRPr="00605BA7" w:rsidRDefault="00B55C67" w:rsidP="00605BA7">
      <w:pPr>
        <w:spacing w:line="276" w:lineRule="auto"/>
        <w:rPr>
          <w:rFonts w:eastAsiaTheme="majorEastAsia" w:cstheme="minorHAnsi"/>
          <w:sz w:val="24"/>
          <w:szCs w:val="24"/>
        </w:rPr>
      </w:pPr>
      <w:r>
        <w:rPr>
          <w:rFonts w:ascii="ZWAdobeF" w:eastAsiaTheme="majorEastAsia" w:hAnsi="ZWAdobeF" w:cs="ZWAdobeF"/>
          <w:sz w:val="2"/>
          <w:szCs w:val="2"/>
        </w:rPr>
        <w:lastRenderedPageBreak/>
        <w:t>55B</w:t>
      </w:r>
      <w:r w:rsidR="00EB4002" w:rsidRPr="00605BA7">
        <w:rPr>
          <w:rFonts w:eastAsiaTheme="majorEastAsia" w:cstheme="minorHAnsi"/>
          <w:sz w:val="24"/>
          <w:szCs w:val="24"/>
        </w:rPr>
        <w:t xml:space="preserve">With regard to practices at the state, regional, district, and school level, over three-quarters of survey respondents indicated the facilitation of timely delivery when requests for first-time production of accessible formats are made well in advance of when they are needed. Two-thirds of respondents endorsed a centralized workflow within </w:t>
      </w:r>
      <w:proofErr w:type="gramStart"/>
      <w:r w:rsidR="00EB4002" w:rsidRPr="00605BA7">
        <w:rPr>
          <w:rFonts w:eastAsiaTheme="majorEastAsia" w:cstheme="minorHAnsi"/>
          <w:sz w:val="24"/>
          <w:szCs w:val="24"/>
        </w:rPr>
        <w:t>a SEA</w:t>
      </w:r>
      <w:proofErr w:type="gramEnd"/>
      <w:r w:rsidR="00EB4002" w:rsidRPr="00605BA7">
        <w:rPr>
          <w:rFonts w:eastAsiaTheme="majorEastAsia" w:cstheme="minorHAnsi"/>
          <w:sz w:val="24"/>
          <w:szCs w:val="24"/>
        </w:rPr>
        <w:t xml:space="preserve">, LEA, or Regional District system to process requests. </w:t>
      </w:r>
    </w:p>
    <w:p w14:paraId="605AA9B3" w14:textId="6C7BA90A" w:rsidR="00EB4002" w:rsidRPr="00605BA7" w:rsidRDefault="00B55C67" w:rsidP="00605BA7">
      <w:pPr>
        <w:spacing w:line="276" w:lineRule="auto"/>
        <w:rPr>
          <w:rFonts w:eastAsiaTheme="majorEastAsia" w:cstheme="minorHAnsi"/>
          <w:sz w:val="24"/>
          <w:szCs w:val="24"/>
        </w:rPr>
      </w:pPr>
      <w:r>
        <w:rPr>
          <w:rFonts w:ascii="ZWAdobeF" w:eastAsiaTheme="majorEastAsia" w:hAnsi="ZWAdobeF" w:cs="ZWAdobeF"/>
          <w:sz w:val="2"/>
          <w:szCs w:val="2"/>
        </w:rPr>
        <w:t>56B</w:t>
      </w:r>
      <w:r w:rsidR="00EB4002" w:rsidRPr="00605BA7">
        <w:rPr>
          <w:rFonts w:eastAsiaTheme="majorEastAsia" w:cstheme="minorHAnsi"/>
          <w:sz w:val="24"/>
          <w:szCs w:val="24"/>
        </w:rPr>
        <w:t>Participant feedback regarding the NIMAC was consistently positive. The vast majority of NIMAC Users (91%) agreed that “</w:t>
      </w:r>
      <w:r w:rsidR="00CE169F">
        <w:rPr>
          <w:rFonts w:eastAsiaTheme="majorEastAsia" w:cstheme="minorHAnsi"/>
          <w:sz w:val="24"/>
          <w:szCs w:val="24"/>
        </w:rPr>
        <w:t>T</w:t>
      </w:r>
      <w:r w:rsidR="00EB4002" w:rsidRPr="00605BA7">
        <w:rPr>
          <w:rFonts w:eastAsiaTheme="majorEastAsia" w:cstheme="minorHAnsi"/>
          <w:sz w:val="24"/>
          <w:szCs w:val="24"/>
        </w:rPr>
        <w:t>he NIMAC Watchlist request system is a valuable service for serving students when NIMAS files have not been received by the publisher.” Over two-thirds of NIMAC Users and publishers also indicated that timely delivery is facilitated by NIMAC staff who provide effective and timely TA.</w:t>
      </w:r>
    </w:p>
    <w:p w14:paraId="112D20C8" w14:textId="405A8A62" w:rsidR="00EB4002" w:rsidRPr="00605BA7" w:rsidRDefault="00B55C67" w:rsidP="00605BA7">
      <w:pPr>
        <w:spacing w:line="276" w:lineRule="auto"/>
        <w:rPr>
          <w:rFonts w:eastAsiaTheme="majorEastAsia" w:cstheme="minorHAnsi"/>
          <w:sz w:val="24"/>
          <w:szCs w:val="24"/>
        </w:rPr>
      </w:pPr>
      <w:r>
        <w:rPr>
          <w:rFonts w:ascii="ZWAdobeF" w:eastAsiaTheme="majorEastAsia" w:hAnsi="ZWAdobeF" w:cs="ZWAdobeF"/>
          <w:sz w:val="2"/>
          <w:szCs w:val="2"/>
        </w:rPr>
        <w:t>57B</w:t>
      </w:r>
      <w:r w:rsidR="00EB4002" w:rsidRPr="00605BA7">
        <w:rPr>
          <w:rFonts w:eastAsiaTheme="majorEastAsia" w:cstheme="minorHAnsi"/>
          <w:sz w:val="24"/>
          <w:szCs w:val="24"/>
        </w:rPr>
        <w:t xml:space="preserve">Participants </w:t>
      </w:r>
      <w:r w:rsidR="00702097">
        <w:rPr>
          <w:rFonts w:eastAsiaTheme="majorEastAsia" w:cstheme="minorHAnsi"/>
          <w:sz w:val="24"/>
          <w:szCs w:val="24"/>
        </w:rPr>
        <w:t>stressed</w:t>
      </w:r>
      <w:r w:rsidR="00EB4002" w:rsidRPr="00605BA7">
        <w:rPr>
          <w:rFonts w:eastAsiaTheme="majorEastAsia" w:cstheme="minorHAnsi"/>
          <w:sz w:val="24"/>
          <w:szCs w:val="24"/>
        </w:rPr>
        <w:t xml:space="preserve"> the importance of effective communication among relevant stakeholders. Across domains that facilitate timely delivery, there were statistically significant differences. While differences by respondent role are expected given that only a subset of roles are directly involved in searching for accessible formats or working directly with AMPs, differences by state suggest that states have varying degrees of experience utilizing the Louis Database of Accessible Materials and effectively working with and supporting AMPs.  </w:t>
      </w:r>
    </w:p>
    <w:p w14:paraId="0B4F4997" w14:textId="70607AF9" w:rsidR="00EB4002" w:rsidRPr="00605BA7" w:rsidRDefault="00B55C67" w:rsidP="00605BA7">
      <w:pPr>
        <w:spacing w:line="276" w:lineRule="auto"/>
        <w:rPr>
          <w:rFonts w:eastAsiaTheme="majorEastAsia" w:cstheme="minorHAnsi"/>
          <w:sz w:val="24"/>
          <w:szCs w:val="24"/>
        </w:rPr>
      </w:pPr>
      <w:r>
        <w:rPr>
          <w:rFonts w:ascii="ZWAdobeF" w:eastAsiaTheme="majorEastAsia" w:hAnsi="ZWAdobeF" w:cs="ZWAdobeF"/>
          <w:bCs/>
          <w:iCs/>
          <w:sz w:val="2"/>
          <w:szCs w:val="2"/>
        </w:rPr>
        <w:t>58B</w:t>
      </w:r>
      <w:r w:rsidR="00EB4002" w:rsidRPr="00605BA7">
        <w:rPr>
          <w:rFonts w:eastAsiaTheme="majorEastAsia" w:cstheme="minorHAnsi"/>
          <w:b/>
          <w:bCs/>
          <w:i/>
          <w:iCs/>
          <w:sz w:val="24"/>
          <w:szCs w:val="24"/>
        </w:rPr>
        <w:t>Sub-question 2a: What practices, including those unrelated to compliance with the NIMAS requirement, hinder the timely delivery of instructional materials?</w:t>
      </w:r>
    </w:p>
    <w:p w14:paraId="7BC6CA6B" w14:textId="4BAE14CB" w:rsidR="00EB4002" w:rsidRPr="00605BA7" w:rsidRDefault="00B55C67" w:rsidP="00605BA7">
      <w:pPr>
        <w:spacing w:line="276" w:lineRule="auto"/>
        <w:rPr>
          <w:rFonts w:eastAsiaTheme="majorEastAsia" w:cstheme="minorHAnsi"/>
          <w:sz w:val="24"/>
          <w:szCs w:val="24"/>
        </w:rPr>
      </w:pPr>
      <w:r>
        <w:rPr>
          <w:rFonts w:ascii="ZWAdobeF" w:eastAsiaTheme="majorEastAsia" w:hAnsi="ZWAdobeF" w:cs="ZWAdobeF"/>
          <w:sz w:val="2"/>
          <w:szCs w:val="2"/>
        </w:rPr>
        <w:t>59B</w:t>
      </w:r>
      <w:r w:rsidR="00EB4002" w:rsidRPr="00605BA7">
        <w:rPr>
          <w:rFonts w:eastAsiaTheme="majorEastAsia" w:cstheme="minorHAnsi"/>
          <w:sz w:val="24"/>
          <w:szCs w:val="24"/>
        </w:rPr>
        <w:t xml:space="preserve">Participants identified a wide array of practices that hinder timely delivery. Regarding procurement-related factors, three-quarters of survey respondents indicated that timely delivery is </w:t>
      </w:r>
      <w:r w:rsidR="00EB4002" w:rsidRPr="00605BA7">
        <w:rPr>
          <w:rFonts w:eastAsiaTheme="majorEastAsia" w:cstheme="minorHAnsi"/>
          <w:bCs/>
          <w:sz w:val="24"/>
          <w:szCs w:val="24"/>
        </w:rPr>
        <w:t xml:space="preserve">hindered when materials are purchased at the school level and do not include the NIMAS requirement in procurement contracts. Additional factors endorsed by over half of respondents related to turnover among SEA/LEA staff responsible for procurement contracts, lack of awareness among SEA/LEA staff who coordinate procurement contracts, and neither the NIMAS requirement nor NIMAS file deadlines consistently included in procurement contracts. Qualitative feedback </w:t>
      </w:r>
      <w:r w:rsidR="00EB4002" w:rsidRPr="00605BA7">
        <w:rPr>
          <w:rFonts w:eastAsiaTheme="majorEastAsia" w:cstheme="minorHAnsi"/>
          <w:sz w:val="24"/>
          <w:szCs w:val="24"/>
        </w:rPr>
        <w:t>illuminated an additional hindrance to timely delivery: Curriculum decisions that are made without input from Special Educational professionals.</w:t>
      </w:r>
    </w:p>
    <w:p w14:paraId="14505D4A" w14:textId="568F1F3C" w:rsidR="00EB4002" w:rsidRPr="00605BA7" w:rsidRDefault="00B55C67" w:rsidP="00605BA7">
      <w:pPr>
        <w:spacing w:line="276" w:lineRule="auto"/>
        <w:rPr>
          <w:rFonts w:eastAsiaTheme="majorEastAsia" w:cstheme="minorHAnsi"/>
          <w:sz w:val="24"/>
          <w:szCs w:val="24"/>
        </w:rPr>
      </w:pPr>
      <w:r>
        <w:rPr>
          <w:rFonts w:ascii="ZWAdobeF" w:eastAsiaTheme="majorEastAsia" w:hAnsi="ZWAdobeF" w:cs="ZWAdobeF"/>
          <w:sz w:val="2"/>
          <w:szCs w:val="2"/>
        </w:rPr>
        <w:t>60B</w:t>
      </w:r>
      <w:r w:rsidR="00EB4002" w:rsidRPr="00605BA7">
        <w:rPr>
          <w:rFonts w:eastAsiaTheme="majorEastAsia" w:cstheme="minorHAnsi"/>
          <w:sz w:val="24"/>
          <w:szCs w:val="24"/>
        </w:rPr>
        <w:t xml:space="preserve">The two most frequently endorsed NIMAC-related factors that hinder timely delivery were misunderstandings about the NIMAC and NIMAS files, and a lack of understanding or awareness of the NIMAC. Participants </w:t>
      </w:r>
      <w:r w:rsidR="008B417B">
        <w:rPr>
          <w:rFonts w:eastAsiaTheme="majorEastAsia" w:cstheme="minorHAnsi"/>
          <w:sz w:val="24"/>
          <w:szCs w:val="24"/>
        </w:rPr>
        <w:t>suggested</w:t>
      </w:r>
      <w:r w:rsidR="00EB4002" w:rsidRPr="00605BA7">
        <w:rPr>
          <w:rFonts w:eastAsiaTheme="majorEastAsia" w:cstheme="minorHAnsi"/>
          <w:sz w:val="24"/>
          <w:szCs w:val="24"/>
        </w:rPr>
        <w:t xml:space="preserve"> strategies to address </w:t>
      </w:r>
      <w:r w:rsidR="008B417B">
        <w:rPr>
          <w:rFonts w:eastAsiaTheme="majorEastAsia" w:cstheme="minorHAnsi"/>
          <w:sz w:val="24"/>
          <w:szCs w:val="24"/>
        </w:rPr>
        <w:t>c</w:t>
      </w:r>
      <w:r w:rsidR="00EB4002" w:rsidRPr="00605BA7">
        <w:rPr>
          <w:rFonts w:eastAsiaTheme="majorEastAsia" w:cstheme="minorHAnsi"/>
          <w:sz w:val="24"/>
          <w:szCs w:val="24"/>
        </w:rPr>
        <w:t xml:space="preserve">hallenges, including comprehensive trainings on effectively using NIMAS files, especially for large-print production. </w:t>
      </w:r>
    </w:p>
    <w:p w14:paraId="6A17A171" w14:textId="686DC799" w:rsidR="00EB4002" w:rsidRPr="00605BA7" w:rsidRDefault="00B55C67" w:rsidP="00605BA7">
      <w:pPr>
        <w:spacing w:line="276" w:lineRule="auto"/>
        <w:rPr>
          <w:rFonts w:eastAsiaTheme="majorEastAsia" w:cstheme="minorHAnsi"/>
          <w:sz w:val="24"/>
          <w:szCs w:val="24"/>
        </w:rPr>
      </w:pPr>
      <w:r>
        <w:rPr>
          <w:rFonts w:ascii="ZWAdobeF" w:eastAsiaTheme="majorEastAsia" w:hAnsi="ZWAdobeF" w:cs="ZWAdobeF"/>
          <w:sz w:val="2"/>
          <w:szCs w:val="2"/>
        </w:rPr>
        <w:t>61B</w:t>
      </w:r>
      <w:r w:rsidR="00EB4002" w:rsidRPr="00605BA7">
        <w:rPr>
          <w:rFonts w:eastAsiaTheme="majorEastAsia" w:cstheme="minorHAnsi"/>
          <w:sz w:val="24"/>
          <w:szCs w:val="24"/>
        </w:rPr>
        <w:t xml:space="preserve">With regard to production, the most frequently endorsed factor, by nearly three-quarters of survey respondents, was delays associated with obtaining a physical copy or PDF of the instructional material </w:t>
      </w:r>
      <w:r w:rsidR="00EB4002" w:rsidRPr="00605BA7">
        <w:rPr>
          <w:rFonts w:eastAsiaTheme="majorEastAsia" w:cstheme="minorHAnsi"/>
          <w:bCs/>
          <w:sz w:val="24"/>
          <w:szCs w:val="24"/>
        </w:rPr>
        <w:t>before the accessible format can be created</w:t>
      </w:r>
      <w:r w:rsidR="00EB4002" w:rsidRPr="00605BA7">
        <w:rPr>
          <w:rFonts w:eastAsiaTheme="majorEastAsia" w:cstheme="minorHAnsi"/>
          <w:sz w:val="24"/>
          <w:szCs w:val="24"/>
        </w:rPr>
        <w:t>. Additional factors selected by approximately two-thirds of survey respondents related to l</w:t>
      </w:r>
      <w:r w:rsidR="00EB4002" w:rsidRPr="00605BA7">
        <w:rPr>
          <w:rFonts w:eastAsiaTheme="majorEastAsia" w:cstheme="minorHAnsi"/>
          <w:bCs/>
          <w:sz w:val="24"/>
          <w:szCs w:val="24"/>
        </w:rPr>
        <w:t xml:space="preserve">ack of communication between </w:t>
      </w:r>
      <w:r w:rsidR="00EB4002" w:rsidRPr="00605BA7">
        <w:rPr>
          <w:rFonts w:eastAsiaTheme="majorEastAsia" w:cstheme="minorHAnsi"/>
          <w:bCs/>
          <w:sz w:val="24"/>
          <w:szCs w:val="24"/>
        </w:rPr>
        <w:lastRenderedPageBreak/>
        <w:t>those making curriculum decisions and publishers, staffing challenges that impact the capability of AMPs to produce accessible formats, and limited capability of AMPs to produce some accessible formats.</w:t>
      </w:r>
      <w:r w:rsidR="00EB4002" w:rsidRPr="00605BA7">
        <w:rPr>
          <w:rFonts w:eastAsiaTheme="majorEastAsia" w:cstheme="minorHAnsi"/>
          <w:sz w:val="24"/>
          <w:szCs w:val="24"/>
        </w:rPr>
        <w:t xml:space="preserve"> Qualitative feedback further emphasized issues with insufficient lead time for the production of accessible formats. </w:t>
      </w:r>
    </w:p>
    <w:p w14:paraId="279969C8" w14:textId="0E658A0D" w:rsidR="00EB4002" w:rsidRPr="00605BA7" w:rsidRDefault="00B55C67" w:rsidP="00605BA7">
      <w:pPr>
        <w:spacing w:line="276" w:lineRule="auto"/>
        <w:rPr>
          <w:rFonts w:eastAsiaTheme="majorEastAsia" w:cstheme="minorHAnsi"/>
          <w:sz w:val="24"/>
          <w:szCs w:val="24"/>
        </w:rPr>
      </w:pPr>
      <w:r>
        <w:rPr>
          <w:rFonts w:ascii="ZWAdobeF" w:eastAsiaTheme="majorEastAsia" w:hAnsi="ZWAdobeF" w:cs="ZWAdobeF"/>
          <w:sz w:val="2"/>
          <w:szCs w:val="2"/>
        </w:rPr>
        <w:t>62B</w:t>
      </w:r>
      <w:r w:rsidR="00EB4002" w:rsidRPr="00605BA7">
        <w:rPr>
          <w:rFonts w:eastAsiaTheme="majorEastAsia" w:cstheme="minorHAnsi"/>
          <w:sz w:val="24"/>
          <w:szCs w:val="24"/>
        </w:rPr>
        <w:t xml:space="preserve">At the state, district, regional, and school level, the two most commonly endorsed challenges, by over two-thirds of survey respondents, pertained to lack of communication: district-level or itinerant teachers (e.g., TVIs) who are unlikely to learn about district curriculum decisions, and curriculum changes at the state or district level that are not communicated to schools and teachers. </w:t>
      </w:r>
      <w:r w:rsidR="00EB4002" w:rsidRPr="00605BA7">
        <w:rPr>
          <w:rFonts w:eastAsiaTheme="majorEastAsia" w:cstheme="minorHAnsi"/>
          <w:bCs/>
          <w:sz w:val="24"/>
          <w:szCs w:val="24"/>
        </w:rPr>
        <w:t xml:space="preserve">Qualitative feedback </w:t>
      </w:r>
      <w:r w:rsidR="00EB4002" w:rsidRPr="00605BA7">
        <w:rPr>
          <w:rFonts w:eastAsiaTheme="majorEastAsia" w:cstheme="minorHAnsi"/>
          <w:sz w:val="24"/>
          <w:szCs w:val="24"/>
        </w:rPr>
        <w:t xml:space="preserve">illuminated an additional hindrance to timely delivery: lack of understanding of accessibility requirements and how to obtain accessible formats. Other qualitative feedback regarding state, district, regional, and school-level practices suggested communication to be a root cause for many challenges to timely delivery, </w:t>
      </w:r>
      <w:r w:rsidR="003F5C16">
        <w:rPr>
          <w:rFonts w:eastAsiaTheme="majorEastAsia" w:cstheme="minorHAnsi"/>
          <w:sz w:val="24"/>
          <w:szCs w:val="24"/>
        </w:rPr>
        <w:t>juxtaposing</w:t>
      </w:r>
      <w:r w:rsidR="00EB4002" w:rsidRPr="00605BA7">
        <w:rPr>
          <w:rFonts w:eastAsiaTheme="majorEastAsia" w:cstheme="minorHAnsi"/>
          <w:sz w:val="24"/>
          <w:szCs w:val="24"/>
        </w:rPr>
        <w:t xml:space="preserve"> the earlier finding that communication can be a key facilitator of timely delivery as well.  </w:t>
      </w:r>
    </w:p>
    <w:p w14:paraId="437BEF8E" w14:textId="611F7201" w:rsidR="00EB4002" w:rsidRPr="00605BA7" w:rsidRDefault="00B55C67" w:rsidP="00605BA7">
      <w:pPr>
        <w:spacing w:line="276" w:lineRule="auto"/>
        <w:rPr>
          <w:rFonts w:eastAsiaTheme="majorEastAsia" w:cstheme="minorHAnsi"/>
          <w:sz w:val="24"/>
          <w:szCs w:val="24"/>
        </w:rPr>
      </w:pPr>
      <w:r>
        <w:rPr>
          <w:rFonts w:ascii="ZWAdobeF" w:eastAsiaTheme="majorEastAsia" w:hAnsi="ZWAdobeF" w:cs="ZWAdobeF"/>
          <w:sz w:val="2"/>
          <w:szCs w:val="2"/>
        </w:rPr>
        <w:t>63B</w:t>
      </w:r>
      <w:r w:rsidR="00EB4002" w:rsidRPr="00605BA7">
        <w:rPr>
          <w:rFonts w:eastAsiaTheme="majorEastAsia" w:cstheme="minorHAnsi"/>
          <w:sz w:val="24"/>
          <w:szCs w:val="24"/>
        </w:rPr>
        <w:t xml:space="preserve">Challenges to timely delivery in charter schools mirrored those </w:t>
      </w:r>
      <w:r w:rsidR="00F91BAB">
        <w:rPr>
          <w:rFonts w:eastAsiaTheme="majorEastAsia" w:cstheme="minorHAnsi"/>
          <w:sz w:val="24"/>
          <w:szCs w:val="24"/>
        </w:rPr>
        <w:t xml:space="preserve">at </w:t>
      </w:r>
      <w:r w:rsidR="00EB4002" w:rsidRPr="00605BA7">
        <w:rPr>
          <w:rFonts w:eastAsiaTheme="majorEastAsia" w:cstheme="minorHAnsi"/>
          <w:sz w:val="24"/>
          <w:szCs w:val="24"/>
        </w:rPr>
        <w:t>state, district, regional, and school levels. Over two-thirds of survey respondents indicated three hindrances: Lack of familiarity with special education and the process for obtaining accessible formats among charter school administrators, lack of resources needed to obtain accessible formats, and lack of accountability systems to promote timely delivery. Qualitative feedback illuminated an additional factor: Frequent use of teacher-created, non-traditional, and digital materials that are difficult to make accessible.</w:t>
      </w:r>
    </w:p>
    <w:p w14:paraId="04A1E285" w14:textId="518E74B0" w:rsidR="00EB4002" w:rsidRPr="00605BA7" w:rsidRDefault="00B55C67" w:rsidP="00605BA7">
      <w:pPr>
        <w:spacing w:line="276" w:lineRule="auto"/>
        <w:rPr>
          <w:rFonts w:eastAsiaTheme="majorEastAsia" w:cstheme="minorHAnsi"/>
          <w:sz w:val="24"/>
          <w:szCs w:val="24"/>
        </w:rPr>
      </w:pPr>
      <w:r>
        <w:rPr>
          <w:rFonts w:ascii="ZWAdobeF" w:eastAsiaTheme="majorEastAsia" w:hAnsi="ZWAdobeF" w:cs="ZWAdobeF"/>
          <w:sz w:val="2"/>
          <w:szCs w:val="2"/>
        </w:rPr>
        <w:t>64B</w:t>
      </w:r>
      <w:r w:rsidR="00EB4002" w:rsidRPr="00605BA7">
        <w:rPr>
          <w:rFonts w:eastAsiaTheme="majorEastAsia" w:cstheme="minorHAnsi"/>
          <w:sz w:val="24"/>
          <w:szCs w:val="24"/>
        </w:rPr>
        <w:t xml:space="preserve">Statistically significant differences across roles in the endorsement of factors that hinder timely delivery indicated that LEA, ESD, regional, and cooperative agency staff were less likely to endorse challenges associated with the NIMAS requirement not being included in procurement contracts and deadlines for NIMAS file production not included in procurement contracts. These findings are concerning since educational materials are often purchased at the LEA level by staff who may not be aware of NIMAC-related factors involved in accessible format production. A number of statistically significant differences across states highlight how each has unique strengths and challenges that impact processes for accessible format production. </w:t>
      </w:r>
    </w:p>
    <w:p w14:paraId="517BCA2D" w14:textId="0F87387B" w:rsidR="00EB4002" w:rsidRPr="00605BA7" w:rsidRDefault="00B55C67" w:rsidP="00605BA7">
      <w:pPr>
        <w:spacing w:line="276" w:lineRule="auto"/>
        <w:rPr>
          <w:rFonts w:eastAsiaTheme="majorEastAsia" w:cstheme="minorHAnsi"/>
          <w:sz w:val="24"/>
          <w:szCs w:val="24"/>
        </w:rPr>
      </w:pPr>
      <w:r>
        <w:rPr>
          <w:rFonts w:ascii="ZWAdobeF" w:eastAsiaTheme="majorEastAsia" w:hAnsi="ZWAdobeF" w:cs="ZWAdobeF"/>
          <w:bCs/>
          <w:iCs/>
          <w:sz w:val="2"/>
          <w:szCs w:val="2"/>
        </w:rPr>
        <w:t>65B</w:t>
      </w:r>
      <w:r w:rsidR="00EB4002" w:rsidRPr="00605BA7">
        <w:rPr>
          <w:rFonts w:eastAsiaTheme="majorEastAsia" w:cstheme="minorHAnsi"/>
          <w:b/>
          <w:bCs/>
          <w:i/>
          <w:iCs/>
          <w:sz w:val="24"/>
          <w:szCs w:val="24"/>
        </w:rPr>
        <w:t>Sub-question 2b: How can the NIMAC help SEAs and LEAs understand and implement strategies for consistent inclusion of the NIMAS requirement in procurement contracts?</w:t>
      </w:r>
    </w:p>
    <w:p w14:paraId="15081397" w14:textId="14F82A9B" w:rsidR="00EB4002" w:rsidRPr="00605BA7" w:rsidRDefault="00B55C67" w:rsidP="00605BA7">
      <w:pPr>
        <w:spacing w:line="276" w:lineRule="auto"/>
        <w:rPr>
          <w:rFonts w:eastAsiaTheme="majorEastAsia" w:cstheme="minorHAnsi"/>
          <w:sz w:val="24"/>
          <w:szCs w:val="24"/>
        </w:rPr>
      </w:pPr>
      <w:r>
        <w:rPr>
          <w:rFonts w:ascii="ZWAdobeF" w:eastAsiaTheme="majorEastAsia" w:hAnsi="ZWAdobeF" w:cs="ZWAdobeF"/>
          <w:sz w:val="2"/>
          <w:szCs w:val="2"/>
        </w:rPr>
        <w:t>66B</w:t>
      </w:r>
      <w:r w:rsidR="00EB4002" w:rsidRPr="00605BA7">
        <w:rPr>
          <w:rFonts w:eastAsiaTheme="majorEastAsia" w:cstheme="minorHAnsi"/>
          <w:sz w:val="24"/>
          <w:szCs w:val="24"/>
        </w:rPr>
        <w:t>Approximately 75% of survey respondents were not familiar with and had not been involved in procurement contract processes for educational materials. Of those with some familiarity, more than half indicated that the NIMAS requirement is never or rarely included in procurement contracts. This is problematic given that the NIMAS requirement in procurement contracts is the only legal mechanism for requiring publishers to submit NIMAS files to the NIMAC repository.</w:t>
      </w:r>
    </w:p>
    <w:p w14:paraId="71E44944" w14:textId="6F2C63A9" w:rsidR="00EB4002" w:rsidRPr="00605BA7" w:rsidRDefault="00B55C67" w:rsidP="00605BA7">
      <w:pPr>
        <w:spacing w:line="276" w:lineRule="auto"/>
        <w:rPr>
          <w:rFonts w:eastAsiaTheme="majorEastAsia" w:cstheme="minorHAnsi"/>
          <w:sz w:val="24"/>
          <w:szCs w:val="24"/>
        </w:rPr>
      </w:pPr>
      <w:r>
        <w:rPr>
          <w:rFonts w:ascii="ZWAdobeF" w:eastAsiaTheme="majorEastAsia" w:hAnsi="ZWAdobeF" w:cs="ZWAdobeF"/>
          <w:sz w:val="2"/>
          <w:szCs w:val="2"/>
        </w:rPr>
        <w:lastRenderedPageBreak/>
        <w:t>67B</w:t>
      </w:r>
      <w:r w:rsidR="00EB4002" w:rsidRPr="00605BA7">
        <w:rPr>
          <w:rFonts w:eastAsiaTheme="majorEastAsia" w:cstheme="minorHAnsi"/>
          <w:sz w:val="24"/>
          <w:szCs w:val="24"/>
        </w:rPr>
        <w:t>Participants provided insight into strategies to help SEAs and LEAs consistently include the NIMAS requirement in procurement contracts. Over two-thirds of survey respondents endorsed strategies that involve trainings with procurement staff, General Education Departments, and Special Education Departments, as well as the development of educational materials about the NIMAC and the NIMAS requirement. Approximately half of respondents endorsed the creation of a designated position that focuses on outreach to states and LEAs to provide guidance and TA. Qualitative feedback illuminated two additional strategies: Creating a standardized workflow that includes the NIMAS requirement and creating a national requirement or law. Many strategies were endorsed most frequently by IMC/IRC staff and NIMAC Users, suggesting that these groups will likely be important partners for increasing awareness of the importance of including the NIMAS requirement in procurement contracts.</w:t>
      </w:r>
    </w:p>
    <w:p w14:paraId="5DDBA57F" w14:textId="1983C515" w:rsidR="00EB4002" w:rsidRPr="00605BA7" w:rsidRDefault="00B55C67" w:rsidP="00605BA7">
      <w:pPr>
        <w:spacing w:line="276" w:lineRule="auto"/>
        <w:rPr>
          <w:rFonts w:eastAsiaTheme="majorEastAsia" w:cstheme="minorHAnsi"/>
          <w:b/>
          <w:bCs/>
          <w:sz w:val="24"/>
          <w:szCs w:val="24"/>
        </w:rPr>
      </w:pPr>
      <w:r>
        <w:rPr>
          <w:rFonts w:ascii="ZWAdobeF" w:eastAsiaTheme="majorEastAsia" w:hAnsi="ZWAdobeF" w:cs="ZWAdobeF"/>
          <w:bCs/>
          <w:sz w:val="2"/>
          <w:szCs w:val="2"/>
        </w:rPr>
        <w:t>68B</w:t>
      </w:r>
      <w:r w:rsidR="00EB4002" w:rsidRPr="00605BA7">
        <w:rPr>
          <w:rFonts w:eastAsiaTheme="majorEastAsia" w:cstheme="minorHAnsi"/>
          <w:b/>
          <w:bCs/>
          <w:sz w:val="24"/>
          <w:szCs w:val="24"/>
        </w:rPr>
        <w:t>Recommendations</w:t>
      </w:r>
    </w:p>
    <w:p w14:paraId="5458307B" w14:textId="61446FD9" w:rsidR="000F1480" w:rsidRPr="00605BA7" w:rsidRDefault="00B55C67" w:rsidP="00605BA7">
      <w:pPr>
        <w:spacing w:line="276" w:lineRule="auto"/>
        <w:rPr>
          <w:rStyle w:val="Strong"/>
          <w:rFonts w:asciiTheme="minorHAnsi" w:eastAsiaTheme="majorEastAsia" w:hAnsiTheme="minorHAnsi" w:cstheme="minorHAnsi"/>
          <w:b w:val="0"/>
          <w:bCs w:val="0"/>
          <w:color w:val="auto"/>
          <w:sz w:val="24"/>
          <w:szCs w:val="24"/>
        </w:rPr>
      </w:pPr>
      <w:r>
        <w:rPr>
          <w:rFonts w:ascii="ZWAdobeF" w:eastAsiaTheme="majorEastAsia" w:hAnsi="ZWAdobeF" w:cs="ZWAdobeF"/>
          <w:sz w:val="2"/>
          <w:szCs w:val="2"/>
        </w:rPr>
        <w:t>69B</w:t>
      </w:r>
      <w:r w:rsidR="00EB4002" w:rsidRPr="00605BA7">
        <w:rPr>
          <w:rFonts w:eastAsiaTheme="majorEastAsia" w:cstheme="minorHAnsi"/>
          <w:sz w:val="24"/>
          <w:szCs w:val="24"/>
        </w:rPr>
        <w:t>Using insights from quantitative and qualitative survey and interview data analyses, participant suggestions, and evaluator observations, True North Evaluation offered the NIMAC several recommendations to enhance its ongoing efforts to facilitate more timely delivery of accessible formats. Recommendations include: Explore opportunities to build greater awareness of accessible formats and provide education about the benefits of timely delivery to relevant stakeholders; Explore strategies to ensure that state AT centers and other AT agencies are aware of AEM and accessible formats and understand how AT and AEM work together; Explore opportunities to provide extra support for states without an IRC and to promote the establishment of IRCs in states that do not have them; Consider ways to publicly highlight the success of the NIMAC and NIMAC Users, to increase awareness of the NIMAC as well as utilization of NIMAS files; Continue to leverage input from NIMAC Users in the improvement of the NIMAC online system; Explore ways to help AMPs acquire PDFs and physical copies of materials, possibly using contract language that requires either PDFs or hard copy books at the same time as the NIMAS deadline; Explore strategies for connecting with LEA-based and other local AMPs to help them learn about the use of NIMAS files; Consider partnering with organizations that currently provide AMP training (or may plan to do so) and integrate the use of NIMAS files in existing or new training programs; Explore the development of resources for SEAs and LEAs that provide basic information about ordering timelines and options for obtaining accessible formats; Explore ways to support charter schools in their efforts to provide timely delivery of accessible formats; Disseminate the findings of this report widely to facilitate shared understanding and cooperation about factors that impact timely delivery; Consider mechanisms to address systems change and implementation issues pertaining to AMPs, compliance with new Title II requirements  of the ADA, communication at state, regional, district, and school levels, and the role of the NIMAC, NIMAS files, and the importance of including the NIMAS requirement in procurement contracts.</w:t>
      </w:r>
    </w:p>
    <w:p w14:paraId="761C8290" w14:textId="43438D9F" w:rsidR="00E52FD0" w:rsidRPr="00E52FD0" w:rsidRDefault="00E52FD0" w:rsidP="00E52FD0">
      <w:pPr>
        <w:pStyle w:val="Heading2"/>
      </w:pPr>
      <w:bookmarkStart w:id="2" w:name="_Toc222903974"/>
      <w:r>
        <w:lastRenderedPageBreak/>
        <w:t>Introduction</w:t>
      </w:r>
      <w:bookmarkEnd w:id="2"/>
    </w:p>
    <w:p w14:paraId="622C8FC7" w14:textId="6294A2BA" w:rsidR="006C0B3D" w:rsidRDefault="006C0B3D" w:rsidP="008577A6">
      <w:pPr>
        <w:spacing w:after="0" w:line="276" w:lineRule="auto"/>
        <w:jc w:val="center"/>
        <w:rPr>
          <w:rFonts w:ascii="Times New Roman" w:hAnsi="Times New Roman" w:cs="Times New Roman"/>
          <w:sz w:val="24"/>
          <w:szCs w:val="24"/>
        </w:rPr>
      </w:pPr>
    </w:p>
    <w:p w14:paraId="3EBBF113" w14:textId="04BA852F" w:rsidR="006C0B3D" w:rsidRPr="00B4146C" w:rsidRDefault="006C0B3D" w:rsidP="00B4146C">
      <w:pPr>
        <w:pStyle w:val="Heading3"/>
      </w:pPr>
      <w:bookmarkStart w:id="3" w:name="_Toc222903975"/>
      <w:r w:rsidRPr="00B4146C">
        <w:t xml:space="preserve">Description of </w:t>
      </w:r>
      <w:r w:rsidR="00DE1888">
        <w:t>C</w:t>
      </w:r>
      <w:r w:rsidR="0097219C" w:rsidRPr="00B4146C">
        <w:t xml:space="preserve">ase </w:t>
      </w:r>
      <w:r w:rsidR="00DE1888">
        <w:t>S</w:t>
      </w:r>
      <w:r w:rsidR="0097219C" w:rsidRPr="00B4146C">
        <w:t>tudy</w:t>
      </w:r>
      <w:r w:rsidRPr="00B4146C">
        <w:t xml:space="preserve"> </w:t>
      </w:r>
      <w:r w:rsidR="00DE1888">
        <w:t>P</w:t>
      </w:r>
      <w:r w:rsidRPr="00B4146C">
        <w:t>roject</w:t>
      </w:r>
      <w:bookmarkEnd w:id="3"/>
      <w:r w:rsidRPr="00B4146C">
        <w:t xml:space="preserve"> </w:t>
      </w:r>
    </w:p>
    <w:p w14:paraId="6D68CE82" w14:textId="68C7491C" w:rsidR="006C0B3D" w:rsidRDefault="006C0B3D" w:rsidP="008577A6">
      <w:pPr>
        <w:spacing w:after="0" w:line="276" w:lineRule="auto"/>
        <w:rPr>
          <w:rFonts w:ascii="Times New Roman" w:hAnsi="Times New Roman" w:cs="Times New Roman"/>
          <w:sz w:val="24"/>
          <w:szCs w:val="24"/>
        </w:rPr>
      </w:pPr>
    </w:p>
    <w:p w14:paraId="152BA428" w14:textId="39BEA172" w:rsidR="003A5E66" w:rsidRPr="003A5E66" w:rsidRDefault="00B55C67" w:rsidP="003A5E66">
      <w:pPr>
        <w:spacing w:after="0" w:line="276" w:lineRule="auto"/>
        <w:rPr>
          <w:rFonts w:ascii="Calibri" w:hAnsi="Calibri" w:cs="Calibri"/>
          <w:sz w:val="24"/>
          <w:szCs w:val="24"/>
        </w:rPr>
      </w:pPr>
      <w:r>
        <w:rPr>
          <w:rFonts w:ascii="ZWAdobeF" w:hAnsi="ZWAdobeF" w:cs="ZWAdobeF"/>
          <w:sz w:val="2"/>
          <w:szCs w:val="2"/>
        </w:rPr>
        <w:t>70B</w:t>
      </w:r>
      <w:r w:rsidR="0060471E" w:rsidRPr="0060471E">
        <w:rPr>
          <w:rFonts w:ascii="Calibri" w:hAnsi="Calibri" w:cs="Calibri"/>
          <w:sz w:val="24"/>
          <w:szCs w:val="24"/>
        </w:rPr>
        <w:t>The NIMAC contracted with True North Evaluation in November 2024 to explore factors that support the timely delivery of accessible formats. The primary strateg</w:t>
      </w:r>
      <w:r w:rsidR="00220BF5">
        <w:rPr>
          <w:rFonts w:ascii="Calibri" w:hAnsi="Calibri" w:cs="Calibri"/>
          <w:sz w:val="24"/>
          <w:szCs w:val="24"/>
        </w:rPr>
        <w:t xml:space="preserve">y would be a mixed methods case study involving </w:t>
      </w:r>
      <w:r w:rsidR="0060471E" w:rsidRPr="0060471E">
        <w:rPr>
          <w:rFonts w:ascii="Calibri" w:hAnsi="Calibri" w:cs="Calibri"/>
          <w:sz w:val="24"/>
          <w:szCs w:val="24"/>
        </w:rPr>
        <w:t xml:space="preserve">an online survey and interviews, administered in </w:t>
      </w:r>
      <w:r w:rsidR="00220BF5">
        <w:rPr>
          <w:rFonts w:ascii="Calibri" w:hAnsi="Calibri" w:cs="Calibri"/>
          <w:sz w:val="24"/>
          <w:szCs w:val="24"/>
        </w:rPr>
        <w:t>select</w:t>
      </w:r>
      <w:r w:rsidR="0060471E" w:rsidRPr="0060471E">
        <w:rPr>
          <w:rFonts w:ascii="Calibri" w:hAnsi="Calibri" w:cs="Calibri"/>
          <w:sz w:val="24"/>
          <w:szCs w:val="24"/>
        </w:rPr>
        <w:t xml:space="preserve"> states (Ohio, Oregon, and Utah) as well as nationally. </w:t>
      </w:r>
      <w:r w:rsidR="00220BF5">
        <w:rPr>
          <w:rFonts w:ascii="Calibri" w:hAnsi="Calibri" w:cs="Calibri"/>
          <w:sz w:val="24"/>
          <w:szCs w:val="24"/>
        </w:rPr>
        <w:t xml:space="preserve">Instruments </w:t>
      </w:r>
      <w:r w:rsidR="0060471E" w:rsidRPr="0060471E">
        <w:rPr>
          <w:rFonts w:ascii="Calibri" w:hAnsi="Calibri" w:cs="Calibri"/>
          <w:sz w:val="24"/>
          <w:szCs w:val="24"/>
        </w:rPr>
        <w:t xml:space="preserve">would collect quantitative and qualitative data to address key questions: 1) What are the positive benefits to timely delivery of newly created accessible instructional materials when NIMAS files for the materials are already in the NIMAC system? 2) What practices, including procurement contracts, facilitate the timely delivery of accessible instructional materials? Survey and interview protocols would also inform sub-questions regarding timelines for delivery of newly created accessible instructional materials; impacts to </w:t>
      </w:r>
      <w:proofErr w:type="gramStart"/>
      <w:r w:rsidR="0060471E" w:rsidRPr="0060471E">
        <w:rPr>
          <w:rFonts w:ascii="Calibri" w:hAnsi="Calibri" w:cs="Calibri"/>
          <w:sz w:val="24"/>
          <w:szCs w:val="24"/>
        </w:rPr>
        <w:t>timely</w:t>
      </w:r>
      <w:proofErr w:type="gramEnd"/>
      <w:r w:rsidR="0060471E" w:rsidRPr="0060471E">
        <w:rPr>
          <w:rFonts w:ascii="Calibri" w:hAnsi="Calibri" w:cs="Calibri"/>
          <w:sz w:val="24"/>
          <w:szCs w:val="24"/>
        </w:rPr>
        <w:t xml:space="preserve"> delivery and use of accessible instructional materials; practices that hinder timely delivery; and strategies for the NIMAC to implement </w:t>
      </w:r>
      <w:r w:rsidR="00220BF5">
        <w:rPr>
          <w:rFonts w:ascii="Calibri" w:hAnsi="Calibri" w:cs="Calibri"/>
          <w:sz w:val="24"/>
          <w:szCs w:val="24"/>
        </w:rPr>
        <w:t>to</w:t>
      </w:r>
      <w:r w:rsidR="0060471E" w:rsidRPr="0060471E">
        <w:rPr>
          <w:rFonts w:ascii="Calibri" w:hAnsi="Calibri" w:cs="Calibri"/>
          <w:sz w:val="24"/>
          <w:szCs w:val="24"/>
        </w:rPr>
        <w:t xml:space="preserve"> support</w:t>
      </w:r>
      <w:r w:rsidR="00220BF5">
        <w:rPr>
          <w:rFonts w:ascii="Calibri" w:hAnsi="Calibri" w:cs="Calibri"/>
          <w:sz w:val="24"/>
          <w:szCs w:val="24"/>
        </w:rPr>
        <w:t xml:space="preserve"> </w:t>
      </w:r>
      <w:r w:rsidR="0060471E" w:rsidRPr="0060471E">
        <w:rPr>
          <w:rFonts w:ascii="Calibri" w:hAnsi="Calibri" w:cs="Calibri"/>
          <w:sz w:val="24"/>
          <w:szCs w:val="24"/>
        </w:rPr>
        <w:t>State and Local Education Agency efforts to include the NIMAS requirement in procurement contracts.</w:t>
      </w:r>
    </w:p>
    <w:p w14:paraId="05B8044B" w14:textId="77777777" w:rsidR="003A5E66" w:rsidRDefault="003A5E66" w:rsidP="003B7656">
      <w:pPr>
        <w:spacing w:after="0" w:line="276" w:lineRule="auto"/>
        <w:rPr>
          <w:rFonts w:ascii="Calibri" w:hAnsi="Calibri" w:cs="Calibri"/>
          <w:sz w:val="24"/>
          <w:szCs w:val="24"/>
        </w:rPr>
      </w:pPr>
    </w:p>
    <w:p w14:paraId="21366382" w14:textId="1117FBDB" w:rsidR="003B7656" w:rsidRDefault="00B55C67" w:rsidP="003B7656">
      <w:pPr>
        <w:spacing w:after="0" w:line="276" w:lineRule="auto"/>
        <w:rPr>
          <w:rFonts w:ascii="Calibri" w:hAnsi="Calibri" w:cs="Calibri"/>
          <w:sz w:val="24"/>
          <w:szCs w:val="24"/>
        </w:rPr>
      </w:pPr>
      <w:r>
        <w:rPr>
          <w:rFonts w:ascii="ZWAdobeF" w:hAnsi="ZWAdobeF" w:cs="ZWAdobeF"/>
          <w:sz w:val="2"/>
          <w:szCs w:val="2"/>
        </w:rPr>
        <w:t>71B</w:t>
      </w:r>
      <w:r w:rsidR="00220BF5">
        <w:rPr>
          <w:rFonts w:ascii="Calibri" w:hAnsi="Calibri" w:cs="Calibri"/>
          <w:sz w:val="24"/>
          <w:szCs w:val="24"/>
        </w:rPr>
        <w:t xml:space="preserve">In response to the NIMAC </w:t>
      </w:r>
      <w:r w:rsidR="003B7656">
        <w:rPr>
          <w:rFonts w:ascii="Calibri" w:hAnsi="Calibri" w:cs="Calibri"/>
          <w:sz w:val="24"/>
          <w:szCs w:val="24"/>
        </w:rPr>
        <w:t xml:space="preserve">Request for Service, </w:t>
      </w:r>
      <w:r w:rsidR="00220BF5">
        <w:rPr>
          <w:rFonts w:ascii="Calibri" w:hAnsi="Calibri" w:cs="Calibri"/>
          <w:sz w:val="24"/>
          <w:szCs w:val="24"/>
        </w:rPr>
        <w:t xml:space="preserve">True North Evaluation </w:t>
      </w:r>
      <w:r w:rsidR="003B7656">
        <w:rPr>
          <w:rFonts w:ascii="Calibri" w:hAnsi="Calibri" w:cs="Calibri"/>
          <w:sz w:val="24"/>
          <w:szCs w:val="24"/>
        </w:rPr>
        <w:t>propos</w:t>
      </w:r>
      <w:r w:rsidR="00220BF5">
        <w:rPr>
          <w:rFonts w:ascii="Calibri" w:hAnsi="Calibri" w:cs="Calibri"/>
          <w:sz w:val="24"/>
          <w:szCs w:val="24"/>
        </w:rPr>
        <w:t>ed</w:t>
      </w:r>
      <w:r w:rsidR="003B7656">
        <w:rPr>
          <w:rFonts w:ascii="Calibri" w:hAnsi="Calibri" w:cs="Calibri"/>
          <w:sz w:val="24"/>
          <w:szCs w:val="24"/>
        </w:rPr>
        <w:t xml:space="preserve"> a case study approach that would rely heavily on </w:t>
      </w:r>
      <w:r w:rsidR="003B7656" w:rsidRPr="00FF6FBA">
        <w:rPr>
          <w:rFonts w:ascii="Calibri" w:hAnsi="Calibri" w:cs="Calibri"/>
          <w:sz w:val="24"/>
          <w:szCs w:val="24"/>
        </w:rPr>
        <w:t>collaborative planning</w:t>
      </w:r>
      <w:r w:rsidR="003B7656">
        <w:rPr>
          <w:rFonts w:ascii="Calibri" w:hAnsi="Calibri" w:cs="Calibri"/>
          <w:sz w:val="24"/>
          <w:szCs w:val="24"/>
        </w:rPr>
        <w:t xml:space="preserve"> and</w:t>
      </w:r>
      <w:r w:rsidR="003B7656" w:rsidRPr="00FF6FBA">
        <w:rPr>
          <w:rFonts w:ascii="Calibri" w:hAnsi="Calibri" w:cs="Calibri"/>
          <w:sz w:val="24"/>
          <w:szCs w:val="24"/>
        </w:rPr>
        <w:t xml:space="preserve"> continuous communication</w:t>
      </w:r>
      <w:r w:rsidR="003B7656">
        <w:rPr>
          <w:rFonts w:ascii="Calibri" w:hAnsi="Calibri" w:cs="Calibri"/>
          <w:sz w:val="24"/>
          <w:szCs w:val="24"/>
        </w:rPr>
        <w:t>;</w:t>
      </w:r>
      <w:r w:rsidR="003B7656" w:rsidRPr="00FF6FBA">
        <w:rPr>
          <w:rFonts w:ascii="Calibri" w:hAnsi="Calibri" w:cs="Calibri"/>
          <w:sz w:val="24"/>
          <w:szCs w:val="24"/>
        </w:rPr>
        <w:t xml:space="preserve"> meaningfully planned data collection activities informed by deep understanding of the </w:t>
      </w:r>
      <w:r w:rsidR="003B7656">
        <w:rPr>
          <w:rFonts w:ascii="Calibri" w:hAnsi="Calibri" w:cs="Calibri"/>
          <w:sz w:val="24"/>
          <w:szCs w:val="24"/>
        </w:rPr>
        <w:t xml:space="preserve">NIMAC and case study questions, as well as observation of </w:t>
      </w:r>
      <w:r w:rsidR="00A0367D">
        <w:rPr>
          <w:rFonts w:ascii="Calibri" w:hAnsi="Calibri" w:cs="Calibri"/>
          <w:sz w:val="24"/>
          <w:szCs w:val="24"/>
        </w:rPr>
        <w:t>technical assistance (</w:t>
      </w:r>
      <w:r w:rsidR="003B7656">
        <w:rPr>
          <w:rFonts w:ascii="Calibri" w:hAnsi="Calibri" w:cs="Calibri"/>
          <w:sz w:val="24"/>
          <w:szCs w:val="24"/>
        </w:rPr>
        <w:t>TA</w:t>
      </w:r>
      <w:r w:rsidR="00A0367D">
        <w:rPr>
          <w:rFonts w:ascii="Calibri" w:hAnsi="Calibri" w:cs="Calibri"/>
          <w:sz w:val="24"/>
          <w:szCs w:val="24"/>
        </w:rPr>
        <w:t>)</w:t>
      </w:r>
      <w:r w:rsidR="003B7656">
        <w:rPr>
          <w:rFonts w:ascii="Calibri" w:hAnsi="Calibri" w:cs="Calibri"/>
          <w:sz w:val="24"/>
          <w:szCs w:val="24"/>
        </w:rPr>
        <w:t xml:space="preserve">; use of mixed methods (surveys, interviews, evaluator observation, and review of extant data) with multiple sources to allow for triangulation and meaningful interpretation of findings; </w:t>
      </w:r>
      <w:r w:rsidR="003B7656" w:rsidRPr="00FF6FBA">
        <w:rPr>
          <w:rFonts w:ascii="Calibri" w:hAnsi="Calibri" w:cs="Calibri"/>
          <w:sz w:val="24"/>
          <w:szCs w:val="24"/>
        </w:rPr>
        <w:t>and objective, high-quality data analyses and reporting t</w:t>
      </w:r>
      <w:r w:rsidR="003B7656">
        <w:rPr>
          <w:rFonts w:ascii="Calibri" w:hAnsi="Calibri" w:cs="Calibri"/>
          <w:sz w:val="24"/>
          <w:szCs w:val="24"/>
        </w:rPr>
        <w:t>o</w:t>
      </w:r>
      <w:r w:rsidR="003B7656" w:rsidRPr="00FF6FBA">
        <w:rPr>
          <w:rFonts w:ascii="Calibri" w:hAnsi="Calibri" w:cs="Calibri"/>
          <w:sz w:val="24"/>
          <w:szCs w:val="24"/>
        </w:rPr>
        <w:t xml:space="preserve"> inform case study questions. </w:t>
      </w:r>
      <w:r w:rsidR="0057120D">
        <w:rPr>
          <w:rFonts w:ascii="Calibri" w:hAnsi="Calibri" w:cs="Calibri"/>
          <w:sz w:val="24"/>
          <w:szCs w:val="24"/>
        </w:rPr>
        <w:t xml:space="preserve">Upon selection, and over the next 12 months, True North Evaluation worked closely with </w:t>
      </w:r>
      <w:r w:rsidR="003B7656">
        <w:rPr>
          <w:rFonts w:ascii="Calibri" w:hAnsi="Calibri" w:cs="Calibri"/>
          <w:sz w:val="24"/>
          <w:szCs w:val="24"/>
        </w:rPr>
        <w:t>NIMAC leadership</w:t>
      </w:r>
      <w:r>
        <w:rPr>
          <w:rFonts w:ascii="ZWAdobeF" w:hAnsi="ZWAdobeF" w:cs="ZWAdobeF"/>
          <w:sz w:val="2"/>
          <w:szCs w:val="2"/>
        </w:rPr>
        <w:t>0F</w:t>
      </w:r>
      <w:r w:rsidR="003B7656">
        <w:rPr>
          <w:rStyle w:val="FootnoteReference"/>
          <w:rFonts w:ascii="Calibri" w:hAnsi="Calibri" w:cs="Calibri"/>
          <w:sz w:val="24"/>
          <w:szCs w:val="24"/>
        </w:rPr>
        <w:footnoteReference w:id="1"/>
      </w:r>
      <w:r w:rsidR="003B7656">
        <w:rPr>
          <w:rFonts w:ascii="Calibri" w:hAnsi="Calibri" w:cs="Calibri"/>
          <w:sz w:val="24"/>
          <w:szCs w:val="24"/>
        </w:rPr>
        <w:t xml:space="preserve"> </w:t>
      </w:r>
      <w:r w:rsidR="0057120D">
        <w:rPr>
          <w:rFonts w:ascii="Calibri" w:hAnsi="Calibri" w:cs="Calibri"/>
          <w:sz w:val="24"/>
          <w:szCs w:val="24"/>
        </w:rPr>
        <w:t>across</w:t>
      </w:r>
      <w:r w:rsidR="003B7656">
        <w:rPr>
          <w:rFonts w:ascii="Calibri" w:hAnsi="Calibri" w:cs="Calibri"/>
          <w:sz w:val="24"/>
          <w:szCs w:val="24"/>
        </w:rPr>
        <w:t xml:space="preserve"> three phases: 1) case study planning, 2) case study design and instrumentation development, and 3) data collection. This report is the product of a fourth phase: data analysis and reporting.</w:t>
      </w:r>
    </w:p>
    <w:p w14:paraId="3E942EEB" w14:textId="77777777" w:rsidR="003B7656" w:rsidRDefault="003B7656" w:rsidP="003B7656">
      <w:pPr>
        <w:spacing w:after="0" w:line="276" w:lineRule="auto"/>
        <w:rPr>
          <w:rFonts w:ascii="Calibri" w:hAnsi="Calibri" w:cs="Calibri"/>
          <w:sz w:val="24"/>
          <w:szCs w:val="24"/>
        </w:rPr>
      </w:pPr>
    </w:p>
    <w:p w14:paraId="55D8CC28" w14:textId="6025B3BC" w:rsidR="003B7656" w:rsidRDefault="00B55C67" w:rsidP="003B7656">
      <w:pPr>
        <w:spacing w:after="0" w:line="276" w:lineRule="auto"/>
        <w:rPr>
          <w:rFonts w:ascii="Calibri" w:hAnsi="Calibri" w:cs="Calibri"/>
          <w:sz w:val="24"/>
          <w:szCs w:val="24"/>
        </w:rPr>
      </w:pPr>
      <w:r>
        <w:rPr>
          <w:rFonts w:ascii="ZWAdobeF" w:hAnsi="ZWAdobeF" w:cs="ZWAdobeF"/>
          <w:sz w:val="2"/>
          <w:szCs w:val="2"/>
        </w:rPr>
        <w:t>72B</w:t>
      </w:r>
      <w:r w:rsidR="003B7656">
        <w:rPr>
          <w:rFonts w:ascii="Calibri" w:hAnsi="Calibri" w:cs="Calibri"/>
          <w:sz w:val="24"/>
          <w:szCs w:val="24"/>
        </w:rPr>
        <w:t>To understand deeply the nuances associated with the initial case study request,</w:t>
      </w:r>
      <w:r>
        <w:rPr>
          <w:rFonts w:ascii="ZWAdobeF" w:hAnsi="ZWAdobeF" w:cs="ZWAdobeF"/>
          <w:sz w:val="2"/>
          <w:szCs w:val="2"/>
        </w:rPr>
        <w:t>1F</w:t>
      </w:r>
      <w:r w:rsidR="003B7656">
        <w:rPr>
          <w:rStyle w:val="FootnoteReference"/>
          <w:rFonts w:ascii="Calibri" w:hAnsi="Calibri" w:cs="Calibri"/>
          <w:sz w:val="24"/>
          <w:szCs w:val="24"/>
        </w:rPr>
        <w:footnoteReference w:id="2"/>
      </w:r>
      <w:r w:rsidR="003B7656">
        <w:rPr>
          <w:rFonts w:ascii="Calibri" w:hAnsi="Calibri" w:cs="Calibri"/>
          <w:sz w:val="24"/>
          <w:szCs w:val="24"/>
        </w:rPr>
        <w:t xml:space="preserve"> True North Evaluation met weekly with the NIMAC between November 2024—April 2025. These one-hour virtual meetings provided True North Evaluation context about </w:t>
      </w:r>
      <w:proofErr w:type="gramStart"/>
      <w:r w:rsidR="003B7656">
        <w:rPr>
          <w:rFonts w:ascii="Calibri" w:hAnsi="Calibri" w:cs="Calibri"/>
          <w:sz w:val="24"/>
          <w:szCs w:val="24"/>
        </w:rPr>
        <w:t>the NIMAC’s</w:t>
      </w:r>
      <w:proofErr w:type="gramEnd"/>
      <w:r w:rsidR="003B7656">
        <w:rPr>
          <w:rFonts w:ascii="Calibri" w:hAnsi="Calibri" w:cs="Calibri"/>
          <w:sz w:val="24"/>
          <w:szCs w:val="24"/>
        </w:rPr>
        <w:t xml:space="preserve"> role in supporting the production and delivery of accessible formats by other agencies. The</w:t>
      </w:r>
      <w:r w:rsidR="0061187A">
        <w:rPr>
          <w:rFonts w:ascii="Calibri" w:hAnsi="Calibri" w:cs="Calibri"/>
          <w:sz w:val="24"/>
          <w:szCs w:val="24"/>
        </w:rPr>
        <w:t xml:space="preserve"> meetings</w:t>
      </w:r>
      <w:r w:rsidR="003B7656">
        <w:rPr>
          <w:rFonts w:ascii="Calibri" w:hAnsi="Calibri" w:cs="Calibri"/>
          <w:sz w:val="24"/>
          <w:szCs w:val="24"/>
        </w:rPr>
        <w:t xml:space="preserve"> helped with finalization of case study questions (see below) and allowed True North Evaluation to develop and refine two tables for identifying potential data sources for the case study and mapping </w:t>
      </w:r>
      <w:r w:rsidR="003B7656">
        <w:rPr>
          <w:rFonts w:ascii="Calibri" w:hAnsi="Calibri" w:cs="Calibri"/>
          <w:sz w:val="24"/>
          <w:szCs w:val="24"/>
        </w:rPr>
        <w:lastRenderedPageBreak/>
        <w:t xml:space="preserve">questions to relevant audiences. The </w:t>
      </w:r>
      <w:r w:rsidR="003B7656" w:rsidRPr="009F5B0F">
        <w:rPr>
          <w:rFonts w:ascii="Calibri" w:hAnsi="Calibri" w:cs="Calibri"/>
          <w:i/>
          <w:iCs/>
          <w:sz w:val="24"/>
          <w:szCs w:val="24"/>
        </w:rPr>
        <w:t>Table of Data Sources</w:t>
      </w:r>
      <w:r w:rsidR="003B7656">
        <w:rPr>
          <w:rFonts w:ascii="Calibri" w:hAnsi="Calibri" w:cs="Calibri"/>
          <w:sz w:val="24"/>
          <w:szCs w:val="24"/>
        </w:rPr>
        <w:t xml:space="preserve"> listed committees and groups (e.g., Trustee Advisory Committee, NIMAC User Group, NIMAC Advisory Council) that could provide input on case study design, including target audiences and outreach strategies, as well as opportunities to collect data (e.g., A</w:t>
      </w:r>
      <w:r w:rsidR="00A0367D">
        <w:rPr>
          <w:rFonts w:ascii="Calibri" w:hAnsi="Calibri" w:cs="Calibri"/>
          <w:sz w:val="24"/>
          <w:szCs w:val="24"/>
        </w:rPr>
        <w:t xml:space="preserve">merican </w:t>
      </w:r>
      <w:r w:rsidR="003B7656">
        <w:rPr>
          <w:rFonts w:ascii="Calibri" w:hAnsi="Calibri" w:cs="Calibri"/>
          <w:sz w:val="24"/>
          <w:szCs w:val="24"/>
        </w:rPr>
        <w:t>P</w:t>
      </w:r>
      <w:r w:rsidR="00A0367D">
        <w:rPr>
          <w:rFonts w:ascii="Calibri" w:hAnsi="Calibri" w:cs="Calibri"/>
          <w:sz w:val="24"/>
          <w:szCs w:val="24"/>
        </w:rPr>
        <w:t xml:space="preserve">rinting </w:t>
      </w:r>
      <w:r w:rsidR="003B7656">
        <w:rPr>
          <w:rFonts w:ascii="Calibri" w:hAnsi="Calibri" w:cs="Calibri"/>
          <w:sz w:val="24"/>
          <w:szCs w:val="24"/>
        </w:rPr>
        <w:t>H</w:t>
      </w:r>
      <w:r w:rsidR="00A0367D">
        <w:rPr>
          <w:rFonts w:ascii="Calibri" w:hAnsi="Calibri" w:cs="Calibri"/>
          <w:sz w:val="24"/>
          <w:szCs w:val="24"/>
        </w:rPr>
        <w:t>ouse (APH)</w:t>
      </w:r>
      <w:r w:rsidR="003B7656">
        <w:rPr>
          <w:rFonts w:ascii="Calibri" w:hAnsi="Calibri" w:cs="Calibri"/>
          <w:sz w:val="24"/>
          <w:szCs w:val="24"/>
        </w:rPr>
        <w:t xml:space="preserve"> Annual Meeting, NIMAC User Trainings) and extant data sources (e.g., NIMAC State Usage Data, NIMAC 2024 Annual Performance Report). The </w:t>
      </w:r>
      <w:r w:rsidR="003B7656" w:rsidRPr="00617823">
        <w:rPr>
          <w:rFonts w:ascii="Calibri" w:hAnsi="Calibri" w:cs="Calibri"/>
          <w:i/>
          <w:iCs/>
          <w:sz w:val="24"/>
          <w:szCs w:val="24"/>
        </w:rPr>
        <w:t>Table of Survey Items by Data Source</w:t>
      </w:r>
      <w:r w:rsidR="003B7656">
        <w:rPr>
          <w:rFonts w:ascii="Calibri" w:hAnsi="Calibri" w:cs="Calibri"/>
          <w:sz w:val="24"/>
          <w:szCs w:val="24"/>
        </w:rPr>
        <w:t xml:space="preserve"> served as a guide for mapping case study questions to survey items, interview prompts, NIMAC Exit Ticket Surveys administered after trainings, and target audiences (e.g., State Coordinators, Accessible Media Producers, Publishers and Vendors).</w:t>
      </w:r>
    </w:p>
    <w:p w14:paraId="791CEBC0" w14:textId="77777777" w:rsidR="003B7656" w:rsidRDefault="003B7656" w:rsidP="003B7656">
      <w:pPr>
        <w:spacing w:after="0" w:line="276" w:lineRule="auto"/>
        <w:rPr>
          <w:rFonts w:ascii="Calibri" w:hAnsi="Calibri" w:cs="Calibri"/>
          <w:sz w:val="24"/>
          <w:szCs w:val="24"/>
        </w:rPr>
      </w:pPr>
    </w:p>
    <w:p w14:paraId="658D210E" w14:textId="22D81DCC" w:rsidR="003B7656" w:rsidRDefault="00B55C67" w:rsidP="003B7656">
      <w:pPr>
        <w:spacing w:after="0" w:line="276" w:lineRule="auto"/>
        <w:rPr>
          <w:rFonts w:ascii="Calibri" w:hAnsi="Calibri" w:cs="Calibri"/>
          <w:sz w:val="24"/>
          <w:szCs w:val="24"/>
        </w:rPr>
      </w:pPr>
      <w:r>
        <w:rPr>
          <w:rFonts w:ascii="ZWAdobeF" w:hAnsi="ZWAdobeF" w:cs="ZWAdobeF"/>
          <w:sz w:val="2"/>
          <w:szCs w:val="2"/>
        </w:rPr>
        <w:t>73B</w:t>
      </w:r>
      <w:r w:rsidR="003B7656">
        <w:rPr>
          <w:rFonts w:ascii="Calibri" w:hAnsi="Calibri" w:cs="Calibri"/>
          <w:sz w:val="24"/>
          <w:szCs w:val="24"/>
        </w:rPr>
        <w:t xml:space="preserve">Also, during this stage, to learn more about the NIMAC, its services, and its target audiences, True North Evaluation observed its User Group Meeting (3/13) and its spring trainings for State Coordinators (3/4), Accessible Media Producers (3/5), and Authorized Users and hybrid State Coordinators (3/12). These trainings also provided an opportunity to pilot test questions (via NIMAC Exit Ticket Surveys) that would be included in the Case Study Survey. </w:t>
      </w:r>
    </w:p>
    <w:p w14:paraId="7239FD1C" w14:textId="77777777" w:rsidR="003B7656" w:rsidRDefault="003B7656" w:rsidP="003B7656">
      <w:pPr>
        <w:spacing w:after="0" w:line="276" w:lineRule="auto"/>
        <w:rPr>
          <w:rFonts w:ascii="Calibri" w:hAnsi="Calibri" w:cs="Calibri"/>
          <w:sz w:val="24"/>
          <w:szCs w:val="24"/>
        </w:rPr>
      </w:pPr>
    </w:p>
    <w:p w14:paraId="35B01202" w14:textId="216D0F76" w:rsidR="003B7656" w:rsidRDefault="00B55C67" w:rsidP="003B7656">
      <w:pPr>
        <w:spacing w:after="0" w:line="276" w:lineRule="auto"/>
        <w:rPr>
          <w:rFonts w:ascii="Calibri" w:hAnsi="Calibri" w:cs="Calibri"/>
          <w:sz w:val="24"/>
          <w:szCs w:val="24"/>
        </w:rPr>
      </w:pPr>
      <w:r>
        <w:rPr>
          <w:rFonts w:ascii="ZWAdobeF" w:hAnsi="ZWAdobeF" w:cs="ZWAdobeF"/>
          <w:sz w:val="2"/>
          <w:szCs w:val="2"/>
        </w:rPr>
        <w:t>74B</w:t>
      </w:r>
      <w:r w:rsidR="003B7656">
        <w:rPr>
          <w:rFonts w:ascii="Calibri" w:hAnsi="Calibri" w:cs="Calibri"/>
          <w:sz w:val="24"/>
          <w:szCs w:val="24"/>
        </w:rPr>
        <w:t xml:space="preserve">By the end of April 2025, three case study states were </w:t>
      </w:r>
      <w:r w:rsidR="003B7656" w:rsidRPr="00E14AD2">
        <w:rPr>
          <w:rFonts w:ascii="Calibri" w:hAnsi="Calibri" w:cs="Calibri"/>
          <w:sz w:val="24"/>
          <w:szCs w:val="24"/>
        </w:rPr>
        <w:t>identified</w:t>
      </w:r>
      <w:r>
        <w:rPr>
          <w:rFonts w:ascii="ZWAdobeF" w:hAnsi="ZWAdobeF" w:cs="ZWAdobeF"/>
          <w:sz w:val="2"/>
          <w:szCs w:val="2"/>
        </w:rPr>
        <w:t>2F</w:t>
      </w:r>
      <w:r w:rsidR="003B7656" w:rsidRPr="00E14AD2">
        <w:rPr>
          <w:rStyle w:val="FootnoteReference"/>
          <w:rFonts w:ascii="Calibri" w:hAnsi="Calibri" w:cs="Calibri"/>
          <w:sz w:val="24"/>
          <w:szCs w:val="24"/>
        </w:rPr>
        <w:footnoteReference w:id="3"/>
      </w:r>
      <w:r w:rsidR="003B7656" w:rsidRPr="00E14AD2">
        <w:rPr>
          <w:rFonts w:ascii="Calibri" w:hAnsi="Calibri" w:cs="Calibri"/>
          <w:sz w:val="24"/>
          <w:szCs w:val="24"/>
        </w:rPr>
        <w:t xml:space="preserve"> and</w:t>
      </w:r>
      <w:r w:rsidR="003B7656">
        <w:rPr>
          <w:rFonts w:ascii="Calibri" w:hAnsi="Calibri" w:cs="Calibri"/>
          <w:sz w:val="24"/>
          <w:szCs w:val="24"/>
        </w:rPr>
        <w:t xml:space="preserve"> had consented to </w:t>
      </w:r>
      <w:proofErr w:type="gramStart"/>
      <w:r w:rsidR="003B7656">
        <w:rPr>
          <w:rFonts w:ascii="Calibri" w:hAnsi="Calibri" w:cs="Calibri"/>
          <w:sz w:val="24"/>
          <w:szCs w:val="24"/>
        </w:rPr>
        <w:t>participation</w:t>
      </w:r>
      <w:proofErr w:type="gramEnd"/>
      <w:r w:rsidR="003B7656">
        <w:rPr>
          <w:rFonts w:ascii="Calibri" w:hAnsi="Calibri" w:cs="Calibri"/>
          <w:sz w:val="24"/>
          <w:szCs w:val="24"/>
        </w:rPr>
        <w:t xml:space="preserve">: Ohio, Oregon, and Utah. </w:t>
      </w:r>
    </w:p>
    <w:p w14:paraId="3EAFB3DD" w14:textId="77777777" w:rsidR="003B7656" w:rsidRDefault="003B7656" w:rsidP="003B7656">
      <w:pPr>
        <w:spacing w:after="0" w:line="276" w:lineRule="auto"/>
        <w:rPr>
          <w:rFonts w:ascii="Calibri" w:hAnsi="Calibri" w:cs="Calibri"/>
          <w:sz w:val="24"/>
          <w:szCs w:val="24"/>
        </w:rPr>
      </w:pPr>
    </w:p>
    <w:p w14:paraId="7593F6A8" w14:textId="386B7380" w:rsidR="003B7656" w:rsidRPr="000279FD" w:rsidRDefault="00B55C67" w:rsidP="003B7656">
      <w:pPr>
        <w:spacing w:after="0" w:line="276" w:lineRule="auto"/>
        <w:rPr>
          <w:rFonts w:ascii="Calibri" w:hAnsi="Calibri" w:cs="Calibri"/>
          <w:sz w:val="24"/>
          <w:szCs w:val="24"/>
        </w:rPr>
      </w:pPr>
      <w:r>
        <w:rPr>
          <w:rFonts w:ascii="ZWAdobeF" w:hAnsi="ZWAdobeF" w:cs="ZWAdobeF"/>
          <w:sz w:val="2"/>
          <w:szCs w:val="2"/>
        </w:rPr>
        <w:t>75B</w:t>
      </w:r>
      <w:r w:rsidR="003B7656">
        <w:rPr>
          <w:rFonts w:ascii="Calibri" w:hAnsi="Calibri" w:cs="Calibri"/>
          <w:sz w:val="24"/>
          <w:szCs w:val="24"/>
        </w:rPr>
        <w:t xml:space="preserve">In May 2025, the second phase of the case study began: Case Study Design and Instrumentation. True North Evaluation scheduled initial meetings with key contacts in each state, identified by the NIMAC. These included the Director of </w:t>
      </w:r>
      <w:r w:rsidR="003B7656" w:rsidRPr="000279FD">
        <w:rPr>
          <w:rFonts w:ascii="Calibri" w:hAnsi="Calibri" w:cs="Calibri"/>
          <w:sz w:val="24"/>
          <w:szCs w:val="24"/>
        </w:rPr>
        <w:t>Utah State Instructional Materials Access Center</w:t>
      </w:r>
      <w:r w:rsidR="003B7656">
        <w:rPr>
          <w:rFonts w:ascii="Calibri" w:hAnsi="Calibri" w:cs="Calibri"/>
          <w:sz w:val="24"/>
          <w:szCs w:val="24"/>
        </w:rPr>
        <w:t xml:space="preserve"> (meeting on 5/27); Oregon Department of Education’s Low Incidence Disability Specialist, </w:t>
      </w:r>
      <w:r w:rsidR="003B7656" w:rsidRPr="00B03058">
        <w:rPr>
          <w:rFonts w:ascii="Calibri" w:hAnsi="Calibri" w:cs="Calibri"/>
          <w:sz w:val="24"/>
          <w:szCs w:val="24"/>
        </w:rPr>
        <w:t>BVIS Technology Professional Development Specialist</w:t>
      </w:r>
      <w:r w:rsidR="003B7656">
        <w:rPr>
          <w:rFonts w:ascii="Calibri" w:hAnsi="Calibri" w:cs="Calibri"/>
          <w:sz w:val="24"/>
          <w:szCs w:val="24"/>
        </w:rPr>
        <w:t xml:space="preserve">, and Textbook and Media Center Staff (meeting on 5/29); and Ohio’s </w:t>
      </w:r>
      <w:r w:rsidR="00A0367D">
        <w:rPr>
          <w:rFonts w:ascii="Calibri" w:hAnsi="Calibri" w:cs="Calibri"/>
          <w:sz w:val="24"/>
          <w:szCs w:val="24"/>
        </w:rPr>
        <w:t>Assistive Technology (</w:t>
      </w:r>
      <w:r w:rsidR="003B7656">
        <w:rPr>
          <w:rFonts w:ascii="Calibri" w:hAnsi="Calibri" w:cs="Calibri"/>
          <w:sz w:val="24"/>
          <w:szCs w:val="24"/>
        </w:rPr>
        <w:t>AT</w:t>
      </w:r>
      <w:r w:rsidR="00A0367D">
        <w:rPr>
          <w:rFonts w:ascii="Calibri" w:hAnsi="Calibri" w:cs="Calibri"/>
          <w:sz w:val="24"/>
          <w:szCs w:val="24"/>
        </w:rPr>
        <w:t>)</w:t>
      </w:r>
      <w:r w:rsidR="003B7656">
        <w:rPr>
          <w:rFonts w:ascii="Calibri" w:hAnsi="Calibri" w:cs="Calibri"/>
          <w:sz w:val="24"/>
          <w:szCs w:val="24"/>
        </w:rPr>
        <w:t xml:space="preserve"> &amp; </w:t>
      </w:r>
      <w:r w:rsidR="00A0367D">
        <w:rPr>
          <w:rFonts w:ascii="Calibri" w:hAnsi="Calibri" w:cs="Calibri"/>
          <w:sz w:val="24"/>
          <w:szCs w:val="24"/>
        </w:rPr>
        <w:t>Accessible Educational Materials (</w:t>
      </w:r>
      <w:r w:rsidR="003B7656">
        <w:rPr>
          <w:rFonts w:ascii="Calibri" w:hAnsi="Calibri" w:cs="Calibri"/>
          <w:sz w:val="24"/>
          <w:szCs w:val="24"/>
        </w:rPr>
        <w:t>AEM</w:t>
      </w:r>
      <w:r w:rsidR="00A0367D">
        <w:rPr>
          <w:rFonts w:ascii="Calibri" w:hAnsi="Calibri" w:cs="Calibri"/>
          <w:sz w:val="24"/>
          <w:szCs w:val="24"/>
        </w:rPr>
        <w:t>)</w:t>
      </w:r>
      <w:r w:rsidR="003B7656">
        <w:rPr>
          <w:rFonts w:ascii="Calibri" w:hAnsi="Calibri" w:cs="Calibri"/>
          <w:sz w:val="24"/>
          <w:szCs w:val="24"/>
        </w:rPr>
        <w:t xml:space="preserve"> Center at OCALI Program Director, Production Specialist, Materials Specialist, and Project Staff (meeting on 5/13). At each meeting, True North Evaluation learned about state structures and systems for delivering accessible materials, identified target groups for survey administration and interviews, and discussed logistics regarding communication protocols and school calendars. In June 2025, True North Evaluation sent</w:t>
      </w:r>
      <w:r w:rsidR="003B7656">
        <w:rPr>
          <w:sz w:val="24"/>
          <w:szCs w:val="24"/>
        </w:rPr>
        <w:t xml:space="preserve"> customized post-meeting emails to each case study state, proposing next steps and timelines according to information discussed.</w:t>
      </w:r>
    </w:p>
    <w:p w14:paraId="486A6EE9" w14:textId="77777777" w:rsidR="003B7656" w:rsidRDefault="003B7656" w:rsidP="003B7656">
      <w:pPr>
        <w:spacing w:after="0" w:line="276" w:lineRule="auto"/>
        <w:rPr>
          <w:rFonts w:ascii="Calibri" w:hAnsi="Calibri" w:cs="Calibri"/>
          <w:sz w:val="24"/>
          <w:szCs w:val="24"/>
        </w:rPr>
      </w:pPr>
    </w:p>
    <w:p w14:paraId="362DBF6E" w14:textId="78C1A888" w:rsidR="003B7656" w:rsidRDefault="00B55C67" w:rsidP="003B7656">
      <w:pPr>
        <w:spacing w:after="0" w:line="276" w:lineRule="auto"/>
        <w:rPr>
          <w:rFonts w:ascii="Calibri" w:hAnsi="Calibri" w:cs="Calibri"/>
          <w:sz w:val="24"/>
          <w:szCs w:val="24"/>
        </w:rPr>
      </w:pPr>
      <w:r>
        <w:rPr>
          <w:rFonts w:ascii="ZWAdobeF" w:hAnsi="ZWAdobeF" w:cs="ZWAdobeF"/>
          <w:sz w:val="2"/>
          <w:szCs w:val="2"/>
        </w:rPr>
        <w:lastRenderedPageBreak/>
        <w:t>76B</w:t>
      </w:r>
      <w:r w:rsidR="003B7656">
        <w:rPr>
          <w:rFonts w:ascii="Calibri" w:hAnsi="Calibri" w:cs="Calibri"/>
          <w:sz w:val="24"/>
          <w:szCs w:val="24"/>
        </w:rPr>
        <w:t xml:space="preserve">During this stage (May—July 2025), True North Evaluation met biweekly with the NIMAC, exchanged frequent email communications, and developed the survey and interview protocol (see Appendices A and B). Ongoing communications with case study states, including impromptu meetings on request (e.g., with Oregon on 6/30), informed implementation plans. </w:t>
      </w:r>
    </w:p>
    <w:p w14:paraId="1415B030" w14:textId="77777777" w:rsidR="003B7656" w:rsidRDefault="003B7656" w:rsidP="003B7656">
      <w:pPr>
        <w:spacing w:after="0" w:line="276" w:lineRule="auto"/>
        <w:rPr>
          <w:rFonts w:ascii="Calibri" w:hAnsi="Calibri" w:cs="Calibri"/>
          <w:sz w:val="24"/>
          <w:szCs w:val="24"/>
        </w:rPr>
      </w:pPr>
    </w:p>
    <w:p w14:paraId="1F14D105" w14:textId="3F674B54" w:rsidR="003B7656" w:rsidRDefault="00B55C67" w:rsidP="003B7656">
      <w:pPr>
        <w:spacing w:after="0" w:line="276" w:lineRule="auto"/>
        <w:rPr>
          <w:rFonts w:ascii="Calibri" w:hAnsi="Calibri" w:cs="Calibri"/>
          <w:sz w:val="24"/>
          <w:szCs w:val="24"/>
        </w:rPr>
      </w:pPr>
      <w:r>
        <w:rPr>
          <w:rFonts w:ascii="ZWAdobeF" w:hAnsi="ZWAdobeF" w:cs="ZWAdobeF"/>
          <w:sz w:val="2"/>
          <w:szCs w:val="2"/>
        </w:rPr>
        <w:t>77B</w:t>
      </w:r>
      <w:r w:rsidR="003B7656">
        <w:rPr>
          <w:rFonts w:ascii="Calibri" w:hAnsi="Calibri" w:cs="Calibri"/>
          <w:sz w:val="24"/>
          <w:szCs w:val="24"/>
        </w:rPr>
        <w:t>Additionally, to inform instrument development and administration processes, True North Evaluation attended NIMAC meetings with its Advisory Council (5/6) and User Group (6/10) and collected data via in-person observation and NIMAC Exit Ticket Surveys for Publisher Trainings Part 1, Part 2, Part 3 (trainings on 6/24, 6/25, 7/8, 7/9, 7/22). These efforts allowed for early pilot testing of survey items and analysis of data that informed case study questions.</w:t>
      </w:r>
    </w:p>
    <w:p w14:paraId="24A8F84A" w14:textId="1D57766F" w:rsidR="003B7656" w:rsidRDefault="00B55C67" w:rsidP="003B7656">
      <w:pPr>
        <w:spacing w:after="0" w:line="276" w:lineRule="auto"/>
        <w:rPr>
          <w:rFonts w:ascii="Calibri" w:hAnsi="Calibri" w:cs="Calibri"/>
          <w:sz w:val="24"/>
          <w:szCs w:val="24"/>
        </w:rPr>
      </w:pPr>
      <w:r>
        <w:rPr>
          <w:rFonts w:ascii="ZWAdobeF" w:hAnsi="ZWAdobeF" w:cs="ZWAdobeF"/>
          <w:sz w:val="2"/>
          <w:szCs w:val="2"/>
        </w:rPr>
        <w:t>78B</w:t>
      </w:r>
      <w:r w:rsidR="003B7656">
        <w:rPr>
          <w:rFonts w:ascii="Calibri" w:hAnsi="Calibri" w:cs="Calibri"/>
          <w:sz w:val="24"/>
          <w:szCs w:val="24"/>
        </w:rPr>
        <w:t>In June and July 2025, True North Evaluation developed the Case Study Survey to address case study questions, refined items with NIMAC input, identified audiences suitable to answer specific questions, and embedded skip logic accordingly. Extensive rounds of pilot testing ensured accuracy of skip logic and survey items. To ensure that appropriate terms and role categories were relevant/meaningful for various target audiences in case study states, True North Evaluation sent the survey to each</w:t>
      </w:r>
      <w:r w:rsidR="00CC72BE">
        <w:rPr>
          <w:rFonts w:ascii="Calibri" w:hAnsi="Calibri" w:cs="Calibri"/>
          <w:sz w:val="24"/>
          <w:szCs w:val="24"/>
        </w:rPr>
        <w:t xml:space="preserve"> case study state</w:t>
      </w:r>
      <w:r w:rsidR="003B7656">
        <w:rPr>
          <w:rFonts w:ascii="Calibri" w:hAnsi="Calibri" w:cs="Calibri"/>
          <w:sz w:val="24"/>
          <w:szCs w:val="24"/>
        </w:rPr>
        <w:t xml:space="preserve"> for review. Ohio and Oregon suggested minor adjustments to role categories, resulting in the decision to use a separate survey link for each case study state as well as </w:t>
      </w:r>
      <w:r w:rsidR="00CC72BE">
        <w:rPr>
          <w:rFonts w:ascii="Calibri" w:hAnsi="Calibri" w:cs="Calibri"/>
          <w:sz w:val="24"/>
          <w:szCs w:val="24"/>
        </w:rPr>
        <w:t xml:space="preserve">a </w:t>
      </w:r>
      <w:r w:rsidR="003B7656">
        <w:rPr>
          <w:rFonts w:ascii="Calibri" w:hAnsi="Calibri" w:cs="Calibri"/>
          <w:sz w:val="24"/>
          <w:szCs w:val="24"/>
        </w:rPr>
        <w:t xml:space="preserve">fourth survey link for national distribution (respondents to the national survey indicated their state). In summary, the case study survey was finalized and uploaded to True North Evaluation’s Survey Monkey platform, and four links and QR codes were created. </w:t>
      </w:r>
    </w:p>
    <w:p w14:paraId="0149E9B5" w14:textId="77777777" w:rsidR="003B7656" w:rsidRDefault="003B7656" w:rsidP="003B7656">
      <w:pPr>
        <w:spacing w:after="0" w:line="276" w:lineRule="auto"/>
        <w:rPr>
          <w:rFonts w:ascii="Calibri" w:hAnsi="Calibri" w:cs="Calibri"/>
          <w:sz w:val="24"/>
          <w:szCs w:val="24"/>
        </w:rPr>
      </w:pPr>
    </w:p>
    <w:p w14:paraId="0B97686C" w14:textId="4A9A5263" w:rsidR="003B7656" w:rsidRDefault="00B55C67" w:rsidP="003B7656">
      <w:pPr>
        <w:spacing w:after="0" w:line="276" w:lineRule="auto"/>
        <w:rPr>
          <w:rFonts w:ascii="Calibri" w:hAnsi="Calibri" w:cs="Calibri"/>
          <w:sz w:val="24"/>
          <w:szCs w:val="24"/>
        </w:rPr>
      </w:pPr>
      <w:r>
        <w:rPr>
          <w:rFonts w:ascii="ZWAdobeF" w:hAnsi="ZWAdobeF" w:cs="ZWAdobeF"/>
          <w:sz w:val="2"/>
          <w:szCs w:val="2"/>
        </w:rPr>
        <w:t>79B</w:t>
      </w:r>
      <w:r w:rsidR="003B7656">
        <w:rPr>
          <w:rFonts w:ascii="Calibri" w:hAnsi="Calibri" w:cs="Calibri"/>
          <w:sz w:val="24"/>
          <w:szCs w:val="24"/>
        </w:rPr>
        <w:t xml:space="preserve">Simultaneously, True North Evaluation developed 1) the protocol for 1:1 and focus group interviews, and 2) an Interview Tracking Sheet to track outreach to target audiences, including dates of initial emails, follow-up communications, and scheduled interviews. </w:t>
      </w:r>
      <w:proofErr w:type="gramStart"/>
      <w:r w:rsidR="003B7656">
        <w:rPr>
          <w:rFonts w:ascii="Calibri" w:hAnsi="Calibri" w:cs="Calibri"/>
          <w:sz w:val="24"/>
          <w:szCs w:val="24"/>
        </w:rPr>
        <w:t>The NIMAC</w:t>
      </w:r>
      <w:proofErr w:type="gramEnd"/>
      <w:r w:rsidR="003B7656">
        <w:rPr>
          <w:rFonts w:ascii="Calibri" w:hAnsi="Calibri" w:cs="Calibri"/>
          <w:sz w:val="24"/>
          <w:szCs w:val="24"/>
        </w:rPr>
        <w:t xml:space="preserve"> had access to this sheet so they could check in real time the status of interview efforts.</w:t>
      </w:r>
    </w:p>
    <w:p w14:paraId="4A8DBC65" w14:textId="77777777" w:rsidR="003B7656" w:rsidRDefault="003B7656" w:rsidP="003B7656">
      <w:pPr>
        <w:spacing w:after="0" w:line="276" w:lineRule="auto"/>
        <w:rPr>
          <w:rFonts w:ascii="Calibri" w:hAnsi="Calibri" w:cs="Calibri"/>
          <w:sz w:val="24"/>
          <w:szCs w:val="24"/>
        </w:rPr>
      </w:pPr>
    </w:p>
    <w:p w14:paraId="2C715416" w14:textId="44FD75BB" w:rsidR="00642169" w:rsidRDefault="00B55C67" w:rsidP="00C73875">
      <w:pPr>
        <w:spacing w:after="0" w:line="276" w:lineRule="auto"/>
        <w:rPr>
          <w:rFonts w:ascii="Calibri" w:hAnsi="Calibri" w:cs="Calibri"/>
          <w:sz w:val="24"/>
          <w:szCs w:val="24"/>
        </w:rPr>
      </w:pPr>
      <w:r>
        <w:rPr>
          <w:rFonts w:ascii="ZWAdobeF" w:hAnsi="ZWAdobeF" w:cs="ZWAdobeF"/>
          <w:sz w:val="2"/>
          <w:szCs w:val="2"/>
        </w:rPr>
        <w:t>80B</w:t>
      </w:r>
      <w:r w:rsidR="003B7656">
        <w:rPr>
          <w:rFonts w:ascii="Calibri" w:hAnsi="Calibri" w:cs="Calibri"/>
          <w:sz w:val="24"/>
          <w:szCs w:val="24"/>
        </w:rPr>
        <w:t>Between August</w:t>
      </w:r>
      <w:r w:rsidR="00FF7550">
        <w:rPr>
          <w:rFonts w:ascii="Calibri" w:hAnsi="Calibri" w:cs="Calibri"/>
          <w:sz w:val="24"/>
          <w:szCs w:val="24"/>
        </w:rPr>
        <w:t>-</w:t>
      </w:r>
      <w:r w:rsidR="003B7656">
        <w:rPr>
          <w:rFonts w:ascii="Calibri" w:hAnsi="Calibri" w:cs="Calibri"/>
          <w:sz w:val="24"/>
          <w:szCs w:val="24"/>
        </w:rPr>
        <w:t xml:space="preserve">October 2025, True North Evaluation managed the third phase of the case study: Data Collection. On August 13, True North Evaluation sent a detailed email to each case study state which contained the state’s unique survey link and instructions for dissemination through previously agreed-upon channels. Each email also identified next steps for scheduling focus group interviews with previously identified leaders (e.g., Special Education Directors) and groups (e.g., Curriculum Teams, AT &amp; AEM Center Staff, Online Charter Schools). Overall, in this three-month period, the Case Study Survey was administered broadly through multiple channels in case study states, NIMAC trainings, and national events (see methodology below). Interviews were coordinated, scheduled, and conducted, supported by best practices such as interview reminders and follow-up thank you emails (see methodology below). </w:t>
      </w:r>
      <w:r w:rsidR="00BE2F60">
        <w:rPr>
          <w:rFonts w:ascii="Calibri" w:hAnsi="Calibri" w:cs="Calibri"/>
          <w:sz w:val="24"/>
          <w:szCs w:val="24"/>
        </w:rPr>
        <w:t>Relevant i</w:t>
      </w:r>
      <w:r w:rsidR="003B7656">
        <w:rPr>
          <w:rFonts w:ascii="Calibri" w:hAnsi="Calibri" w:cs="Calibri"/>
          <w:sz w:val="24"/>
          <w:szCs w:val="24"/>
        </w:rPr>
        <w:t>tems continued to be included on</w:t>
      </w:r>
      <w:r w:rsidR="00BE2F60">
        <w:rPr>
          <w:rFonts w:ascii="Calibri" w:hAnsi="Calibri" w:cs="Calibri"/>
          <w:sz w:val="24"/>
          <w:szCs w:val="24"/>
        </w:rPr>
        <w:t xml:space="preserve"> NIMAC Exit Ticket Surveys for</w:t>
      </w:r>
      <w:r w:rsidR="003B7656">
        <w:rPr>
          <w:rFonts w:ascii="Calibri" w:hAnsi="Calibri" w:cs="Calibri"/>
          <w:sz w:val="24"/>
          <w:szCs w:val="24"/>
        </w:rPr>
        <w:t xml:space="preserve"> fall events: NIMAC Back-to School </w:t>
      </w:r>
      <w:r w:rsidR="003B7656">
        <w:rPr>
          <w:rFonts w:ascii="Calibri" w:hAnsi="Calibri" w:cs="Calibri"/>
          <w:sz w:val="24"/>
          <w:szCs w:val="24"/>
        </w:rPr>
        <w:lastRenderedPageBreak/>
        <w:t>Meetings with State Coordinators (9/3/25) and Authorized Users (9/10/25). In addition to continuing observation of NIMAC trainings, True North Evaluation attended in-person the APH Annual Meeting in Louisville, KY (10/15/25) and conducted two focus group interviews.</w:t>
      </w:r>
    </w:p>
    <w:p w14:paraId="1782500C" w14:textId="77777777" w:rsidR="00C73875" w:rsidRPr="00C73875" w:rsidRDefault="00C73875" w:rsidP="00C73875">
      <w:pPr>
        <w:spacing w:after="0" w:line="276" w:lineRule="auto"/>
        <w:rPr>
          <w:rStyle w:val="IntenseEmphasis"/>
          <w:rFonts w:ascii="Calibri" w:eastAsiaTheme="minorHAnsi" w:hAnsi="Calibri" w:cs="Calibri"/>
          <w:b w:val="0"/>
          <w:i w:val="0"/>
          <w:iCs w:val="0"/>
          <w:color w:val="auto"/>
        </w:rPr>
      </w:pPr>
    </w:p>
    <w:p w14:paraId="266B5535" w14:textId="477E3BD3" w:rsidR="00C73875" w:rsidRPr="00C73875" w:rsidRDefault="00C73875" w:rsidP="00C73875">
      <w:pPr>
        <w:pStyle w:val="Heading3"/>
      </w:pPr>
      <w:bookmarkStart w:id="4" w:name="_Toc222903976"/>
      <w:r>
        <w:t>Case Study Questions</w:t>
      </w:r>
      <w:bookmarkEnd w:id="4"/>
    </w:p>
    <w:p w14:paraId="3D9ED2F7" w14:textId="11102720" w:rsidR="006C0B3D" w:rsidRPr="005919AC" w:rsidRDefault="006C0B3D" w:rsidP="008577A6">
      <w:pPr>
        <w:spacing w:after="0" w:line="276" w:lineRule="auto"/>
        <w:rPr>
          <w:rFonts w:ascii="Calibri" w:hAnsi="Calibri" w:cs="Calibri"/>
          <w:sz w:val="24"/>
          <w:szCs w:val="24"/>
        </w:rPr>
      </w:pPr>
    </w:p>
    <w:p w14:paraId="19B8261A" w14:textId="62A3E7B8" w:rsidR="008B369B" w:rsidRPr="00913C9F" w:rsidRDefault="00B55C67" w:rsidP="008B369B">
      <w:pPr>
        <w:spacing w:line="276" w:lineRule="auto"/>
        <w:rPr>
          <w:rFonts w:ascii="Calibri" w:hAnsi="Calibri" w:cs="Calibri"/>
          <w:sz w:val="24"/>
          <w:szCs w:val="24"/>
        </w:rPr>
      </w:pPr>
      <w:bookmarkStart w:id="5" w:name="_Hlk89789972"/>
      <w:r>
        <w:rPr>
          <w:rFonts w:ascii="ZWAdobeF" w:hAnsi="ZWAdobeF" w:cs="ZWAdobeF"/>
          <w:sz w:val="2"/>
          <w:szCs w:val="2"/>
        </w:rPr>
        <w:t>81B</w:t>
      </w:r>
      <w:r w:rsidR="008B369B" w:rsidRPr="005919AC">
        <w:rPr>
          <w:rFonts w:ascii="Calibri" w:hAnsi="Calibri" w:cs="Calibri"/>
          <w:sz w:val="24"/>
          <w:szCs w:val="24"/>
        </w:rPr>
        <w:t>The survey</w:t>
      </w:r>
      <w:r w:rsidR="008B369B">
        <w:rPr>
          <w:rFonts w:ascii="Calibri" w:hAnsi="Calibri" w:cs="Calibri"/>
          <w:sz w:val="24"/>
          <w:szCs w:val="24"/>
        </w:rPr>
        <w:t xml:space="preserve"> and all interviews (1:1 and focus group) </w:t>
      </w:r>
      <w:r w:rsidR="008B369B" w:rsidRPr="005919AC">
        <w:rPr>
          <w:rFonts w:ascii="Calibri" w:hAnsi="Calibri" w:cs="Calibri"/>
          <w:sz w:val="24"/>
          <w:szCs w:val="24"/>
        </w:rPr>
        <w:t>were designed to collect data to answer t</w:t>
      </w:r>
      <w:r w:rsidR="008B369B">
        <w:rPr>
          <w:rFonts w:ascii="Calibri" w:hAnsi="Calibri" w:cs="Calibri"/>
          <w:sz w:val="24"/>
          <w:szCs w:val="24"/>
        </w:rPr>
        <w:t>wo key questions, each with subcomponents</w:t>
      </w:r>
      <w:r w:rsidR="008B369B" w:rsidRPr="005919AC">
        <w:rPr>
          <w:rFonts w:ascii="Calibri" w:hAnsi="Calibri" w:cs="Calibri"/>
          <w:sz w:val="24"/>
          <w:szCs w:val="24"/>
        </w:rPr>
        <w:t>:</w:t>
      </w:r>
    </w:p>
    <w:p w14:paraId="489A78AE" w14:textId="1DDA816D" w:rsidR="008B369B" w:rsidRPr="000C6D2C" w:rsidRDefault="00B55C67" w:rsidP="00692AD9">
      <w:pPr>
        <w:pStyle w:val="ListParagraph"/>
        <w:numPr>
          <w:ilvl w:val="0"/>
          <w:numId w:val="1"/>
        </w:numPr>
        <w:rPr>
          <w:sz w:val="24"/>
          <w:szCs w:val="24"/>
        </w:rPr>
      </w:pPr>
      <w:r>
        <w:rPr>
          <w:rFonts w:ascii="ZWAdobeF" w:hAnsi="ZWAdobeF" w:cs="ZWAdobeF"/>
          <w:sz w:val="2"/>
          <w:szCs w:val="2"/>
        </w:rPr>
        <w:t>0B</w:t>
      </w:r>
      <w:r w:rsidR="008B369B" w:rsidRPr="000C6D2C">
        <w:rPr>
          <w:sz w:val="24"/>
          <w:szCs w:val="24"/>
        </w:rPr>
        <w:t xml:space="preserve">Question 1: What are the positive benefits to timely delivery of newly created accessible instructional materials when NIMAS files for the materials are already in the NIMAC system? [Timely delivery = having materials at the same time as other students] </w:t>
      </w:r>
    </w:p>
    <w:p w14:paraId="69147EC1" w14:textId="4FE84CE3" w:rsidR="008B369B" w:rsidRPr="000C6D2C" w:rsidRDefault="00B55C67" w:rsidP="00692AD9">
      <w:pPr>
        <w:pStyle w:val="ListParagraph"/>
        <w:numPr>
          <w:ilvl w:val="1"/>
          <w:numId w:val="1"/>
        </w:numPr>
        <w:rPr>
          <w:sz w:val="24"/>
          <w:szCs w:val="24"/>
        </w:rPr>
      </w:pPr>
      <w:r>
        <w:rPr>
          <w:rFonts w:ascii="ZWAdobeF" w:hAnsi="ZWAdobeF" w:cs="ZWAdobeF"/>
          <w:sz w:val="2"/>
          <w:szCs w:val="2"/>
        </w:rPr>
        <w:t>1B</w:t>
      </w:r>
      <w:r w:rsidR="008B369B" w:rsidRPr="000C6D2C">
        <w:rPr>
          <w:sz w:val="24"/>
          <w:szCs w:val="24"/>
        </w:rPr>
        <w:t>Sub-question 1a: What is the timeline for delivery of newly created accessible instructional materials when 1) NIMAS files for materials are already in the NIMAC system, 2) NIMAS files are not in the NIMAC system and materials are added to the Watchlist, and 3) materials are not within scope for NIMAS (e.g., OER, trade materials, some digital files)?</w:t>
      </w:r>
    </w:p>
    <w:p w14:paraId="524FA042" w14:textId="0F4E74EC" w:rsidR="008B369B" w:rsidRPr="000C6D2C" w:rsidRDefault="00B55C67" w:rsidP="00692AD9">
      <w:pPr>
        <w:pStyle w:val="ListParagraph"/>
        <w:numPr>
          <w:ilvl w:val="1"/>
          <w:numId w:val="1"/>
        </w:numPr>
        <w:rPr>
          <w:sz w:val="24"/>
          <w:szCs w:val="24"/>
        </w:rPr>
      </w:pPr>
      <w:r>
        <w:rPr>
          <w:rFonts w:ascii="ZWAdobeF" w:hAnsi="ZWAdobeF" w:cs="ZWAdobeF"/>
          <w:sz w:val="2"/>
          <w:szCs w:val="2"/>
        </w:rPr>
        <w:t>2B</w:t>
      </w:r>
      <w:r w:rsidR="008B369B" w:rsidRPr="000C6D2C">
        <w:rPr>
          <w:sz w:val="24"/>
          <w:szCs w:val="24"/>
        </w:rPr>
        <w:t>Sub-question 1b</w:t>
      </w:r>
      <w:r w:rsidR="008B369B" w:rsidRPr="000C6D2C">
        <w:rPr>
          <w:i/>
          <w:iCs/>
          <w:sz w:val="24"/>
          <w:szCs w:val="24"/>
        </w:rPr>
        <w:t xml:space="preserve">: </w:t>
      </w:r>
      <w:r w:rsidR="008B369B" w:rsidRPr="000C6D2C">
        <w:rPr>
          <w:sz w:val="24"/>
          <w:szCs w:val="24"/>
        </w:rPr>
        <w:t xml:space="preserve">What impacts the timely delivery and use of accessible instructional materials best formatted to meet students’ needs, as specified in their IEP? </w:t>
      </w:r>
    </w:p>
    <w:p w14:paraId="53C3DE44" w14:textId="0EDEAAE3" w:rsidR="008B369B" w:rsidRPr="000C6D2C" w:rsidRDefault="00B55C67" w:rsidP="00692AD9">
      <w:pPr>
        <w:pStyle w:val="ListParagraph"/>
        <w:numPr>
          <w:ilvl w:val="0"/>
          <w:numId w:val="1"/>
        </w:numPr>
        <w:rPr>
          <w:sz w:val="24"/>
          <w:szCs w:val="24"/>
        </w:rPr>
      </w:pPr>
      <w:r>
        <w:rPr>
          <w:rFonts w:ascii="ZWAdobeF" w:hAnsi="ZWAdobeF" w:cs="ZWAdobeF"/>
          <w:sz w:val="2"/>
          <w:szCs w:val="2"/>
        </w:rPr>
        <w:t>3B</w:t>
      </w:r>
      <w:r w:rsidR="008B369B" w:rsidRPr="000C6D2C">
        <w:rPr>
          <w:sz w:val="24"/>
          <w:szCs w:val="24"/>
        </w:rPr>
        <w:t>Question 2: What practices, including procurement contracts, facilitate the timely delivery of accessible instructional materials?</w:t>
      </w:r>
    </w:p>
    <w:p w14:paraId="1C32ABD3" w14:textId="09D015BD" w:rsidR="008B369B" w:rsidRPr="000C6D2C" w:rsidRDefault="00B55C67" w:rsidP="00692AD9">
      <w:pPr>
        <w:pStyle w:val="ListParagraph"/>
        <w:numPr>
          <w:ilvl w:val="1"/>
          <w:numId w:val="1"/>
        </w:numPr>
        <w:rPr>
          <w:sz w:val="24"/>
          <w:szCs w:val="24"/>
        </w:rPr>
      </w:pPr>
      <w:r>
        <w:rPr>
          <w:rFonts w:ascii="ZWAdobeF" w:hAnsi="ZWAdobeF" w:cs="ZWAdobeF"/>
          <w:sz w:val="2"/>
          <w:szCs w:val="2"/>
        </w:rPr>
        <w:t>4B</w:t>
      </w:r>
      <w:r w:rsidR="008B369B" w:rsidRPr="000C6D2C">
        <w:rPr>
          <w:sz w:val="24"/>
          <w:szCs w:val="24"/>
        </w:rPr>
        <w:t xml:space="preserve">Sub-question 2a: What practices, including those unrelated to compliance with the NIMAS requirement, hinder the timely delivery of instructional materials? </w:t>
      </w:r>
    </w:p>
    <w:p w14:paraId="5AFCCC67" w14:textId="45DEA797" w:rsidR="005A6528" w:rsidRPr="00913C9F" w:rsidRDefault="00B55C67" w:rsidP="00692AD9">
      <w:pPr>
        <w:pStyle w:val="ListParagraph"/>
        <w:numPr>
          <w:ilvl w:val="1"/>
          <w:numId w:val="1"/>
        </w:numPr>
        <w:rPr>
          <w:sz w:val="24"/>
          <w:szCs w:val="24"/>
        </w:rPr>
      </w:pPr>
      <w:r>
        <w:rPr>
          <w:rFonts w:ascii="ZWAdobeF" w:hAnsi="ZWAdobeF" w:cs="ZWAdobeF"/>
          <w:sz w:val="2"/>
          <w:szCs w:val="2"/>
        </w:rPr>
        <w:t>5B</w:t>
      </w:r>
      <w:r w:rsidR="008B369B" w:rsidRPr="000C6D2C">
        <w:rPr>
          <w:sz w:val="24"/>
          <w:szCs w:val="24"/>
        </w:rPr>
        <w:t>Sub-question 2b: How can the NIMAC help SEAs and LEAs understand and implement strategies for consistent inclusion of the NIMAS requirement in procurement contracts?</w:t>
      </w:r>
    </w:p>
    <w:p w14:paraId="4D0B33A2" w14:textId="77777777" w:rsidR="00CC19DE" w:rsidRPr="005919AC" w:rsidRDefault="00CC19DE" w:rsidP="00CC19DE">
      <w:pPr>
        <w:pStyle w:val="ListParagraph"/>
        <w:spacing w:line="276" w:lineRule="auto"/>
        <w:rPr>
          <w:rFonts w:ascii="Calibri" w:hAnsi="Calibri" w:cs="Calibri"/>
          <w:sz w:val="24"/>
          <w:szCs w:val="24"/>
        </w:rPr>
      </w:pPr>
    </w:p>
    <w:p w14:paraId="2BB40D40" w14:textId="14BECBDC" w:rsidR="006C0B3D" w:rsidRPr="00B4146C" w:rsidRDefault="006C0B3D" w:rsidP="00B4146C">
      <w:pPr>
        <w:pStyle w:val="Heading3"/>
      </w:pPr>
      <w:bookmarkStart w:id="6" w:name="_Toc222903977"/>
      <w:bookmarkEnd w:id="5"/>
      <w:r w:rsidRPr="00B4146C">
        <w:t>Methodology</w:t>
      </w:r>
      <w:bookmarkEnd w:id="6"/>
    </w:p>
    <w:p w14:paraId="769F67C6" w14:textId="5C5D0140" w:rsidR="006C0B3D" w:rsidRPr="005919AC" w:rsidRDefault="006C0B3D" w:rsidP="008577A6">
      <w:pPr>
        <w:spacing w:after="0" w:line="276" w:lineRule="auto"/>
        <w:rPr>
          <w:rFonts w:ascii="Calibri" w:hAnsi="Calibri" w:cs="Calibri"/>
          <w:sz w:val="24"/>
          <w:szCs w:val="24"/>
        </w:rPr>
      </w:pPr>
    </w:p>
    <w:p w14:paraId="59E72B28" w14:textId="661EC7AA" w:rsidR="00692AD9" w:rsidRDefault="00B55C67" w:rsidP="00692AD9">
      <w:pPr>
        <w:spacing w:line="276" w:lineRule="auto"/>
        <w:rPr>
          <w:rFonts w:ascii="Calibri" w:hAnsi="Calibri" w:cs="Calibri"/>
          <w:sz w:val="24"/>
          <w:szCs w:val="24"/>
        </w:rPr>
      </w:pPr>
      <w:r>
        <w:rPr>
          <w:rFonts w:ascii="ZWAdobeF" w:hAnsi="ZWAdobeF" w:cs="ZWAdobeF"/>
          <w:sz w:val="2"/>
          <w:szCs w:val="2"/>
        </w:rPr>
        <w:t>82B</w:t>
      </w:r>
      <w:r w:rsidR="00692AD9">
        <w:rPr>
          <w:rFonts w:ascii="Calibri" w:hAnsi="Calibri" w:cs="Calibri"/>
          <w:sz w:val="24"/>
          <w:szCs w:val="24"/>
        </w:rPr>
        <w:t>As described earlier, the Case Study Survey was structured to inform case study questions, using skip logic to present items relevant to specific audiences. It was designed to</w:t>
      </w:r>
      <w:r w:rsidR="00692AD9" w:rsidRPr="005919AC">
        <w:rPr>
          <w:rFonts w:ascii="Calibri" w:hAnsi="Calibri" w:cs="Calibri"/>
          <w:sz w:val="24"/>
          <w:szCs w:val="24"/>
        </w:rPr>
        <w:t xml:space="preserve"> collect both quantitative and qualitative data; closed-ended and rating items were followed by open-ended questions that provided respondents the opportunity to explain and clarify multiple and force</w:t>
      </w:r>
      <w:r w:rsidR="006E1E10">
        <w:rPr>
          <w:rFonts w:ascii="Calibri" w:hAnsi="Calibri" w:cs="Calibri"/>
          <w:sz w:val="24"/>
          <w:szCs w:val="24"/>
        </w:rPr>
        <w:t>d</w:t>
      </w:r>
      <w:r w:rsidR="00692AD9" w:rsidRPr="005919AC">
        <w:rPr>
          <w:rFonts w:ascii="Calibri" w:hAnsi="Calibri" w:cs="Calibri"/>
          <w:sz w:val="24"/>
          <w:szCs w:val="24"/>
        </w:rPr>
        <w:t>-choice items in their own words</w:t>
      </w:r>
      <w:r w:rsidR="00692AD9">
        <w:rPr>
          <w:rFonts w:ascii="Calibri" w:hAnsi="Calibri" w:cs="Calibri"/>
          <w:sz w:val="24"/>
          <w:szCs w:val="24"/>
        </w:rPr>
        <w:t>. See Appendix A for the Case Study Survey.</w:t>
      </w:r>
    </w:p>
    <w:p w14:paraId="146F72E1" w14:textId="366F47B5" w:rsidR="00692AD9" w:rsidRDefault="00B55C67" w:rsidP="00692AD9">
      <w:pPr>
        <w:spacing w:line="276" w:lineRule="auto"/>
        <w:rPr>
          <w:rFonts w:ascii="Calibri" w:hAnsi="Calibri" w:cs="Calibri"/>
          <w:sz w:val="24"/>
          <w:szCs w:val="24"/>
        </w:rPr>
      </w:pPr>
      <w:r>
        <w:rPr>
          <w:rFonts w:ascii="ZWAdobeF" w:hAnsi="ZWAdobeF" w:cs="ZWAdobeF"/>
          <w:sz w:val="2"/>
          <w:szCs w:val="2"/>
        </w:rPr>
        <w:t>83B</w:t>
      </w:r>
      <w:r w:rsidR="00692AD9">
        <w:rPr>
          <w:rFonts w:ascii="Calibri" w:hAnsi="Calibri" w:cs="Calibri"/>
          <w:sz w:val="24"/>
          <w:szCs w:val="24"/>
        </w:rPr>
        <w:t xml:space="preserve">Each state received its own survey link, with terminology tailored for staff roles and regional district structures. A fourth survey link was used nationally and included an item for respondents to indicate their state. All four survey links were accompanied by QR codes for presentation during virtual events (e.g., NIMAC trainings), sharing on </w:t>
      </w:r>
      <w:r w:rsidR="00A70667">
        <w:rPr>
          <w:rFonts w:ascii="Calibri" w:hAnsi="Calibri" w:cs="Calibri"/>
          <w:sz w:val="24"/>
          <w:szCs w:val="24"/>
        </w:rPr>
        <w:t xml:space="preserve">PowerPoint </w:t>
      </w:r>
      <w:r w:rsidR="00692AD9">
        <w:rPr>
          <w:rFonts w:ascii="Calibri" w:hAnsi="Calibri" w:cs="Calibri"/>
          <w:sz w:val="24"/>
          <w:szCs w:val="24"/>
        </w:rPr>
        <w:t xml:space="preserve">slides during </w:t>
      </w:r>
      <w:r w:rsidR="00692AD9">
        <w:rPr>
          <w:rFonts w:ascii="Calibri" w:hAnsi="Calibri" w:cs="Calibri"/>
          <w:sz w:val="24"/>
          <w:szCs w:val="24"/>
        </w:rPr>
        <w:lastRenderedPageBreak/>
        <w:t>in-person events (e.g., APH Annual Meeting), and inclusion in states’ social media, newsletters, and other dissemination efforts (e.g., listservs).</w:t>
      </w:r>
    </w:p>
    <w:p w14:paraId="1296D0F2" w14:textId="52BCF77D" w:rsidR="00692AD9" w:rsidRDefault="00B55C67" w:rsidP="00692AD9">
      <w:pPr>
        <w:spacing w:line="276" w:lineRule="auto"/>
        <w:rPr>
          <w:rFonts w:ascii="Calibri" w:hAnsi="Calibri" w:cs="Calibri"/>
          <w:sz w:val="24"/>
          <w:szCs w:val="24"/>
        </w:rPr>
      </w:pPr>
      <w:r>
        <w:rPr>
          <w:rFonts w:ascii="ZWAdobeF" w:hAnsi="ZWAdobeF" w:cs="ZWAdobeF"/>
          <w:sz w:val="2"/>
          <w:szCs w:val="2"/>
        </w:rPr>
        <w:t>84B</w:t>
      </w:r>
      <w:r w:rsidR="00692AD9">
        <w:rPr>
          <w:rFonts w:ascii="Calibri" w:hAnsi="Calibri" w:cs="Calibri"/>
          <w:sz w:val="24"/>
          <w:szCs w:val="24"/>
        </w:rPr>
        <w:t xml:space="preserve">True North Evaluation coordinated with each case study state (OH, </w:t>
      </w:r>
      <w:proofErr w:type="gramStart"/>
      <w:r w:rsidR="00692AD9">
        <w:rPr>
          <w:rFonts w:ascii="Calibri" w:hAnsi="Calibri" w:cs="Calibri"/>
          <w:sz w:val="24"/>
          <w:szCs w:val="24"/>
        </w:rPr>
        <w:t>OR,</w:t>
      </w:r>
      <w:proofErr w:type="gramEnd"/>
      <w:r w:rsidR="00692AD9">
        <w:rPr>
          <w:rFonts w:ascii="Calibri" w:hAnsi="Calibri" w:cs="Calibri"/>
          <w:sz w:val="24"/>
          <w:szCs w:val="24"/>
        </w:rPr>
        <w:t xml:space="preserve"> UT) a plan for survey dissemination (using a unique link created for the state) and interviews (1:1 and focus group). Once the Case Study Survey was finalized, True North Evaluation and the NIMAC decided to administer it widely. Similarly, to capitalize on relationships already established in case study states</w:t>
      </w:r>
      <w:r w:rsidR="002D4F6F">
        <w:rPr>
          <w:rFonts w:ascii="Calibri" w:hAnsi="Calibri" w:cs="Calibri"/>
          <w:sz w:val="24"/>
          <w:szCs w:val="24"/>
        </w:rPr>
        <w:t xml:space="preserve">, they </w:t>
      </w:r>
      <w:r w:rsidR="00692AD9">
        <w:rPr>
          <w:rFonts w:ascii="Calibri" w:hAnsi="Calibri" w:cs="Calibri"/>
          <w:sz w:val="24"/>
          <w:szCs w:val="24"/>
        </w:rPr>
        <w:t xml:space="preserve">decided to conduct as many interviews as possible with target audiences knowledgeable about special education, the needs of students with an Individualized Education Program (IEP), or the practices (e.g., procurement, production) impacting timely delivery of accessible instructional materials. Thus, at the end of the Case Study Survey and at the end of interviews, recommendations for additional interviewees were </w:t>
      </w:r>
      <w:proofErr w:type="gramStart"/>
      <w:r w:rsidR="00692AD9">
        <w:rPr>
          <w:rFonts w:ascii="Calibri" w:hAnsi="Calibri" w:cs="Calibri"/>
          <w:sz w:val="24"/>
          <w:szCs w:val="24"/>
        </w:rPr>
        <w:t>solicited</w:t>
      </w:r>
      <w:proofErr w:type="gramEnd"/>
      <w:r w:rsidR="00692AD9">
        <w:rPr>
          <w:rFonts w:ascii="Calibri" w:hAnsi="Calibri" w:cs="Calibri"/>
          <w:sz w:val="24"/>
          <w:szCs w:val="24"/>
        </w:rPr>
        <w:t>.</w:t>
      </w:r>
    </w:p>
    <w:p w14:paraId="3EDA9806" w14:textId="0638F934" w:rsidR="00692AD9" w:rsidRDefault="00B55C67" w:rsidP="00692AD9">
      <w:pPr>
        <w:spacing w:after="0" w:line="276" w:lineRule="auto"/>
        <w:rPr>
          <w:rFonts w:ascii="Calibri" w:hAnsi="Calibri" w:cs="Calibri"/>
          <w:sz w:val="24"/>
          <w:szCs w:val="24"/>
        </w:rPr>
      </w:pPr>
      <w:r>
        <w:rPr>
          <w:rFonts w:ascii="ZWAdobeF" w:hAnsi="ZWAdobeF" w:cs="ZWAdobeF"/>
          <w:sz w:val="2"/>
          <w:szCs w:val="2"/>
        </w:rPr>
        <w:t>85B</w:t>
      </w:r>
      <w:r w:rsidR="00692AD9">
        <w:rPr>
          <w:rFonts w:ascii="Calibri" w:hAnsi="Calibri" w:cs="Calibri"/>
          <w:sz w:val="24"/>
          <w:szCs w:val="24"/>
        </w:rPr>
        <w:t>Interviews were conducted via Zoom,</w:t>
      </w:r>
      <w:r w:rsidR="00B95D82">
        <w:rPr>
          <w:rFonts w:ascii="Calibri" w:hAnsi="Calibri" w:cs="Calibri"/>
          <w:sz w:val="24"/>
          <w:szCs w:val="24"/>
        </w:rPr>
        <w:t xml:space="preserve"> except for two in-person focus groups conducted during the 2025 APH Annual Meeting</w:t>
      </w:r>
      <w:r w:rsidR="00692AD9">
        <w:rPr>
          <w:rFonts w:ascii="Calibri" w:hAnsi="Calibri" w:cs="Calibri"/>
          <w:sz w:val="24"/>
          <w:szCs w:val="24"/>
        </w:rPr>
        <w:t>. At the beginning, the interviewer explained that participant identities would remain confidential and asked for permission to record interviews. All participants consented</w:t>
      </w:r>
      <w:r w:rsidR="00B95D82">
        <w:rPr>
          <w:rFonts w:ascii="Calibri" w:hAnsi="Calibri" w:cs="Calibri"/>
          <w:sz w:val="24"/>
          <w:szCs w:val="24"/>
        </w:rPr>
        <w:t>, except for one virtual interview and one in-person interview where recording was logistically impractical (notes were taken during these two interviews)</w:t>
      </w:r>
      <w:r w:rsidR="00692AD9">
        <w:rPr>
          <w:rFonts w:ascii="Calibri" w:hAnsi="Calibri" w:cs="Calibri"/>
          <w:sz w:val="24"/>
          <w:szCs w:val="24"/>
        </w:rPr>
        <w:t xml:space="preserve">. The interviewer recorded interviews via </w:t>
      </w:r>
      <w:r w:rsidR="00B95D82">
        <w:rPr>
          <w:rFonts w:ascii="Calibri" w:hAnsi="Calibri" w:cs="Calibri"/>
          <w:sz w:val="24"/>
          <w:szCs w:val="24"/>
        </w:rPr>
        <w:t>Z</w:t>
      </w:r>
      <w:r w:rsidR="00692AD9">
        <w:rPr>
          <w:rFonts w:ascii="Calibri" w:hAnsi="Calibri" w:cs="Calibri"/>
          <w:sz w:val="24"/>
          <w:szCs w:val="24"/>
        </w:rPr>
        <w:t xml:space="preserve">oom and used the audio files to create verbatim transcripts. The transcripts were then imported into Dedoose, a qualitative software program. An initial codebook was developed based on </w:t>
      </w:r>
      <w:r w:rsidR="00692AD9" w:rsidRPr="003664FF">
        <w:rPr>
          <w:rFonts w:ascii="Calibri" w:hAnsi="Calibri" w:cs="Calibri"/>
          <w:i/>
          <w:iCs/>
          <w:sz w:val="24"/>
          <w:szCs w:val="24"/>
        </w:rPr>
        <w:t>a priori</w:t>
      </w:r>
      <w:r w:rsidR="00692AD9">
        <w:rPr>
          <w:rFonts w:ascii="Calibri" w:hAnsi="Calibri" w:cs="Calibri"/>
          <w:sz w:val="24"/>
          <w:szCs w:val="24"/>
        </w:rPr>
        <w:t xml:space="preserve"> codes that reflected the topics of interview questions, which mapped to case study questions and pre-determined answer options to survey items. </w:t>
      </w:r>
      <w:r w:rsidR="00B95D82">
        <w:rPr>
          <w:rFonts w:ascii="Calibri" w:hAnsi="Calibri" w:cs="Calibri"/>
          <w:sz w:val="24"/>
          <w:szCs w:val="24"/>
        </w:rPr>
        <w:t xml:space="preserve">Codes were added to the codebook to capture additional themes, as needed. </w:t>
      </w:r>
      <w:r w:rsidR="00692AD9" w:rsidRPr="005919AC">
        <w:rPr>
          <w:rFonts w:ascii="Calibri" w:hAnsi="Calibri" w:cs="Calibri"/>
          <w:sz w:val="24"/>
          <w:szCs w:val="24"/>
        </w:rPr>
        <w:t xml:space="preserve">Please </w:t>
      </w:r>
      <w:r w:rsidR="00692AD9" w:rsidRPr="00D54BD7">
        <w:rPr>
          <w:rFonts w:ascii="Calibri" w:hAnsi="Calibri" w:cs="Calibri"/>
          <w:sz w:val="24"/>
          <w:szCs w:val="24"/>
        </w:rPr>
        <w:t>see Appendix B for the</w:t>
      </w:r>
      <w:r w:rsidR="00692AD9" w:rsidRPr="005919AC">
        <w:rPr>
          <w:rFonts w:ascii="Calibri" w:hAnsi="Calibri" w:cs="Calibri"/>
          <w:sz w:val="24"/>
          <w:szCs w:val="24"/>
        </w:rPr>
        <w:t xml:space="preserve"> </w:t>
      </w:r>
      <w:r w:rsidR="00692AD9">
        <w:rPr>
          <w:rFonts w:ascii="Calibri" w:hAnsi="Calibri" w:cs="Calibri"/>
          <w:sz w:val="24"/>
          <w:szCs w:val="24"/>
        </w:rPr>
        <w:t>Interview Protocol</w:t>
      </w:r>
      <w:r w:rsidR="00692AD9" w:rsidRPr="005919AC">
        <w:rPr>
          <w:rFonts w:ascii="Calibri" w:hAnsi="Calibri" w:cs="Calibri"/>
          <w:sz w:val="24"/>
          <w:szCs w:val="24"/>
        </w:rPr>
        <w:t>.</w:t>
      </w:r>
    </w:p>
    <w:p w14:paraId="6306FC4A" w14:textId="77777777" w:rsidR="00692AD9" w:rsidRPr="005919AC" w:rsidRDefault="00692AD9" w:rsidP="00692AD9">
      <w:pPr>
        <w:spacing w:after="0" w:line="276" w:lineRule="auto"/>
        <w:rPr>
          <w:rFonts w:ascii="Calibri" w:hAnsi="Calibri" w:cs="Calibri"/>
          <w:sz w:val="24"/>
          <w:szCs w:val="24"/>
        </w:rPr>
      </w:pPr>
    </w:p>
    <w:p w14:paraId="1E09821E" w14:textId="6FF6E560" w:rsidR="00692AD9" w:rsidRDefault="00B55C67" w:rsidP="00692AD9">
      <w:pPr>
        <w:spacing w:after="0" w:line="276" w:lineRule="auto"/>
        <w:rPr>
          <w:rFonts w:ascii="Calibri" w:hAnsi="Calibri" w:cs="Calibri"/>
          <w:sz w:val="24"/>
          <w:szCs w:val="24"/>
        </w:rPr>
      </w:pPr>
      <w:r>
        <w:rPr>
          <w:rFonts w:ascii="ZWAdobeF" w:hAnsi="ZWAdobeF" w:cs="ZWAdobeF"/>
          <w:sz w:val="2"/>
          <w:szCs w:val="2"/>
        </w:rPr>
        <w:t>86B</w:t>
      </w:r>
      <w:r w:rsidR="00692AD9" w:rsidRPr="006D0BFD">
        <w:rPr>
          <w:rFonts w:ascii="Calibri" w:hAnsi="Calibri" w:cs="Calibri"/>
          <w:sz w:val="24"/>
          <w:szCs w:val="24"/>
        </w:rPr>
        <w:t xml:space="preserve">Given the snowball sampling method that </w:t>
      </w:r>
      <w:r w:rsidR="00692AD9">
        <w:rPr>
          <w:rFonts w:ascii="Calibri" w:hAnsi="Calibri" w:cs="Calibri"/>
          <w:sz w:val="24"/>
          <w:szCs w:val="24"/>
        </w:rPr>
        <w:t xml:space="preserve">True North Evaluation and the NIMAC planned for survey distribution, myriad </w:t>
      </w:r>
      <w:r w:rsidR="00692AD9" w:rsidRPr="006D0BFD">
        <w:rPr>
          <w:rFonts w:ascii="Calibri" w:hAnsi="Calibri" w:cs="Calibri"/>
          <w:sz w:val="24"/>
          <w:szCs w:val="24"/>
        </w:rPr>
        <w:t xml:space="preserve">avenues </w:t>
      </w:r>
      <w:r w:rsidR="00692AD9">
        <w:rPr>
          <w:rFonts w:ascii="Calibri" w:hAnsi="Calibri" w:cs="Calibri"/>
          <w:sz w:val="24"/>
          <w:szCs w:val="24"/>
        </w:rPr>
        <w:t>(e.g., social media, listservs, monthly meetings, newsletters) across case study states and national opportunities were used by the following groups</w:t>
      </w:r>
      <w:r w:rsidR="00B95D82">
        <w:rPr>
          <w:rFonts w:ascii="Calibri" w:hAnsi="Calibri" w:cs="Calibri"/>
          <w:sz w:val="24"/>
          <w:szCs w:val="24"/>
        </w:rPr>
        <w:t>:</w:t>
      </w:r>
      <w:r>
        <w:rPr>
          <w:rFonts w:ascii="ZWAdobeF" w:hAnsi="ZWAdobeF" w:cs="ZWAdobeF"/>
          <w:sz w:val="2"/>
          <w:szCs w:val="2"/>
        </w:rPr>
        <w:t>3F</w:t>
      </w:r>
      <w:r w:rsidR="00692AD9">
        <w:rPr>
          <w:rStyle w:val="FootnoteReference"/>
          <w:rFonts w:ascii="Calibri" w:hAnsi="Calibri" w:cs="Calibri"/>
          <w:sz w:val="24"/>
          <w:szCs w:val="24"/>
        </w:rPr>
        <w:footnoteReference w:id="4"/>
      </w:r>
    </w:p>
    <w:p w14:paraId="6DD18D91" w14:textId="7A6BC238" w:rsidR="00692AD9" w:rsidRPr="000B77AB" w:rsidRDefault="00B55C67" w:rsidP="00692AD9">
      <w:pPr>
        <w:pStyle w:val="ListParagraph"/>
        <w:numPr>
          <w:ilvl w:val="0"/>
          <w:numId w:val="11"/>
        </w:numPr>
        <w:spacing w:after="0" w:line="276" w:lineRule="auto"/>
        <w:rPr>
          <w:rFonts w:ascii="Calibri" w:hAnsi="Calibri" w:cs="Calibri"/>
          <w:sz w:val="24"/>
          <w:szCs w:val="24"/>
        </w:rPr>
      </w:pPr>
      <w:r>
        <w:rPr>
          <w:rFonts w:ascii="ZWAdobeF" w:hAnsi="ZWAdobeF" w:cs="ZWAdobeF"/>
          <w:iCs/>
          <w:sz w:val="2"/>
          <w:szCs w:val="2"/>
        </w:rPr>
        <w:t>6B</w:t>
      </w:r>
      <w:r w:rsidR="00692AD9" w:rsidRPr="00DC1791">
        <w:rPr>
          <w:rFonts w:ascii="Calibri" w:hAnsi="Calibri" w:cs="Calibri"/>
          <w:i/>
          <w:iCs/>
          <w:sz w:val="24"/>
          <w:szCs w:val="24"/>
        </w:rPr>
        <w:t>Ohio</w:t>
      </w:r>
      <w:r w:rsidR="00692AD9">
        <w:rPr>
          <w:rFonts w:ascii="Calibri" w:hAnsi="Calibri" w:cs="Calibri"/>
          <w:sz w:val="24"/>
          <w:szCs w:val="24"/>
        </w:rPr>
        <w:t xml:space="preserve">: AT &amp; AEM Center powered by OCALI, Teaching All Learners Center, Curriculum Workgroup, Department of Education &amp; Workforce Office for Exceptional Children, State Support Teams, Ohio Leadership Advisory Council, Outreach Center for Deafness and Blindness, </w:t>
      </w:r>
      <w:r w:rsidR="00692AD9" w:rsidRPr="000B77AB">
        <w:rPr>
          <w:rFonts w:ascii="Calibri" w:hAnsi="Calibri" w:cs="Calibri"/>
          <w:sz w:val="24"/>
          <w:szCs w:val="24"/>
        </w:rPr>
        <w:t>Ohio Center for Deafblind Education</w:t>
      </w:r>
      <w:r w:rsidR="00692AD9">
        <w:rPr>
          <w:rFonts w:ascii="Calibri" w:hAnsi="Calibri" w:cs="Calibri"/>
          <w:sz w:val="24"/>
          <w:szCs w:val="24"/>
        </w:rPr>
        <w:t>, Ohio Deaf and Blind Education Services</w:t>
      </w:r>
      <w:r w:rsidR="00692AD9" w:rsidRPr="000B77AB">
        <w:rPr>
          <w:rFonts w:ascii="Calibri" w:hAnsi="Calibri" w:cs="Calibri"/>
          <w:sz w:val="24"/>
          <w:szCs w:val="24"/>
        </w:rPr>
        <w:t xml:space="preserve"> </w:t>
      </w:r>
    </w:p>
    <w:p w14:paraId="1B30D742" w14:textId="1F722E6D" w:rsidR="00692AD9" w:rsidRDefault="00B55C67" w:rsidP="00692AD9">
      <w:pPr>
        <w:pStyle w:val="ListParagraph"/>
        <w:numPr>
          <w:ilvl w:val="0"/>
          <w:numId w:val="11"/>
        </w:numPr>
        <w:spacing w:after="0" w:line="276" w:lineRule="auto"/>
        <w:rPr>
          <w:rFonts w:ascii="Calibri" w:hAnsi="Calibri" w:cs="Calibri"/>
          <w:sz w:val="24"/>
          <w:szCs w:val="24"/>
        </w:rPr>
      </w:pPr>
      <w:r>
        <w:rPr>
          <w:rFonts w:ascii="ZWAdobeF" w:hAnsi="ZWAdobeF" w:cs="ZWAdobeF"/>
          <w:iCs/>
          <w:sz w:val="2"/>
          <w:szCs w:val="2"/>
        </w:rPr>
        <w:lastRenderedPageBreak/>
        <w:t>7B</w:t>
      </w:r>
      <w:r w:rsidR="00692AD9" w:rsidRPr="00DC1791">
        <w:rPr>
          <w:rFonts w:ascii="Calibri" w:hAnsi="Calibri" w:cs="Calibri"/>
          <w:i/>
          <w:iCs/>
          <w:sz w:val="24"/>
          <w:szCs w:val="24"/>
        </w:rPr>
        <w:t>Oregon</w:t>
      </w:r>
      <w:r w:rsidR="00692AD9">
        <w:rPr>
          <w:rFonts w:ascii="Calibri" w:hAnsi="Calibri" w:cs="Calibri"/>
          <w:sz w:val="24"/>
          <w:szCs w:val="24"/>
        </w:rPr>
        <w:t>: Oregon Department of Education Curriculum Team, Regional Inclusive Services Supports, R</w:t>
      </w:r>
      <w:r w:rsidR="00692AD9" w:rsidRPr="00C66061">
        <w:rPr>
          <w:rFonts w:ascii="Calibri" w:hAnsi="Calibri" w:cs="Calibri"/>
          <w:sz w:val="24"/>
          <w:szCs w:val="24"/>
        </w:rPr>
        <w:t>egional Education Service Districts</w:t>
      </w:r>
      <w:r w:rsidR="00692AD9">
        <w:rPr>
          <w:rFonts w:ascii="Calibri" w:hAnsi="Calibri" w:cs="Calibri"/>
          <w:sz w:val="24"/>
          <w:szCs w:val="24"/>
        </w:rPr>
        <w:t>, Special Education Directors, State TVI Professional Learning Team, Oregon Textbook &amp; Media Center, Baker Web Academy (online charter school), Charter School Administrators, Oregon DeafBlind Project</w:t>
      </w:r>
    </w:p>
    <w:p w14:paraId="3BBEC1E3" w14:textId="12B0B090" w:rsidR="00692AD9" w:rsidRDefault="00B55C67" w:rsidP="00692AD9">
      <w:pPr>
        <w:pStyle w:val="ListParagraph"/>
        <w:numPr>
          <w:ilvl w:val="0"/>
          <w:numId w:val="11"/>
        </w:numPr>
        <w:spacing w:after="0" w:line="276" w:lineRule="auto"/>
        <w:rPr>
          <w:rFonts w:ascii="Calibri" w:hAnsi="Calibri" w:cs="Calibri"/>
          <w:sz w:val="24"/>
          <w:szCs w:val="24"/>
        </w:rPr>
      </w:pPr>
      <w:r>
        <w:rPr>
          <w:rFonts w:ascii="ZWAdobeF" w:hAnsi="ZWAdobeF" w:cs="ZWAdobeF"/>
          <w:iCs/>
          <w:sz w:val="2"/>
          <w:szCs w:val="2"/>
        </w:rPr>
        <w:t>8B</w:t>
      </w:r>
      <w:r w:rsidR="00692AD9" w:rsidRPr="00DC1791">
        <w:rPr>
          <w:rFonts w:ascii="Calibri" w:hAnsi="Calibri" w:cs="Calibri"/>
          <w:i/>
          <w:iCs/>
          <w:sz w:val="24"/>
          <w:szCs w:val="24"/>
        </w:rPr>
        <w:t>Utah</w:t>
      </w:r>
      <w:r w:rsidR="00692AD9">
        <w:rPr>
          <w:rFonts w:ascii="Calibri" w:hAnsi="Calibri" w:cs="Calibri"/>
          <w:sz w:val="24"/>
          <w:szCs w:val="24"/>
        </w:rPr>
        <w:t xml:space="preserve">: Utah State Instructional Materials Access Center, Utah State Board of Education, State Director of Special Education, Network of Special Education Directors, LEA Curriculum Directors, Charter School Directors, </w:t>
      </w:r>
      <w:r w:rsidR="00692AD9" w:rsidRPr="00E773F8">
        <w:rPr>
          <w:rFonts w:ascii="Calibri" w:hAnsi="Calibri" w:cs="Calibri"/>
          <w:sz w:val="24"/>
          <w:szCs w:val="24"/>
        </w:rPr>
        <w:t>Visual Impairments Program at the University of Utah</w:t>
      </w:r>
      <w:r w:rsidR="00692AD9">
        <w:rPr>
          <w:rFonts w:ascii="Calibri" w:hAnsi="Calibri" w:cs="Calibri"/>
          <w:sz w:val="24"/>
          <w:szCs w:val="24"/>
        </w:rPr>
        <w:t>, Utah Schools for the Deaf and Blind</w:t>
      </w:r>
    </w:p>
    <w:p w14:paraId="2021032C" w14:textId="1D424729" w:rsidR="00692AD9" w:rsidRPr="00570298" w:rsidRDefault="00B55C67" w:rsidP="00692AD9">
      <w:pPr>
        <w:pStyle w:val="ListParagraph"/>
        <w:numPr>
          <w:ilvl w:val="0"/>
          <w:numId w:val="11"/>
        </w:numPr>
        <w:spacing w:after="0" w:line="276" w:lineRule="auto"/>
        <w:rPr>
          <w:rFonts w:ascii="Calibri" w:hAnsi="Calibri" w:cs="Calibri"/>
          <w:sz w:val="24"/>
          <w:szCs w:val="24"/>
        </w:rPr>
      </w:pPr>
      <w:r>
        <w:rPr>
          <w:rFonts w:ascii="ZWAdobeF" w:hAnsi="ZWAdobeF" w:cs="ZWAdobeF"/>
          <w:iCs/>
          <w:sz w:val="2"/>
          <w:szCs w:val="2"/>
        </w:rPr>
        <w:t>9B</w:t>
      </w:r>
      <w:r w:rsidR="00692AD9" w:rsidRPr="00DC1791">
        <w:rPr>
          <w:rFonts w:ascii="Calibri" w:hAnsi="Calibri" w:cs="Calibri"/>
          <w:i/>
          <w:iCs/>
          <w:sz w:val="24"/>
          <w:szCs w:val="24"/>
        </w:rPr>
        <w:t>National</w:t>
      </w:r>
      <w:r w:rsidR="00692AD9" w:rsidRPr="00570298">
        <w:rPr>
          <w:rFonts w:ascii="Calibri" w:hAnsi="Calibri" w:cs="Calibri"/>
          <w:sz w:val="24"/>
          <w:szCs w:val="24"/>
        </w:rPr>
        <w:t xml:space="preserve">: NIMAC Users (State Coordinators, Authorized Users, Accessible Media Producers, Publishers and Vendors), NIMAC Braille 2000 User Group, NIMAC Duxbury User Group, National Prison Braille Network, </w:t>
      </w:r>
      <w:r w:rsidR="00692AD9" w:rsidRPr="00FB1A54">
        <w:rPr>
          <w:rFonts w:ascii="Calibri" w:hAnsi="Calibri" w:cs="Calibri"/>
          <w:sz w:val="24"/>
          <w:szCs w:val="24"/>
        </w:rPr>
        <w:t>Instructional Resource Centers for</w:t>
      </w:r>
      <w:r w:rsidR="00475353">
        <w:rPr>
          <w:rFonts w:ascii="Calibri" w:hAnsi="Calibri" w:cs="Calibri"/>
          <w:sz w:val="24"/>
          <w:szCs w:val="24"/>
        </w:rPr>
        <w:t xml:space="preserve"> the</w:t>
      </w:r>
      <w:r w:rsidR="00692AD9" w:rsidRPr="00FB1A54">
        <w:rPr>
          <w:rFonts w:ascii="Calibri" w:hAnsi="Calibri" w:cs="Calibri"/>
          <w:sz w:val="24"/>
          <w:szCs w:val="24"/>
        </w:rPr>
        <w:t> Blind or Visually Impaired (IRCBVI)</w:t>
      </w:r>
      <w:r w:rsidR="00692AD9">
        <w:rPr>
          <w:rFonts w:ascii="Calibri" w:hAnsi="Calibri" w:cs="Calibri"/>
          <w:sz w:val="24"/>
          <w:szCs w:val="24"/>
        </w:rPr>
        <w:t xml:space="preserve">, </w:t>
      </w:r>
      <w:r w:rsidR="00692AD9" w:rsidRPr="00570298">
        <w:rPr>
          <w:rFonts w:ascii="Calibri" w:hAnsi="Calibri" w:cs="Calibri"/>
          <w:sz w:val="24"/>
          <w:szCs w:val="24"/>
        </w:rPr>
        <w:t xml:space="preserve">Bookshare, </w:t>
      </w:r>
      <w:r w:rsidR="00642431">
        <w:rPr>
          <w:rFonts w:ascii="Calibri" w:hAnsi="Calibri" w:cs="Calibri"/>
          <w:sz w:val="24"/>
          <w:szCs w:val="24"/>
        </w:rPr>
        <w:t>v</w:t>
      </w:r>
      <w:r w:rsidR="00692AD9" w:rsidRPr="00570298">
        <w:rPr>
          <w:rFonts w:ascii="Calibri" w:hAnsi="Calibri" w:cs="Calibri"/>
          <w:sz w:val="24"/>
          <w:szCs w:val="24"/>
        </w:rPr>
        <w:t>arious state organizations with interest in the case study or established systems for timely delivery (e.g., Iowa Instructional Materials Center, North Carolina</w:t>
      </w:r>
      <w:r w:rsidR="00692AD9">
        <w:rPr>
          <w:rFonts w:ascii="Calibri" w:hAnsi="Calibri" w:cs="Calibri"/>
          <w:sz w:val="24"/>
          <w:szCs w:val="24"/>
        </w:rPr>
        <w:t xml:space="preserve"> Department of Public Instruction</w:t>
      </w:r>
      <w:r w:rsidR="00692AD9" w:rsidRPr="00570298">
        <w:rPr>
          <w:rFonts w:ascii="Calibri" w:hAnsi="Calibri" w:cs="Calibri"/>
          <w:sz w:val="24"/>
          <w:szCs w:val="24"/>
        </w:rPr>
        <w:t>, Pennsylvania</w:t>
      </w:r>
      <w:r w:rsidR="00692AD9">
        <w:rPr>
          <w:rFonts w:ascii="Calibri" w:hAnsi="Calibri" w:cs="Calibri"/>
          <w:sz w:val="24"/>
          <w:szCs w:val="24"/>
        </w:rPr>
        <w:t xml:space="preserve"> </w:t>
      </w:r>
      <w:r w:rsidR="00692AD9" w:rsidRPr="0096516B">
        <w:rPr>
          <w:rFonts w:ascii="Calibri" w:hAnsi="Calibri" w:cs="Calibri"/>
          <w:sz w:val="24"/>
          <w:szCs w:val="24"/>
        </w:rPr>
        <w:t>Training and Technical Assistance Network</w:t>
      </w:r>
      <w:r w:rsidR="00692AD9" w:rsidRPr="00570298">
        <w:rPr>
          <w:rFonts w:ascii="Calibri" w:hAnsi="Calibri" w:cs="Calibri"/>
          <w:sz w:val="24"/>
          <w:szCs w:val="24"/>
        </w:rPr>
        <w:t>, Texas Education Agency</w:t>
      </w:r>
      <w:r w:rsidR="00692AD9">
        <w:rPr>
          <w:rFonts w:ascii="Calibri" w:hAnsi="Calibri" w:cs="Calibri"/>
          <w:sz w:val="24"/>
          <w:szCs w:val="24"/>
        </w:rPr>
        <w:t xml:space="preserve">, </w:t>
      </w:r>
      <w:r w:rsidR="00692AD9" w:rsidRPr="00570298">
        <w:rPr>
          <w:rFonts w:ascii="Calibri" w:hAnsi="Calibri" w:cs="Calibri"/>
          <w:sz w:val="24"/>
          <w:szCs w:val="24"/>
        </w:rPr>
        <w:t>Wisconsin Center for the Blind and Visually Impaired</w:t>
      </w:r>
    </w:p>
    <w:p w14:paraId="2D83836E" w14:textId="77777777" w:rsidR="00692AD9" w:rsidRDefault="00692AD9" w:rsidP="00692AD9">
      <w:pPr>
        <w:spacing w:after="0" w:line="276" w:lineRule="auto"/>
        <w:rPr>
          <w:rFonts w:ascii="Calibri" w:hAnsi="Calibri" w:cs="Calibri"/>
          <w:sz w:val="24"/>
          <w:szCs w:val="24"/>
        </w:rPr>
      </w:pPr>
    </w:p>
    <w:p w14:paraId="5A42A7BC" w14:textId="730EE3B3" w:rsidR="00B952AD" w:rsidRDefault="00B55C67" w:rsidP="00692AD9">
      <w:pPr>
        <w:spacing w:after="0" w:line="276" w:lineRule="auto"/>
        <w:rPr>
          <w:rFonts w:ascii="Calibri" w:hAnsi="Calibri" w:cs="Calibri"/>
          <w:sz w:val="24"/>
          <w:szCs w:val="24"/>
        </w:rPr>
      </w:pPr>
      <w:r>
        <w:rPr>
          <w:rFonts w:ascii="ZWAdobeF" w:hAnsi="ZWAdobeF" w:cs="ZWAdobeF"/>
          <w:sz w:val="2"/>
          <w:szCs w:val="2"/>
        </w:rPr>
        <w:t>87B</w:t>
      </w:r>
      <w:r w:rsidR="00692AD9">
        <w:rPr>
          <w:rFonts w:ascii="Calibri" w:hAnsi="Calibri" w:cs="Calibri"/>
          <w:sz w:val="24"/>
          <w:szCs w:val="24"/>
        </w:rPr>
        <w:t>As a result of this broad outreach, coupled with persistent and prompt communications with case study states throughout the data collection phase, survey response and interview participant numbers were high (see Case Study Findings). Specific survey response rates, however, were not possible to calculate given the latitude and encouragement given to case study states for sharing their unique survey link.</w:t>
      </w:r>
    </w:p>
    <w:p w14:paraId="1AB1C210" w14:textId="77777777" w:rsidR="00B952AD" w:rsidRDefault="00B952AD">
      <w:pPr>
        <w:rPr>
          <w:rFonts w:ascii="Calibri" w:hAnsi="Calibri" w:cs="Calibri"/>
          <w:sz w:val="24"/>
          <w:szCs w:val="24"/>
        </w:rPr>
      </w:pPr>
      <w:r>
        <w:rPr>
          <w:rFonts w:ascii="Calibri" w:hAnsi="Calibri" w:cs="Calibri"/>
          <w:sz w:val="24"/>
          <w:szCs w:val="24"/>
        </w:rPr>
        <w:br w:type="page"/>
      </w:r>
    </w:p>
    <w:p w14:paraId="0A762BC9" w14:textId="6496E224" w:rsidR="00E52FD0" w:rsidRPr="00E52FD0" w:rsidRDefault="00E52FD0" w:rsidP="00E52FD0">
      <w:pPr>
        <w:pStyle w:val="Heading2"/>
      </w:pPr>
      <w:bookmarkStart w:id="7" w:name="_Toc222903978"/>
      <w:r>
        <w:lastRenderedPageBreak/>
        <w:t>Case Study Findings</w:t>
      </w:r>
      <w:bookmarkEnd w:id="7"/>
    </w:p>
    <w:p w14:paraId="50E17837" w14:textId="77777777" w:rsidR="00112157" w:rsidRPr="005919AC" w:rsidRDefault="00112157" w:rsidP="006A0312">
      <w:pPr>
        <w:spacing w:after="0" w:line="240" w:lineRule="auto"/>
        <w:rPr>
          <w:rFonts w:ascii="Calibri" w:hAnsi="Calibri" w:cs="Calibri"/>
          <w:sz w:val="24"/>
          <w:szCs w:val="24"/>
        </w:rPr>
      </w:pPr>
    </w:p>
    <w:p w14:paraId="72EAFD33" w14:textId="25D838FC" w:rsidR="00800E11" w:rsidRDefault="00B55C67" w:rsidP="000877D9">
      <w:pPr>
        <w:spacing w:before="240" w:after="0" w:line="276" w:lineRule="auto"/>
        <w:rPr>
          <w:rFonts w:ascii="Calibri" w:hAnsi="Calibri" w:cs="Calibri"/>
          <w:sz w:val="24"/>
          <w:szCs w:val="24"/>
        </w:rPr>
      </w:pPr>
      <w:r>
        <w:rPr>
          <w:rFonts w:ascii="ZWAdobeF" w:hAnsi="ZWAdobeF" w:cs="ZWAdobeF"/>
          <w:sz w:val="2"/>
          <w:szCs w:val="2"/>
        </w:rPr>
        <w:t>88B</w:t>
      </w:r>
      <w:r w:rsidR="00AE30E8" w:rsidRPr="005919AC">
        <w:rPr>
          <w:rFonts w:ascii="Calibri" w:hAnsi="Calibri" w:cs="Calibri"/>
          <w:sz w:val="24"/>
          <w:szCs w:val="24"/>
        </w:rPr>
        <w:t xml:space="preserve">Below are the quantitative and qualitative findings from </w:t>
      </w:r>
      <w:r w:rsidR="00287DA6">
        <w:rPr>
          <w:rFonts w:ascii="Calibri" w:hAnsi="Calibri" w:cs="Calibri"/>
          <w:sz w:val="24"/>
          <w:szCs w:val="24"/>
        </w:rPr>
        <w:t xml:space="preserve">the survey and all interviews. </w:t>
      </w:r>
      <w:r w:rsidR="00DA1E5F" w:rsidRPr="005919AC">
        <w:rPr>
          <w:rFonts w:ascii="Calibri" w:hAnsi="Calibri" w:cs="Calibri"/>
          <w:sz w:val="24"/>
          <w:szCs w:val="24"/>
        </w:rPr>
        <w:t xml:space="preserve">Please see </w:t>
      </w:r>
      <w:r w:rsidR="00DA1E5F" w:rsidRPr="008B472E">
        <w:rPr>
          <w:rFonts w:ascii="Calibri" w:hAnsi="Calibri" w:cs="Calibri"/>
          <w:sz w:val="24"/>
          <w:szCs w:val="24"/>
        </w:rPr>
        <w:t xml:space="preserve">Appendix A for the Survey </w:t>
      </w:r>
      <w:r w:rsidR="00DD6C19" w:rsidRPr="008B472E">
        <w:rPr>
          <w:rFonts w:ascii="Calibri" w:hAnsi="Calibri" w:cs="Calibri"/>
          <w:sz w:val="24"/>
          <w:szCs w:val="24"/>
        </w:rPr>
        <w:t xml:space="preserve">and </w:t>
      </w:r>
      <w:r w:rsidR="00C355D5" w:rsidRPr="008B472E">
        <w:rPr>
          <w:rFonts w:ascii="Calibri" w:hAnsi="Calibri" w:cs="Calibri"/>
          <w:sz w:val="24"/>
          <w:szCs w:val="24"/>
        </w:rPr>
        <w:t>Appendix B</w:t>
      </w:r>
      <w:r w:rsidR="00C355D5" w:rsidRPr="005919AC">
        <w:rPr>
          <w:rFonts w:ascii="Calibri" w:hAnsi="Calibri" w:cs="Calibri"/>
          <w:sz w:val="24"/>
          <w:szCs w:val="24"/>
        </w:rPr>
        <w:t xml:space="preserve"> for the </w:t>
      </w:r>
      <w:r w:rsidR="005577FE">
        <w:rPr>
          <w:rFonts w:ascii="Calibri" w:hAnsi="Calibri" w:cs="Calibri"/>
          <w:sz w:val="24"/>
          <w:szCs w:val="24"/>
        </w:rPr>
        <w:t>Interview</w:t>
      </w:r>
      <w:r w:rsidR="00DD6C19">
        <w:rPr>
          <w:rFonts w:ascii="Calibri" w:hAnsi="Calibri" w:cs="Calibri"/>
          <w:sz w:val="24"/>
          <w:szCs w:val="24"/>
        </w:rPr>
        <w:t xml:space="preserve"> Protocol</w:t>
      </w:r>
      <w:r w:rsidR="00C355D5" w:rsidRPr="005919AC">
        <w:rPr>
          <w:rFonts w:ascii="Calibri" w:hAnsi="Calibri" w:cs="Calibri"/>
          <w:sz w:val="24"/>
          <w:szCs w:val="24"/>
        </w:rPr>
        <w:t>.</w:t>
      </w:r>
    </w:p>
    <w:p w14:paraId="4166B517" w14:textId="77777777" w:rsidR="007B5610" w:rsidRDefault="007B5610" w:rsidP="00DA1E5F">
      <w:pPr>
        <w:spacing w:after="0" w:line="276" w:lineRule="auto"/>
        <w:rPr>
          <w:rFonts w:ascii="Calibri" w:hAnsi="Calibri" w:cs="Calibri"/>
          <w:sz w:val="24"/>
          <w:szCs w:val="24"/>
        </w:rPr>
      </w:pPr>
    </w:p>
    <w:p w14:paraId="3C008A5C" w14:textId="106159E7" w:rsidR="00800E11" w:rsidRPr="00B4146C" w:rsidRDefault="00800E11" w:rsidP="00B4146C">
      <w:pPr>
        <w:pStyle w:val="Heading3"/>
      </w:pPr>
      <w:bookmarkStart w:id="8" w:name="_Toc222903979"/>
      <w:r w:rsidRPr="00B4146C">
        <w:t>Summary of Interviews</w:t>
      </w:r>
      <w:bookmarkEnd w:id="8"/>
    </w:p>
    <w:p w14:paraId="051BA169" w14:textId="77777777" w:rsidR="00800E11" w:rsidRDefault="00800E11" w:rsidP="00DA1E5F">
      <w:pPr>
        <w:spacing w:after="0" w:line="276" w:lineRule="auto"/>
        <w:rPr>
          <w:rFonts w:ascii="Calibri" w:hAnsi="Calibri" w:cs="Calibri"/>
          <w:sz w:val="24"/>
          <w:szCs w:val="24"/>
        </w:rPr>
      </w:pPr>
    </w:p>
    <w:p w14:paraId="22B580FF" w14:textId="0DA88B93" w:rsidR="006F6352" w:rsidRDefault="00B55C67" w:rsidP="00DA1E5F">
      <w:pPr>
        <w:spacing w:after="0" w:line="276" w:lineRule="auto"/>
        <w:rPr>
          <w:rFonts w:ascii="Calibri" w:hAnsi="Calibri" w:cs="Calibri"/>
          <w:sz w:val="24"/>
          <w:szCs w:val="24"/>
        </w:rPr>
      </w:pPr>
      <w:r>
        <w:rPr>
          <w:rFonts w:ascii="ZWAdobeF" w:hAnsi="ZWAdobeF" w:cs="ZWAdobeF"/>
          <w:sz w:val="2"/>
          <w:szCs w:val="2"/>
        </w:rPr>
        <w:t>89B</w:t>
      </w:r>
      <w:r w:rsidR="006F6352">
        <w:rPr>
          <w:rFonts w:ascii="Calibri" w:hAnsi="Calibri" w:cs="Calibri"/>
          <w:sz w:val="24"/>
          <w:szCs w:val="24"/>
        </w:rPr>
        <w:t>A total of 24 interviews</w:t>
      </w:r>
      <w:r>
        <w:rPr>
          <w:rFonts w:ascii="ZWAdobeF" w:hAnsi="ZWAdobeF" w:cs="ZWAdobeF"/>
          <w:sz w:val="2"/>
          <w:szCs w:val="2"/>
        </w:rPr>
        <w:t>4F</w:t>
      </w:r>
      <w:r w:rsidR="006F6352">
        <w:rPr>
          <w:rStyle w:val="FootnoteReference"/>
          <w:rFonts w:ascii="Calibri" w:hAnsi="Calibri" w:cs="Calibri"/>
          <w:sz w:val="24"/>
          <w:szCs w:val="24"/>
        </w:rPr>
        <w:footnoteReference w:id="5"/>
      </w:r>
      <w:r w:rsidR="006F6352">
        <w:rPr>
          <w:rFonts w:ascii="Calibri" w:hAnsi="Calibri" w:cs="Calibri"/>
          <w:sz w:val="24"/>
          <w:szCs w:val="24"/>
        </w:rPr>
        <w:t xml:space="preserve"> were completed with 119 participants (see Table </w:t>
      </w:r>
      <w:r w:rsidR="005577FE">
        <w:rPr>
          <w:rFonts w:ascii="Calibri" w:hAnsi="Calibri" w:cs="Calibri"/>
          <w:sz w:val="24"/>
          <w:szCs w:val="24"/>
        </w:rPr>
        <w:t>1</w:t>
      </w:r>
      <w:r w:rsidR="006F6352">
        <w:rPr>
          <w:rFonts w:ascii="Calibri" w:hAnsi="Calibri" w:cs="Calibri"/>
          <w:sz w:val="24"/>
          <w:szCs w:val="24"/>
        </w:rPr>
        <w:t xml:space="preserve">). All interviews were conducted virtually, except for two </w:t>
      </w:r>
      <w:r w:rsidR="005577FE">
        <w:rPr>
          <w:rFonts w:ascii="Calibri" w:hAnsi="Calibri" w:cs="Calibri"/>
          <w:sz w:val="24"/>
          <w:szCs w:val="24"/>
        </w:rPr>
        <w:t xml:space="preserve">focus group interviews </w:t>
      </w:r>
      <w:r w:rsidR="006F6352">
        <w:rPr>
          <w:rFonts w:ascii="Calibri" w:hAnsi="Calibri" w:cs="Calibri"/>
          <w:sz w:val="24"/>
          <w:szCs w:val="24"/>
        </w:rPr>
        <w:t>that were conducted in-person at the 2025 American Printing House (APH) Annual Meeting (with the Prison Braille Forum and with leaders from State Instructional Resource Centers</w:t>
      </w:r>
      <w:r w:rsidR="005577FE">
        <w:rPr>
          <w:rFonts w:ascii="Calibri" w:hAnsi="Calibri" w:cs="Calibri"/>
          <w:sz w:val="24"/>
          <w:szCs w:val="24"/>
        </w:rPr>
        <w:t xml:space="preserve"> (IRCs)</w:t>
      </w:r>
      <w:r w:rsidR="006F6352">
        <w:rPr>
          <w:rFonts w:ascii="Calibri" w:hAnsi="Calibri" w:cs="Calibri"/>
          <w:sz w:val="24"/>
          <w:szCs w:val="24"/>
        </w:rPr>
        <w:t xml:space="preserve">). For </w:t>
      </w:r>
      <w:r w:rsidR="00EC268F">
        <w:rPr>
          <w:rFonts w:ascii="Calibri" w:hAnsi="Calibri" w:cs="Calibri"/>
          <w:sz w:val="24"/>
          <w:szCs w:val="24"/>
        </w:rPr>
        <w:t xml:space="preserve">all virtual </w:t>
      </w:r>
      <w:r w:rsidR="006F6352">
        <w:rPr>
          <w:rFonts w:ascii="Calibri" w:hAnsi="Calibri" w:cs="Calibri"/>
          <w:sz w:val="24"/>
          <w:szCs w:val="24"/>
        </w:rPr>
        <w:t>focus group</w:t>
      </w:r>
      <w:r w:rsidR="005577FE">
        <w:rPr>
          <w:rFonts w:ascii="Calibri" w:hAnsi="Calibri" w:cs="Calibri"/>
          <w:sz w:val="24"/>
          <w:szCs w:val="24"/>
        </w:rPr>
        <w:t xml:space="preserve"> interview</w:t>
      </w:r>
      <w:r w:rsidR="00EC268F">
        <w:rPr>
          <w:rFonts w:ascii="Calibri" w:hAnsi="Calibri" w:cs="Calibri"/>
          <w:sz w:val="24"/>
          <w:szCs w:val="24"/>
        </w:rPr>
        <w:t>s</w:t>
      </w:r>
      <w:r w:rsidR="006F6352">
        <w:rPr>
          <w:rFonts w:ascii="Calibri" w:hAnsi="Calibri" w:cs="Calibri"/>
          <w:sz w:val="24"/>
          <w:szCs w:val="24"/>
        </w:rPr>
        <w:t>, participants were from the same state</w:t>
      </w:r>
      <w:r w:rsidR="00074DA8">
        <w:rPr>
          <w:rFonts w:ascii="Calibri" w:hAnsi="Calibri" w:cs="Calibri"/>
          <w:sz w:val="24"/>
          <w:szCs w:val="24"/>
        </w:rPr>
        <w:t>, and</w:t>
      </w:r>
      <w:r w:rsidR="00EC268F">
        <w:rPr>
          <w:rFonts w:ascii="Calibri" w:hAnsi="Calibri" w:cs="Calibri"/>
          <w:sz w:val="24"/>
          <w:szCs w:val="24"/>
        </w:rPr>
        <w:t xml:space="preserve"> over three-quarters</w:t>
      </w:r>
      <w:r w:rsidR="006F6352">
        <w:rPr>
          <w:rFonts w:ascii="Calibri" w:hAnsi="Calibri" w:cs="Calibri"/>
          <w:sz w:val="24"/>
          <w:szCs w:val="24"/>
        </w:rPr>
        <w:t xml:space="preserve"> (79%) were conducted with the three case study states. </w:t>
      </w:r>
      <w:r w:rsidR="00074DA8">
        <w:rPr>
          <w:rFonts w:ascii="Calibri" w:hAnsi="Calibri" w:cs="Calibri"/>
          <w:sz w:val="24"/>
          <w:szCs w:val="24"/>
        </w:rPr>
        <w:t>To gather additional perspectives, w</w:t>
      </w:r>
      <w:r w:rsidR="006F6352">
        <w:rPr>
          <w:rFonts w:ascii="Calibri" w:hAnsi="Calibri" w:cs="Calibri"/>
          <w:sz w:val="24"/>
          <w:szCs w:val="24"/>
        </w:rPr>
        <w:t xml:space="preserve">e also conducted interviews with participants from Texas, North Carolina, and Iowa. </w:t>
      </w:r>
      <w:r w:rsidR="00074DA8">
        <w:rPr>
          <w:rFonts w:ascii="Calibri" w:hAnsi="Calibri" w:cs="Calibri"/>
          <w:sz w:val="24"/>
          <w:szCs w:val="24"/>
        </w:rPr>
        <w:t xml:space="preserve">Overall, </w:t>
      </w:r>
      <w:r w:rsidR="00113C0F">
        <w:rPr>
          <w:rFonts w:ascii="Calibri" w:hAnsi="Calibri" w:cs="Calibri"/>
          <w:sz w:val="24"/>
          <w:szCs w:val="24"/>
        </w:rPr>
        <w:t>interview participants represented a range of stakeholders, including NIMAC Users, State Education Agency (SEA) staff, Local Education Agency (LEA) and Education Service District (ESD)</w:t>
      </w:r>
      <w:r>
        <w:rPr>
          <w:rFonts w:ascii="ZWAdobeF" w:hAnsi="ZWAdobeF" w:cs="ZWAdobeF"/>
          <w:sz w:val="2"/>
          <w:szCs w:val="2"/>
        </w:rPr>
        <w:t>5F</w:t>
      </w:r>
      <w:r w:rsidR="00087482">
        <w:rPr>
          <w:rStyle w:val="FootnoteReference"/>
          <w:rFonts w:ascii="Calibri" w:hAnsi="Calibri" w:cs="Calibri"/>
          <w:sz w:val="24"/>
          <w:szCs w:val="24"/>
        </w:rPr>
        <w:footnoteReference w:id="6"/>
      </w:r>
      <w:r w:rsidR="00113C0F">
        <w:rPr>
          <w:rFonts w:ascii="Calibri" w:hAnsi="Calibri" w:cs="Calibri"/>
          <w:sz w:val="24"/>
          <w:szCs w:val="24"/>
        </w:rPr>
        <w:t xml:space="preserve"> staff, Regional Agency and Cooperative staff, IRC staff, school staff (e.g., teachers, principals), and accessible media producers (AMPs).</w:t>
      </w:r>
    </w:p>
    <w:p w14:paraId="4D479572" w14:textId="77777777" w:rsidR="006F6352" w:rsidRDefault="006F6352" w:rsidP="00DA1E5F">
      <w:pPr>
        <w:spacing w:after="0" w:line="276" w:lineRule="auto"/>
        <w:rPr>
          <w:rFonts w:ascii="Calibri" w:hAnsi="Calibri" w:cs="Calibri"/>
          <w:sz w:val="24"/>
          <w:szCs w:val="24"/>
        </w:rPr>
      </w:pPr>
    </w:p>
    <w:p w14:paraId="36AA1DC0" w14:textId="4359935E" w:rsidR="006F6352" w:rsidRPr="004946C3" w:rsidRDefault="006F6352" w:rsidP="004946C3">
      <w:pPr>
        <w:pStyle w:val="Heading4"/>
      </w:pPr>
      <w:bookmarkStart w:id="9" w:name="_Toc222903980"/>
      <w:r w:rsidRPr="004946C3">
        <w:t xml:space="preserve">Table </w:t>
      </w:r>
      <w:r w:rsidR="005577FE" w:rsidRPr="004946C3">
        <w:t>1</w:t>
      </w:r>
      <w:r w:rsidRPr="004946C3">
        <w:t>. Summary of Case Study Interviews</w:t>
      </w:r>
      <w:bookmarkEnd w:id="9"/>
    </w:p>
    <w:p w14:paraId="37441D80" w14:textId="77777777" w:rsidR="006F6352" w:rsidRDefault="006F6352" w:rsidP="006F6352">
      <w:pPr>
        <w:spacing w:after="0" w:line="240" w:lineRule="auto"/>
        <w:rPr>
          <w:rFonts w:ascii="Times New Roman" w:hAnsi="Times New Roman" w:cs="Times New Roman"/>
          <w:sz w:val="24"/>
          <w:szCs w:val="24"/>
        </w:rPr>
      </w:pPr>
    </w:p>
    <w:tbl>
      <w:tblPr>
        <w:tblStyle w:val="GridTable4"/>
        <w:tblW w:w="9355" w:type="dxa"/>
        <w:tblLook w:val="04A0" w:firstRow="1" w:lastRow="0" w:firstColumn="1" w:lastColumn="0" w:noHBand="0" w:noVBand="1"/>
        <w:tblCaption w:val="Table 1. Summary of Case Study Interviews"/>
        <w:tblDescription w:val="Table 1 summarizes case study interviews by state or event. Ohio completed 7 interviews with 23 participants; Oregon completed 9 interviews with 34 participants; Utah completed 3 interviews with 7 participants; APH Annual Meeting completed 2 interviews with 47 participants; Iowa completed 1 interview with 3 participants; North Carolina completed 1 interview with 4 participants; Texas completed 1 interview with 1 participant. In total, 24 interviews were completed with 119 participants."/>
      </w:tblPr>
      <w:tblGrid>
        <w:gridCol w:w="2875"/>
        <w:gridCol w:w="3240"/>
        <w:gridCol w:w="3240"/>
      </w:tblGrid>
      <w:tr w:rsidR="006F6352" w:rsidRPr="00CD254C" w14:paraId="41F3804D" w14:textId="77777777" w:rsidTr="006F6352">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75" w:type="dxa"/>
            <w:shd w:val="clear" w:color="auto" w:fill="44546A" w:themeFill="text2"/>
            <w:vAlign w:val="center"/>
          </w:tcPr>
          <w:p w14:paraId="6145D319" w14:textId="53CAF55C" w:rsidR="006F6352" w:rsidRPr="00A43A85" w:rsidRDefault="006F6352" w:rsidP="00231C98">
            <w:pPr>
              <w:jc w:val="center"/>
              <w:rPr>
                <w:rFonts w:cstheme="minorHAnsi"/>
              </w:rPr>
            </w:pPr>
            <w:r>
              <w:t>Case Study State, Event, or Other State of Interest</w:t>
            </w:r>
          </w:p>
        </w:tc>
        <w:tc>
          <w:tcPr>
            <w:tcW w:w="3240" w:type="dxa"/>
            <w:shd w:val="clear" w:color="auto" w:fill="44546A" w:themeFill="text2"/>
            <w:vAlign w:val="center"/>
          </w:tcPr>
          <w:p w14:paraId="191E2BE3" w14:textId="77777777" w:rsidR="006F6352" w:rsidRPr="006F6352" w:rsidRDefault="006F6352" w:rsidP="00231C98">
            <w:pPr>
              <w:jc w:val="center"/>
              <w:cnfStyle w:val="100000000000" w:firstRow="1" w:lastRow="0" w:firstColumn="0" w:lastColumn="0" w:oddVBand="0" w:evenVBand="0" w:oddHBand="0" w:evenHBand="0" w:firstRowFirstColumn="0" w:firstRowLastColumn="0" w:lastRowFirstColumn="0" w:lastRowLastColumn="0"/>
              <w:rPr>
                <w:rFonts w:cstheme="minorHAnsi"/>
              </w:rPr>
            </w:pPr>
            <w:r w:rsidRPr="006F6352">
              <w:rPr>
                <w:rFonts w:cstheme="minorHAnsi"/>
              </w:rPr>
              <w:t>Total # of</w:t>
            </w:r>
          </w:p>
          <w:p w14:paraId="51043BD6" w14:textId="6FBBEEAF" w:rsidR="006F6352" w:rsidRPr="00A43A85" w:rsidRDefault="006F6352" w:rsidP="00231C98">
            <w:pPr>
              <w:jc w:val="center"/>
              <w:cnfStyle w:val="100000000000" w:firstRow="1" w:lastRow="0" w:firstColumn="0" w:lastColumn="0" w:oddVBand="0" w:evenVBand="0" w:oddHBand="0" w:evenHBand="0" w:firstRowFirstColumn="0" w:firstRowLastColumn="0" w:lastRowFirstColumn="0" w:lastRowLastColumn="0"/>
              <w:rPr>
                <w:rFonts w:cstheme="minorHAnsi"/>
                <w:b w:val="0"/>
                <w:bCs w:val="0"/>
              </w:rPr>
            </w:pPr>
            <w:r w:rsidRPr="006F6352">
              <w:rPr>
                <w:rFonts w:cstheme="minorHAnsi"/>
              </w:rPr>
              <w:t>Completed Interviews</w:t>
            </w:r>
          </w:p>
        </w:tc>
        <w:tc>
          <w:tcPr>
            <w:tcW w:w="3240" w:type="dxa"/>
            <w:shd w:val="clear" w:color="auto" w:fill="44546A" w:themeFill="text2"/>
            <w:vAlign w:val="center"/>
          </w:tcPr>
          <w:p w14:paraId="42C4350D" w14:textId="77777777" w:rsidR="006F6352" w:rsidRDefault="006F6352" w:rsidP="00231C98">
            <w:pPr>
              <w:jc w:val="center"/>
              <w:cnfStyle w:val="100000000000" w:firstRow="1" w:lastRow="0" w:firstColumn="0" w:lastColumn="0" w:oddVBand="0" w:evenVBand="0" w:oddHBand="0" w:evenHBand="0" w:firstRowFirstColumn="0" w:firstRowLastColumn="0" w:lastRowFirstColumn="0" w:lastRowLastColumn="0"/>
              <w:rPr>
                <w:rFonts w:cstheme="minorHAnsi"/>
                <w:b w:val="0"/>
                <w:bCs w:val="0"/>
              </w:rPr>
            </w:pPr>
            <w:r>
              <w:rPr>
                <w:rFonts w:cstheme="minorHAnsi"/>
              </w:rPr>
              <w:t xml:space="preserve">Total # of </w:t>
            </w:r>
          </w:p>
          <w:p w14:paraId="4EC04A69" w14:textId="15FF31CA" w:rsidR="006F6352" w:rsidRPr="00A43A85" w:rsidRDefault="006F6352" w:rsidP="00231C98">
            <w:pPr>
              <w:jc w:val="center"/>
              <w:cnfStyle w:val="100000000000" w:firstRow="1" w:lastRow="0" w:firstColumn="0" w:lastColumn="0" w:oddVBand="0" w:evenVBand="0" w:oddHBand="0" w:evenHBand="0" w:firstRowFirstColumn="0" w:firstRowLastColumn="0" w:lastRowFirstColumn="0" w:lastRowLastColumn="0"/>
              <w:rPr>
                <w:rFonts w:cstheme="minorHAnsi"/>
              </w:rPr>
            </w:pPr>
            <w:r>
              <w:rPr>
                <w:rFonts w:cstheme="minorHAnsi"/>
              </w:rPr>
              <w:t>Participants</w:t>
            </w:r>
            <w:r w:rsidR="00B55C67">
              <w:rPr>
                <w:rFonts w:ascii="ZWAdobeF" w:hAnsi="ZWAdobeF" w:cs="ZWAdobeF"/>
                <w:b w:val="0"/>
                <w:color w:val="auto"/>
                <w:sz w:val="2"/>
                <w:szCs w:val="2"/>
              </w:rPr>
              <w:t>6F</w:t>
            </w:r>
            <w:r>
              <w:rPr>
                <w:rStyle w:val="FootnoteReference"/>
                <w:rFonts w:cstheme="minorHAnsi"/>
              </w:rPr>
              <w:footnoteReference w:id="7"/>
            </w:r>
          </w:p>
        </w:tc>
      </w:tr>
      <w:tr w:rsidR="0099110D" w:rsidRPr="00CD254C" w14:paraId="14889944" w14:textId="77777777" w:rsidTr="008F26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5" w:type="dxa"/>
            <w:shd w:val="clear" w:color="auto" w:fill="D9E2F3" w:themeFill="accent1" w:themeFillTint="33"/>
            <w:vAlign w:val="center"/>
          </w:tcPr>
          <w:p w14:paraId="7982E479" w14:textId="58272C9E" w:rsidR="0099110D" w:rsidRPr="006F6352" w:rsidRDefault="0099110D" w:rsidP="00231C98">
            <w:pPr>
              <w:rPr>
                <w:b w:val="0"/>
                <w:bCs w:val="0"/>
              </w:rPr>
            </w:pPr>
            <w:r w:rsidRPr="006F6352">
              <w:rPr>
                <w:b w:val="0"/>
                <w:bCs w:val="0"/>
              </w:rPr>
              <w:t>Ohio</w:t>
            </w:r>
          </w:p>
        </w:tc>
        <w:tc>
          <w:tcPr>
            <w:tcW w:w="3240" w:type="dxa"/>
            <w:shd w:val="clear" w:color="auto" w:fill="D9E2F3" w:themeFill="accent1" w:themeFillTint="33"/>
            <w:vAlign w:val="center"/>
          </w:tcPr>
          <w:p w14:paraId="2D83EBBF" w14:textId="71E77DEA" w:rsidR="0099110D" w:rsidRDefault="0099110D" w:rsidP="00231C98">
            <w:pPr>
              <w:jc w:val="center"/>
              <w:cnfStyle w:val="000000100000" w:firstRow="0" w:lastRow="0" w:firstColumn="0" w:lastColumn="0" w:oddVBand="0" w:evenVBand="0" w:oddHBand="1" w:evenHBand="0" w:firstRowFirstColumn="0" w:firstRowLastColumn="0" w:lastRowFirstColumn="0" w:lastRowLastColumn="0"/>
            </w:pPr>
            <w:r>
              <w:t>7</w:t>
            </w:r>
          </w:p>
        </w:tc>
        <w:tc>
          <w:tcPr>
            <w:tcW w:w="3240" w:type="dxa"/>
            <w:shd w:val="clear" w:color="auto" w:fill="D9E2F3" w:themeFill="accent1" w:themeFillTint="33"/>
            <w:vAlign w:val="center"/>
          </w:tcPr>
          <w:p w14:paraId="38F7C68B" w14:textId="58D67603" w:rsidR="0099110D" w:rsidRDefault="0099110D" w:rsidP="00231C98">
            <w:pPr>
              <w:jc w:val="center"/>
              <w:cnfStyle w:val="000000100000" w:firstRow="0" w:lastRow="0" w:firstColumn="0" w:lastColumn="0" w:oddVBand="0" w:evenVBand="0" w:oddHBand="1" w:evenHBand="0" w:firstRowFirstColumn="0" w:firstRowLastColumn="0" w:lastRowFirstColumn="0" w:lastRowLastColumn="0"/>
            </w:pPr>
            <w:r>
              <w:t>23</w:t>
            </w:r>
          </w:p>
        </w:tc>
      </w:tr>
      <w:tr w:rsidR="0099110D" w:rsidRPr="00CD254C" w14:paraId="56BAEE62" w14:textId="77777777" w:rsidTr="00622515">
        <w:tc>
          <w:tcPr>
            <w:cnfStyle w:val="001000000000" w:firstRow="0" w:lastRow="0" w:firstColumn="1" w:lastColumn="0" w:oddVBand="0" w:evenVBand="0" w:oddHBand="0" w:evenHBand="0" w:firstRowFirstColumn="0" w:firstRowLastColumn="0" w:lastRowFirstColumn="0" w:lastRowLastColumn="0"/>
            <w:tcW w:w="2875" w:type="dxa"/>
            <w:vAlign w:val="center"/>
          </w:tcPr>
          <w:p w14:paraId="653BE633" w14:textId="53755907" w:rsidR="0099110D" w:rsidRPr="006F6352" w:rsidRDefault="0099110D" w:rsidP="00231C98">
            <w:pPr>
              <w:rPr>
                <w:b w:val="0"/>
                <w:bCs w:val="0"/>
              </w:rPr>
            </w:pPr>
            <w:r w:rsidRPr="006F6352">
              <w:rPr>
                <w:b w:val="0"/>
                <w:bCs w:val="0"/>
              </w:rPr>
              <w:t>Oregon</w:t>
            </w:r>
          </w:p>
        </w:tc>
        <w:tc>
          <w:tcPr>
            <w:tcW w:w="3240" w:type="dxa"/>
            <w:vAlign w:val="center"/>
          </w:tcPr>
          <w:p w14:paraId="45FB2ED5" w14:textId="57E543D9" w:rsidR="0099110D" w:rsidRDefault="0099110D" w:rsidP="00231C98">
            <w:pPr>
              <w:jc w:val="center"/>
              <w:cnfStyle w:val="000000000000" w:firstRow="0" w:lastRow="0" w:firstColumn="0" w:lastColumn="0" w:oddVBand="0" w:evenVBand="0" w:oddHBand="0" w:evenHBand="0" w:firstRowFirstColumn="0" w:firstRowLastColumn="0" w:lastRowFirstColumn="0" w:lastRowLastColumn="0"/>
            </w:pPr>
            <w:r>
              <w:t>9</w:t>
            </w:r>
          </w:p>
        </w:tc>
        <w:tc>
          <w:tcPr>
            <w:tcW w:w="3240" w:type="dxa"/>
            <w:vAlign w:val="center"/>
          </w:tcPr>
          <w:p w14:paraId="50408854" w14:textId="1168C1AA" w:rsidR="0099110D" w:rsidRDefault="0099110D" w:rsidP="00231C98">
            <w:pPr>
              <w:jc w:val="center"/>
              <w:cnfStyle w:val="000000000000" w:firstRow="0" w:lastRow="0" w:firstColumn="0" w:lastColumn="0" w:oddVBand="0" w:evenVBand="0" w:oddHBand="0" w:evenHBand="0" w:firstRowFirstColumn="0" w:firstRowLastColumn="0" w:lastRowFirstColumn="0" w:lastRowLastColumn="0"/>
            </w:pPr>
            <w:r>
              <w:t>34</w:t>
            </w:r>
          </w:p>
        </w:tc>
      </w:tr>
      <w:tr w:rsidR="0099110D" w:rsidRPr="00CD254C" w14:paraId="1D8A2D49" w14:textId="77777777" w:rsidTr="008F26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5" w:type="dxa"/>
            <w:shd w:val="clear" w:color="auto" w:fill="D9E2F3" w:themeFill="accent1" w:themeFillTint="33"/>
            <w:vAlign w:val="center"/>
          </w:tcPr>
          <w:p w14:paraId="2007CCCA" w14:textId="1E0482D5" w:rsidR="0099110D" w:rsidRPr="006F6352" w:rsidRDefault="0099110D" w:rsidP="00231C98">
            <w:pPr>
              <w:rPr>
                <w:b w:val="0"/>
                <w:bCs w:val="0"/>
              </w:rPr>
            </w:pPr>
            <w:r w:rsidRPr="006F6352">
              <w:rPr>
                <w:b w:val="0"/>
                <w:bCs w:val="0"/>
              </w:rPr>
              <w:t>Utah</w:t>
            </w:r>
          </w:p>
        </w:tc>
        <w:tc>
          <w:tcPr>
            <w:tcW w:w="3240" w:type="dxa"/>
            <w:shd w:val="clear" w:color="auto" w:fill="D9E2F3" w:themeFill="accent1" w:themeFillTint="33"/>
            <w:vAlign w:val="center"/>
          </w:tcPr>
          <w:p w14:paraId="664835FA" w14:textId="2E1BF4A8" w:rsidR="0099110D" w:rsidRDefault="0099110D" w:rsidP="00231C98">
            <w:pPr>
              <w:jc w:val="center"/>
              <w:cnfStyle w:val="000000100000" w:firstRow="0" w:lastRow="0" w:firstColumn="0" w:lastColumn="0" w:oddVBand="0" w:evenVBand="0" w:oddHBand="1" w:evenHBand="0" w:firstRowFirstColumn="0" w:firstRowLastColumn="0" w:lastRowFirstColumn="0" w:lastRowLastColumn="0"/>
            </w:pPr>
            <w:r>
              <w:t>3</w:t>
            </w:r>
          </w:p>
        </w:tc>
        <w:tc>
          <w:tcPr>
            <w:tcW w:w="3240" w:type="dxa"/>
            <w:shd w:val="clear" w:color="auto" w:fill="D9E2F3" w:themeFill="accent1" w:themeFillTint="33"/>
            <w:vAlign w:val="center"/>
          </w:tcPr>
          <w:p w14:paraId="7B4B946E" w14:textId="01858B41" w:rsidR="0099110D" w:rsidRDefault="0099110D" w:rsidP="00231C98">
            <w:pPr>
              <w:jc w:val="center"/>
              <w:cnfStyle w:val="000000100000" w:firstRow="0" w:lastRow="0" w:firstColumn="0" w:lastColumn="0" w:oddVBand="0" w:evenVBand="0" w:oddHBand="1" w:evenHBand="0" w:firstRowFirstColumn="0" w:firstRowLastColumn="0" w:lastRowFirstColumn="0" w:lastRowLastColumn="0"/>
            </w:pPr>
            <w:r>
              <w:t>7</w:t>
            </w:r>
          </w:p>
        </w:tc>
      </w:tr>
      <w:tr w:rsidR="0099110D" w:rsidRPr="00CD254C" w14:paraId="78763A07" w14:textId="77777777" w:rsidTr="00622515">
        <w:tc>
          <w:tcPr>
            <w:cnfStyle w:val="001000000000" w:firstRow="0" w:lastRow="0" w:firstColumn="1" w:lastColumn="0" w:oddVBand="0" w:evenVBand="0" w:oddHBand="0" w:evenHBand="0" w:firstRowFirstColumn="0" w:firstRowLastColumn="0" w:lastRowFirstColumn="0" w:lastRowLastColumn="0"/>
            <w:tcW w:w="2875" w:type="dxa"/>
            <w:vAlign w:val="center"/>
          </w:tcPr>
          <w:p w14:paraId="358DE1DD" w14:textId="77C6525F" w:rsidR="0099110D" w:rsidRPr="006F6352" w:rsidRDefault="0099110D" w:rsidP="00231C98">
            <w:pPr>
              <w:rPr>
                <w:rFonts w:cstheme="minorHAnsi"/>
                <w:b w:val="0"/>
                <w:bCs w:val="0"/>
              </w:rPr>
            </w:pPr>
            <w:r w:rsidRPr="006F6352">
              <w:rPr>
                <w:b w:val="0"/>
                <w:bCs w:val="0"/>
              </w:rPr>
              <w:t>APH Annual Meeting</w:t>
            </w:r>
          </w:p>
        </w:tc>
        <w:tc>
          <w:tcPr>
            <w:tcW w:w="3240" w:type="dxa"/>
            <w:vAlign w:val="center"/>
          </w:tcPr>
          <w:p w14:paraId="142FD445" w14:textId="0E52F808" w:rsidR="0099110D" w:rsidRPr="004529EC" w:rsidRDefault="0099110D" w:rsidP="00231C98">
            <w:pPr>
              <w:jc w:val="center"/>
              <w:cnfStyle w:val="000000000000" w:firstRow="0" w:lastRow="0" w:firstColumn="0" w:lastColumn="0" w:oddVBand="0" w:evenVBand="0" w:oddHBand="0" w:evenHBand="0" w:firstRowFirstColumn="0" w:firstRowLastColumn="0" w:lastRowFirstColumn="0" w:lastRowLastColumn="0"/>
            </w:pPr>
            <w:r>
              <w:t>2</w:t>
            </w:r>
          </w:p>
        </w:tc>
        <w:tc>
          <w:tcPr>
            <w:tcW w:w="3240" w:type="dxa"/>
            <w:vAlign w:val="center"/>
          </w:tcPr>
          <w:p w14:paraId="1F1EB799" w14:textId="20020594" w:rsidR="0099110D" w:rsidRPr="004529EC" w:rsidRDefault="0099110D" w:rsidP="00231C98">
            <w:pPr>
              <w:jc w:val="center"/>
              <w:cnfStyle w:val="000000000000" w:firstRow="0" w:lastRow="0" w:firstColumn="0" w:lastColumn="0" w:oddVBand="0" w:evenVBand="0" w:oddHBand="0" w:evenHBand="0" w:firstRowFirstColumn="0" w:firstRowLastColumn="0" w:lastRowFirstColumn="0" w:lastRowLastColumn="0"/>
            </w:pPr>
            <w:r>
              <w:t>47</w:t>
            </w:r>
          </w:p>
        </w:tc>
      </w:tr>
      <w:tr w:rsidR="0099110D" w:rsidRPr="00CD254C" w14:paraId="720790BD" w14:textId="77777777" w:rsidTr="008F26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5" w:type="dxa"/>
            <w:shd w:val="clear" w:color="auto" w:fill="D9E2F3" w:themeFill="accent1" w:themeFillTint="33"/>
            <w:vAlign w:val="center"/>
          </w:tcPr>
          <w:p w14:paraId="6A9D0963" w14:textId="17488698" w:rsidR="0099110D" w:rsidRPr="006F6352" w:rsidRDefault="0099110D" w:rsidP="00231C98">
            <w:pPr>
              <w:rPr>
                <w:rFonts w:cstheme="minorHAnsi"/>
                <w:b w:val="0"/>
                <w:bCs w:val="0"/>
              </w:rPr>
            </w:pPr>
            <w:r w:rsidRPr="006F6352">
              <w:rPr>
                <w:b w:val="0"/>
                <w:bCs w:val="0"/>
              </w:rPr>
              <w:t>Iowa</w:t>
            </w:r>
          </w:p>
        </w:tc>
        <w:tc>
          <w:tcPr>
            <w:tcW w:w="3240" w:type="dxa"/>
            <w:shd w:val="clear" w:color="auto" w:fill="D9E2F3" w:themeFill="accent1" w:themeFillTint="33"/>
            <w:vAlign w:val="center"/>
          </w:tcPr>
          <w:p w14:paraId="178DC210" w14:textId="546041DF" w:rsidR="0099110D" w:rsidRPr="009631A0" w:rsidRDefault="0099110D" w:rsidP="00231C98">
            <w:pPr>
              <w:jc w:val="center"/>
              <w:cnfStyle w:val="000000100000" w:firstRow="0" w:lastRow="0" w:firstColumn="0" w:lastColumn="0" w:oddVBand="0" w:evenVBand="0" w:oddHBand="1" w:evenHBand="0" w:firstRowFirstColumn="0" w:firstRowLastColumn="0" w:lastRowFirstColumn="0" w:lastRowLastColumn="0"/>
            </w:pPr>
            <w:r>
              <w:t>1</w:t>
            </w:r>
          </w:p>
        </w:tc>
        <w:tc>
          <w:tcPr>
            <w:tcW w:w="3240" w:type="dxa"/>
            <w:shd w:val="clear" w:color="auto" w:fill="D9E2F3" w:themeFill="accent1" w:themeFillTint="33"/>
            <w:vAlign w:val="center"/>
          </w:tcPr>
          <w:p w14:paraId="257E1C11" w14:textId="0BCBDAE3" w:rsidR="0099110D" w:rsidRPr="009631A0" w:rsidRDefault="0099110D" w:rsidP="00231C98">
            <w:pPr>
              <w:jc w:val="center"/>
              <w:cnfStyle w:val="000000100000" w:firstRow="0" w:lastRow="0" w:firstColumn="0" w:lastColumn="0" w:oddVBand="0" w:evenVBand="0" w:oddHBand="1" w:evenHBand="0" w:firstRowFirstColumn="0" w:firstRowLastColumn="0" w:lastRowFirstColumn="0" w:lastRowLastColumn="0"/>
            </w:pPr>
            <w:r>
              <w:t>3</w:t>
            </w:r>
          </w:p>
        </w:tc>
      </w:tr>
      <w:tr w:rsidR="0099110D" w:rsidRPr="00CD254C" w14:paraId="4BA3C21A" w14:textId="77777777" w:rsidTr="00622515">
        <w:tc>
          <w:tcPr>
            <w:cnfStyle w:val="001000000000" w:firstRow="0" w:lastRow="0" w:firstColumn="1" w:lastColumn="0" w:oddVBand="0" w:evenVBand="0" w:oddHBand="0" w:evenHBand="0" w:firstRowFirstColumn="0" w:firstRowLastColumn="0" w:lastRowFirstColumn="0" w:lastRowLastColumn="0"/>
            <w:tcW w:w="2875" w:type="dxa"/>
            <w:vAlign w:val="center"/>
          </w:tcPr>
          <w:p w14:paraId="27489753" w14:textId="6060F29E" w:rsidR="0099110D" w:rsidRPr="006F6352" w:rsidRDefault="0099110D" w:rsidP="00231C98">
            <w:pPr>
              <w:rPr>
                <w:rFonts w:cstheme="minorHAnsi"/>
                <w:b w:val="0"/>
                <w:bCs w:val="0"/>
              </w:rPr>
            </w:pPr>
            <w:r w:rsidRPr="006F6352">
              <w:rPr>
                <w:b w:val="0"/>
                <w:bCs w:val="0"/>
              </w:rPr>
              <w:t>North Carolina</w:t>
            </w:r>
          </w:p>
        </w:tc>
        <w:tc>
          <w:tcPr>
            <w:tcW w:w="3240" w:type="dxa"/>
            <w:vAlign w:val="center"/>
          </w:tcPr>
          <w:p w14:paraId="7881C552" w14:textId="305B00C4" w:rsidR="0099110D" w:rsidRPr="009631A0" w:rsidRDefault="0099110D" w:rsidP="00231C98">
            <w:pPr>
              <w:jc w:val="center"/>
              <w:cnfStyle w:val="000000000000" w:firstRow="0" w:lastRow="0" w:firstColumn="0" w:lastColumn="0" w:oddVBand="0" w:evenVBand="0" w:oddHBand="0" w:evenHBand="0" w:firstRowFirstColumn="0" w:firstRowLastColumn="0" w:lastRowFirstColumn="0" w:lastRowLastColumn="0"/>
            </w:pPr>
            <w:r>
              <w:t>1</w:t>
            </w:r>
          </w:p>
        </w:tc>
        <w:tc>
          <w:tcPr>
            <w:tcW w:w="3240" w:type="dxa"/>
            <w:vAlign w:val="center"/>
          </w:tcPr>
          <w:p w14:paraId="26E21DF3" w14:textId="601B340A" w:rsidR="0099110D" w:rsidRPr="009631A0" w:rsidRDefault="0099110D" w:rsidP="00231C98">
            <w:pPr>
              <w:jc w:val="center"/>
              <w:cnfStyle w:val="000000000000" w:firstRow="0" w:lastRow="0" w:firstColumn="0" w:lastColumn="0" w:oddVBand="0" w:evenVBand="0" w:oddHBand="0" w:evenHBand="0" w:firstRowFirstColumn="0" w:firstRowLastColumn="0" w:lastRowFirstColumn="0" w:lastRowLastColumn="0"/>
            </w:pPr>
            <w:r>
              <w:t>4</w:t>
            </w:r>
          </w:p>
        </w:tc>
      </w:tr>
      <w:tr w:rsidR="0099110D" w:rsidRPr="00CD254C" w14:paraId="5B879F61" w14:textId="77777777" w:rsidTr="008F26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5" w:type="dxa"/>
            <w:shd w:val="clear" w:color="auto" w:fill="D9E2F3" w:themeFill="accent1" w:themeFillTint="33"/>
            <w:vAlign w:val="center"/>
          </w:tcPr>
          <w:p w14:paraId="645A3C94" w14:textId="19675922" w:rsidR="0099110D" w:rsidRPr="006F6352" w:rsidRDefault="0099110D" w:rsidP="00231C98">
            <w:pPr>
              <w:rPr>
                <w:rFonts w:cstheme="minorHAnsi"/>
                <w:b w:val="0"/>
                <w:bCs w:val="0"/>
              </w:rPr>
            </w:pPr>
            <w:r w:rsidRPr="006F6352">
              <w:rPr>
                <w:b w:val="0"/>
                <w:bCs w:val="0"/>
              </w:rPr>
              <w:t>Texas</w:t>
            </w:r>
          </w:p>
        </w:tc>
        <w:tc>
          <w:tcPr>
            <w:tcW w:w="3240" w:type="dxa"/>
            <w:shd w:val="clear" w:color="auto" w:fill="D9E2F3" w:themeFill="accent1" w:themeFillTint="33"/>
            <w:vAlign w:val="center"/>
          </w:tcPr>
          <w:p w14:paraId="760A130E" w14:textId="2CD33416" w:rsidR="0099110D" w:rsidRPr="009631A0" w:rsidRDefault="0099110D" w:rsidP="00231C98">
            <w:pPr>
              <w:jc w:val="center"/>
              <w:cnfStyle w:val="000000100000" w:firstRow="0" w:lastRow="0" w:firstColumn="0" w:lastColumn="0" w:oddVBand="0" w:evenVBand="0" w:oddHBand="1" w:evenHBand="0" w:firstRowFirstColumn="0" w:firstRowLastColumn="0" w:lastRowFirstColumn="0" w:lastRowLastColumn="0"/>
            </w:pPr>
            <w:r>
              <w:t>1</w:t>
            </w:r>
          </w:p>
        </w:tc>
        <w:tc>
          <w:tcPr>
            <w:tcW w:w="3240" w:type="dxa"/>
            <w:shd w:val="clear" w:color="auto" w:fill="D9E2F3" w:themeFill="accent1" w:themeFillTint="33"/>
            <w:vAlign w:val="center"/>
          </w:tcPr>
          <w:p w14:paraId="74D2F180" w14:textId="3D81F574" w:rsidR="0099110D" w:rsidRPr="009631A0" w:rsidRDefault="0099110D" w:rsidP="00231C98">
            <w:pPr>
              <w:jc w:val="center"/>
              <w:cnfStyle w:val="000000100000" w:firstRow="0" w:lastRow="0" w:firstColumn="0" w:lastColumn="0" w:oddVBand="0" w:evenVBand="0" w:oddHBand="1" w:evenHBand="0" w:firstRowFirstColumn="0" w:firstRowLastColumn="0" w:lastRowFirstColumn="0" w:lastRowLastColumn="0"/>
            </w:pPr>
            <w:r>
              <w:t>1</w:t>
            </w:r>
          </w:p>
        </w:tc>
      </w:tr>
      <w:tr w:rsidR="0099110D" w:rsidRPr="00CD254C" w14:paraId="611C072E" w14:textId="77777777" w:rsidTr="00622515">
        <w:tc>
          <w:tcPr>
            <w:cnfStyle w:val="001000000000" w:firstRow="0" w:lastRow="0" w:firstColumn="1" w:lastColumn="0" w:oddVBand="0" w:evenVBand="0" w:oddHBand="0" w:evenHBand="0" w:firstRowFirstColumn="0" w:firstRowLastColumn="0" w:lastRowFirstColumn="0" w:lastRowLastColumn="0"/>
            <w:tcW w:w="2875" w:type="dxa"/>
            <w:vAlign w:val="center"/>
          </w:tcPr>
          <w:p w14:paraId="1F6583D2" w14:textId="4B2D9AF6" w:rsidR="0099110D" w:rsidRDefault="0099110D" w:rsidP="00231C98">
            <w:pPr>
              <w:rPr>
                <w:rFonts w:cstheme="minorHAnsi"/>
              </w:rPr>
            </w:pPr>
            <w:r w:rsidRPr="00260D3E">
              <w:t>Totals</w:t>
            </w:r>
          </w:p>
        </w:tc>
        <w:tc>
          <w:tcPr>
            <w:tcW w:w="3240" w:type="dxa"/>
            <w:vAlign w:val="center"/>
          </w:tcPr>
          <w:p w14:paraId="0D0155D1" w14:textId="2F9EA191" w:rsidR="0099110D" w:rsidRPr="009631A0" w:rsidRDefault="0099110D" w:rsidP="00231C98">
            <w:pPr>
              <w:jc w:val="center"/>
              <w:cnfStyle w:val="000000000000" w:firstRow="0" w:lastRow="0" w:firstColumn="0" w:lastColumn="0" w:oddVBand="0" w:evenVBand="0" w:oddHBand="0" w:evenHBand="0" w:firstRowFirstColumn="0" w:firstRowLastColumn="0" w:lastRowFirstColumn="0" w:lastRowLastColumn="0"/>
            </w:pPr>
            <w:r w:rsidRPr="00260D3E">
              <w:rPr>
                <w:b/>
                <w:bCs/>
              </w:rPr>
              <w:t>24</w:t>
            </w:r>
          </w:p>
        </w:tc>
        <w:tc>
          <w:tcPr>
            <w:tcW w:w="3240" w:type="dxa"/>
            <w:vAlign w:val="center"/>
          </w:tcPr>
          <w:p w14:paraId="147ED773" w14:textId="73A8F51D" w:rsidR="0099110D" w:rsidRPr="009631A0" w:rsidRDefault="0099110D" w:rsidP="00231C98">
            <w:pPr>
              <w:jc w:val="center"/>
              <w:cnfStyle w:val="000000000000" w:firstRow="0" w:lastRow="0" w:firstColumn="0" w:lastColumn="0" w:oddVBand="0" w:evenVBand="0" w:oddHBand="0" w:evenHBand="0" w:firstRowFirstColumn="0" w:firstRowLastColumn="0" w:lastRowFirstColumn="0" w:lastRowLastColumn="0"/>
            </w:pPr>
            <w:r w:rsidRPr="00260D3E">
              <w:rPr>
                <w:b/>
                <w:bCs/>
              </w:rPr>
              <w:t>119</w:t>
            </w:r>
          </w:p>
        </w:tc>
      </w:tr>
    </w:tbl>
    <w:p w14:paraId="2760F64E" w14:textId="77777777" w:rsidR="000877D9" w:rsidRPr="005919AC" w:rsidRDefault="000877D9" w:rsidP="006A0312">
      <w:pPr>
        <w:spacing w:after="0" w:line="240" w:lineRule="auto"/>
        <w:rPr>
          <w:rFonts w:ascii="Calibri" w:hAnsi="Calibri" w:cs="Calibri"/>
          <w:sz w:val="24"/>
          <w:szCs w:val="24"/>
        </w:rPr>
      </w:pPr>
    </w:p>
    <w:p w14:paraId="12A04A2D" w14:textId="60E9FF01" w:rsidR="006C0B3D" w:rsidRPr="00B4146C" w:rsidRDefault="00800E11" w:rsidP="00B4146C">
      <w:pPr>
        <w:pStyle w:val="Heading3"/>
      </w:pPr>
      <w:bookmarkStart w:id="10" w:name="_Toc222903981"/>
      <w:r w:rsidRPr="00B4146C">
        <w:t xml:space="preserve">Survey </w:t>
      </w:r>
      <w:r w:rsidR="0094444E" w:rsidRPr="00B4146C">
        <w:t>Respon</w:t>
      </w:r>
      <w:r w:rsidR="00E251EC" w:rsidRPr="00B4146C">
        <w:t>se</w:t>
      </w:r>
      <w:r w:rsidR="001E5500" w:rsidRPr="00B4146C">
        <w:t xml:space="preserve"> </w:t>
      </w:r>
      <w:r w:rsidRPr="00B4146C">
        <w:t>Data</w:t>
      </w:r>
      <w:bookmarkEnd w:id="10"/>
    </w:p>
    <w:p w14:paraId="18B4305F" w14:textId="1E750BAE" w:rsidR="006C0B3D" w:rsidRPr="005919AC" w:rsidRDefault="006C0B3D" w:rsidP="006C0B3D">
      <w:pPr>
        <w:spacing w:after="0" w:line="240" w:lineRule="auto"/>
        <w:rPr>
          <w:rFonts w:ascii="Calibri" w:hAnsi="Calibri" w:cs="Calibri"/>
          <w:color w:val="A80000"/>
          <w:sz w:val="24"/>
          <w:szCs w:val="24"/>
        </w:rPr>
      </w:pPr>
    </w:p>
    <w:p w14:paraId="2E6F91D5" w14:textId="7A25CC60" w:rsidR="003530C8" w:rsidRDefault="00B55C67" w:rsidP="001C1305">
      <w:pPr>
        <w:spacing w:after="0" w:line="276" w:lineRule="auto"/>
        <w:rPr>
          <w:rFonts w:ascii="Calibri" w:hAnsi="Calibri" w:cs="Calibri"/>
          <w:sz w:val="24"/>
          <w:szCs w:val="24"/>
        </w:rPr>
      </w:pPr>
      <w:r>
        <w:rPr>
          <w:rFonts w:ascii="ZWAdobeF" w:hAnsi="ZWAdobeF" w:cs="ZWAdobeF"/>
          <w:sz w:val="2"/>
          <w:szCs w:val="2"/>
        </w:rPr>
        <w:t>90B</w:t>
      </w:r>
      <w:r w:rsidR="0087454E">
        <w:rPr>
          <w:rFonts w:ascii="Calibri" w:hAnsi="Calibri" w:cs="Calibri"/>
          <w:sz w:val="24"/>
          <w:szCs w:val="24"/>
        </w:rPr>
        <w:t xml:space="preserve">As noted above, the </w:t>
      </w:r>
      <w:r w:rsidR="00E11B1B">
        <w:rPr>
          <w:rFonts w:ascii="Calibri" w:hAnsi="Calibri" w:cs="Calibri"/>
          <w:sz w:val="24"/>
          <w:szCs w:val="24"/>
        </w:rPr>
        <w:t xml:space="preserve">online </w:t>
      </w:r>
      <w:r w:rsidR="0087454E">
        <w:rPr>
          <w:rFonts w:ascii="Calibri" w:hAnsi="Calibri" w:cs="Calibri"/>
          <w:sz w:val="24"/>
          <w:szCs w:val="24"/>
        </w:rPr>
        <w:t xml:space="preserve">survey was distributed through four distinct links (one for each case study state, and a </w:t>
      </w:r>
      <w:r w:rsidR="0030099F">
        <w:rPr>
          <w:rFonts w:ascii="Calibri" w:hAnsi="Calibri" w:cs="Calibri"/>
          <w:sz w:val="24"/>
          <w:szCs w:val="24"/>
        </w:rPr>
        <w:t xml:space="preserve">national </w:t>
      </w:r>
      <w:r w:rsidR="0087454E">
        <w:rPr>
          <w:rFonts w:ascii="Calibri" w:hAnsi="Calibri" w:cs="Calibri"/>
          <w:sz w:val="24"/>
          <w:szCs w:val="24"/>
        </w:rPr>
        <w:t xml:space="preserve">link for all other states). </w:t>
      </w:r>
      <w:r w:rsidR="003530C8">
        <w:rPr>
          <w:rFonts w:ascii="Calibri" w:hAnsi="Calibri" w:cs="Calibri"/>
          <w:sz w:val="24"/>
          <w:szCs w:val="24"/>
        </w:rPr>
        <w:t>The number of respondents</w:t>
      </w:r>
      <w:r w:rsidR="0087454E">
        <w:rPr>
          <w:rFonts w:ascii="Calibri" w:hAnsi="Calibri" w:cs="Calibri"/>
          <w:sz w:val="24"/>
          <w:szCs w:val="24"/>
        </w:rPr>
        <w:t xml:space="preserve"> for</w:t>
      </w:r>
      <w:r w:rsidR="003530C8">
        <w:rPr>
          <w:rFonts w:ascii="Calibri" w:hAnsi="Calibri" w:cs="Calibri"/>
          <w:sz w:val="24"/>
          <w:szCs w:val="24"/>
        </w:rPr>
        <w:t xml:space="preserve"> each survey </w:t>
      </w:r>
      <w:r w:rsidR="0069159F">
        <w:rPr>
          <w:rFonts w:ascii="Calibri" w:hAnsi="Calibri" w:cs="Calibri"/>
          <w:sz w:val="24"/>
          <w:szCs w:val="24"/>
        </w:rPr>
        <w:lastRenderedPageBreak/>
        <w:t xml:space="preserve">and their </w:t>
      </w:r>
      <w:r w:rsidR="00E92D26">
        <w:rPr>
          <w:rFonts w:ascii="Calibri" w:hAnsi="Calibri" w:cs="Calibri"/>
          <w:sz w:val="24"/>
          <w:szCs w:val="24"/>
        </w:rPr>
        <w:t xml:space="preserve">respective </w:t>
      </w:r>
      <w:r w:rsidR="0069159F">
        <w:rPr>
          <w:rFonts w:ascii="Calibri" w:hAnsi="Calibri" w:cs="Calibri"/>
          <w:sz w:val="24"/>
          <w:szCs w:val="24"/>
        </w:rPr>
        <w:t xml:space="preserve">states </w:t>
      </w:r>
      <w:r w:rsidR="003530C8">
        <w:rPr>
          <w:rFonts w:ascii="Calibri" w:hAnsi="Calibri" w:cs="Calibri"/>
          <w:sz w:val="24"/>
          <w:szCs w:val="24"/>
        </w:rPr>
        <w:t xml:space="preserve">are presented in Table </w:t>
      </w:r>
      <w:r w:rsidR="00113C0F">
        <w:rPr>
          <w:rFonts w:ascii="Calibri" w:hAnsi="Calibri" w:cs="Calibri"/>
          <w:sz w:val="24"/>
          <w:szCs w:val="24"/>
        </w:rPr>
        <w:t>2</w:t>
      </w:r>
      <w:r w:rsidR="003530C8">
        <w:rPr>
          <w:rFonts w:ascii="Calibri" w:hAnsi="Calibri" w:cs="Calibri"/>
          <w:sz w:val="24"/>
          <w:szCs w:val="24"/>
        </w:rPr>
        <w:t xml:space="preserve">. </w:t>
      </w:r>
      <w:r w:rsidR="00E92D26">
        <w:rPr>
          <w:rFonts w:ascii="Calibri" w:hAnsi="Calibri" w:cs="Calibri"/>
          <w:sz w:val="24"/>
          <w:szCs w:val="24"/>
        </w:rPr>
        <w:t>A</w:t>
      </w:r>
      <w:r w:rsidR="0069159F">
        <w:rPr>
          <w:rFonts w:ascii="Calibri" w:hAnsi="Calibri" w:cs="Calibri"/>
          <w:sz w:val="24"/>
          <w:szCs w:val="24"/>
        </w:rPr>
        <w:t xml:space="preserve"> total of 329 survey respon</w:t>
      </w:r>
      <w:r w:rsidR="00DD7A78">
        <w:rPr>
          <w:rFonts w:ascii="Calibri" w:hAnsi="Calibri" w:cs="Calibri"/>
          <w:sz w:val="24"/>
          <w:szCs w:val="24"/>
        </w:rPr>
        <w:t>ses</w:t>
      </w:r>
      <w:r w:rsidR="0069159F">
        <w:rPr>
          <w:rFonts w:ascii="Calibri" w:hAnsi="Calibri" w:cs="Calibri"/>
          <w:sz w:val="24"/>
          <w:szCs w:val="24"/>
        </w:rPr>
        <w:t xml:space="preserve"> </w:t>
      </w:r>
      <w:r w:rsidR="00DD7A78">
        <w:rPr>
          <w:rFonts w:ascii="Calibri" w:hAnsi="Calibri" w:cs="Calibri"/>
          <w:sz w:val="24"/>
          <w:szCs w:val="24"/>
        </w:rPr>
        <w:t xml:space="preserve">from </w:t>
      </w:r>
      <w:r w:rsidR="0069159F">
        <w:rPr>
          <w:rFonts w:ascii="Calibri" w:hAnsi="Calibri" w:cs="Calibri"/>
          <w:sz w:val="24"/>
          <w:szCs w:val="24"/>
        </w:rPr>
        <w:t>38 states</w:t>
      </w:r>
      <w:r w:rsidR="00E92D26">
        <w:rPr>
          <w:rFonts w:ascii="Calibri" w:hAnsi="Calibri" w:cs="Calibri"/>
          <w:sz w:val="24"/>
          <w:szCs w:val="24"/>
        </w:rPr>
        <w:t xml:space="preserve"> are included in this report.</w:t>
      </w:r>
      <w:r>
        <w:rPr>
          <w:rFonts w:ascii="ZWAdobeF" w:hAnsi="ZWAdobeF" w:cs="ZWAdobeF"/>
          <w:sz w:val="2"/>
          <w:szCs w:val="2"/>
        </w:rPr>
        <w:t>7F</w:t>
      </w:r>
      <w:r w:rsidR="0069159F">
        <w:rPr>
          <w:rStyle w:val="FootnoteReference"/>
          <w:rFonts w:ascii="Calibri" w:hAnsi="Calibri" w:cs="Calibri"/>
          <w:sz w:val="24"/>
          <w:szCs w:val="24"/>
        </w:rPr>
        <w:footnoteReference w:id="8"/>
      </w:r>
      <w:r w:rsidR="0069159F">
        <w:rPr>
          <w:rFonts w:ascii="Calibri" w:hAnsi="Calibri" w:cs="Calibri"/>
          <w:sz w:val="24"/>
          <w:szCs w:val="24"/>
        </w:rPr>
        <w:t xml:space="preserve"> </w:t>
      </w:r>
    </w:p>
    <w:p w14:paraId="10EE5018" w14:textId="21835980" w:rsidR="004B202F" w:rsidRPr="005919AC" w:rsidRDefault="004B202F" w:rsidP="00DF285E">
      <w:pPr>
        <w:spacing w:after="0" w:line="240" w:lineRule="auto"/>
        <w:rPr>
          <w:rFonts w:ascii="Calibri" w:hAnsi="Calibri" w:cs="Calibri"/>
          <w:sz w:val="24"/>
          <w:szCs w:val="24"/>
        </w:rPr>
      </w:pPr>
    </w:p>
    <w:p w14:paraId="0CE55008" w14:textId="271B39B6" w:rsidR="004B202F" w:rsidRPr="005919AC" w:rsidRDefault="004B202F" w:rsidP="004946C3">
      <w:pPr>
        <w:pStyle w:val="Heading4"/>
      </w:pPr>
      <w:bookmarkStart w:id="11" w:name="_Toc222903982"/>
      <w:r w:rsidRPr="005919AC">
        <w:t xml:space="preserve">Table </w:t>
      </w:r>
      <w:r w:rsidR="00113C0F">
        <w:t>2</w:t>
      </w:r>
      <w:r w:rsidRPr="005919AC">
        <w:t xml:space="preserve">. </w:t>
      </w:r>
      <w:r w:rsidR="003530C8">
        <w:t>Respondent Information</w:t>
      </w:r>
      <w:r w:rsidR="00E251EC" w:rsidRPr="005919AC">
        <w:t xml:space="preserve"> </w:t>
      </w:r>
      <w:r w:rsidRPr="005919AC">
        <w:t xml:space="preserve">by </w:t>
      </w:r>
      <w:r w:rsidR="00E251EC" w:rsidRPr="005919AC">
        <w:t>Survey</w:t>
      </w:r>
      <w:bookmarkEnd w:id="11"/>
    </w:p>
    <w:p w14:paraId="2FCD1B5B" w14:textId="77777777" w:rsidR="00D11D59" w:rsidRDefault="00D11D59" w:rsidP="00DF285E">
      <w:pPr>
        <w:spacing w:after="0" w:line="240" w:lineRule="auto"/>
        <w:rPr>
          <w:rFonts w:ascii="Times New Roman" w:hAnsi="Times New Roman" w:cs="Times New Roman"/>
          <w:sz w:val="24"/>
          <w:szCs w:val="24"/>
        </w:rPr>
      </w:pPr>
    </w:p>
    <w:tbl>
      <w:tblPr>
        <w:tblStyle w:val="GridTable4"/>
        <w:tblW w:w="9355" w:type="dxa"/>
        <w:tblLook w:val="04A0" w:firstRow="1" w:lastRow="0" w:firstColumn="1" w:lastColumn="0" w:noHBand="0" w:noVBand="1"/>
        <w:tblCaption w:val="Table 2. Respondent Information by Survey"/>
        <w:tblDescription w:val="Table 2 summarizes respondent information by survey. There were 101 respondents in Ohio, 49 respondents in Oregon, 51 respondents in Utah, and 128 respondents to the national survey from the following states: Alabama, Arizona, Arkansas, California, Colorado, Connecticut, Delaware, Florida, Georgia, Hawaii, Illinois, Indiana, Iowa, Kentucky, Louisiana, Maryland, Massachusetts, Michigan, Minnesota, Mississippi, Missouri, New York, North Carolina, North Dakota, Oklahoma, Pennsylvania, Rhode Island, South Carolina, Tennessee, Texas, Vermont, Virginia, Washington, and Wisconsin. There were a total of 329 respondents."/>
      </w:tblPr>
      <w:tblGrid>
        <w:gridCol w:w="1525"/>
        <w:gridCol w:w="1800"/>
        <w:gridCol w:w="6030"/>
      </w:tblGrid>
      <w:tr w:rsidR="0087454E" w:rsidRPr="00231C98" w14:paraId="19255885" w14:textId="77777777" w:rsidTr="008F26BA">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525" w:type="dxa"/>
            <w:shd w:val="clear" w:color="auto" w:fill="44546A" w:themeFill="text2"/>
            <w:vAlign w:val="center"/>
          </w:tcPr>
          <w:p w14:paraId="22540F9A" w14:textId="1612E0B8" w:rsidR="0087454E" w:rsidRPr="00231C98" w:rsidRDefault="0087454E" w:rsidP="00231C98">
            <w:pPr>
              <w:jc w:val="center"/>
              <w:rPr>
                <w:rFonts w:cstheme="minorHAnsi"/>
              </w:rPr>
            </w:pPr>
            <w:r w:rsidRPr="00231C98">
              <w:rPr>
                <w:rFonts w:cstheme="minorHAnsi"/>
              </w:rPr>
              <w:t>Survey</w:t>
            </w:r>
          </w:p>
        </w:tc>
        <w:tc>
          <w:tcPr>
            <w:tcW w:w="1800" w:type="dxa"/>
            <w:shd w:val="clear" w:color="auto" w:fill="44546A" w:themeFill="text2"/>
            <w:vAlign w:val="center"/>
          </w:tcPr>
          <w:p w14:paraId="0DE74211" w14:textId="171E6F58" w:rsidR="0087454E" w:rsidRPr="00231C98" w:rsidRDefault="0087454E" w:rsidP="00231C98">
            <w:pPr>
              <w:jc w:val="center"/>
              <w:cnfStyle w:val="100000000000" w:firstRow="1" w:lastRow="0" w:firstColumn="0" w:lastColumn="0" w:oddVBand="0" w:evenVBand="0" w:oddHBand="0" w:evenHBand="0" w:firstRowFirstColumn="0" w:firstRowLastColumn="0" w:lastRowFirstColumn="0" w:lastRowLastColumn="0"/>
              <w:rPr>
                <w:rFonts w:cstheme="minorHAnsi"/>
                <w:b w:val="0"/>
                <w:bCs w:val="0"/>
              </w:rPr>
            </w:pPr>
            <w:r w:rsidRPr="00231C98">
              <w:rPr>
                <w:rFonts w:cstheme="minorHAnsi"/>
              </w:rPr>
              <w:t>Respondents (</w:t>
            </w:r>
            <w:r w:rsidRPr="00231C98">
              <w:rPr>
                <w:rFonts w:cstheme="minorHAnsi"/>
                <w:i/>
                <w:iCs/>
              </w:rPr>
              <w:t>n</w:t>
            </w:r>
            <w:r w:rsidRPr="00231C98">
              <w:rPr>
                <w:rFonts w:cstheme="minorHAnsi"/>
              </w:rPr>
              <w:t>)</w:t>
            </w:r>
            <w:r w:rsidR="00B55C67">
              <w:rPr>
                <w:rFonts w:ascii="ZWAdobeF" w:hAnsi="ZWAdobeF" w:cs="ZWAdobeF"/>
                <w:b w:val="0"/>
                <w:color w:val="auto"/>
                <w:sz w:val="2"/>
                <w:szCs w:val="2"/>
              </w:rPr>
              <w:t>8F</w:t>
            </w:r>
            <w:r w:rsidRPr="00231C98">
              <w:rPr>
                <w:rStyle w:val="FootnoteReference"/>
                <w:rFonts w:cstheme="minorHAnsi"/>
              </w:rPr>
              <w:footnoteReference w:id="9"/>
            </w:r>
          </w:p>
        </w:tc>
        <w:tc>
          <w:tcPr>
            <w:tcW w:w="6030" w:type="dxa"/>
            <w:shd w:val="clear" w:color="auto" w:fill="44546A" w:themeFill="text2"/>
            <w:vAlign w:val="center"/>
          </w:tcPr>
          <w:p w14:paraId="7BDE45B6" w14:textId="05A24F2D" w:rsidR="0087454E" w:rsidRPr="00231C98" w:rsidRDefault="0087454E" w:rsidP="00231C98">
            <w:pPr>
              <w:jc w:val="center"/>
              <w:cnfStyle w:val="100000000000" w:firstRow="1" w:lastRow="0" w:firstColumn="0" w:lastColumn="0" w:oddVBand="0" w:evenVBand="0" w:oddHBand="0" w:evenHBand="0" w:firstRowFirstColumn="0" w:firstRowLastColumn="0" w:lastRowFirstColumn="0" w:lastRowLastColumn="0"/>
              <w:rPr>
                <w:rFonts w:cstheme="minorHAnsi"/>
              </w:rPr>
            </w:pPr>
            <w:r w:rsidRPr="00231C98">
              <w:rPr>
                <w:rFonts w:cstheme="minorHAnsi"/>
              </w:rPr>
              <w:t>States Represented</w:t>
            </w:r>
            <w:r w:rsidR="00B55C67">
              <w:rPr>
                <w:rFonts w:ascii="ZWAdobeF" w:hAnsi="ZWAdobeF" w:cs="ZWAdobeF"/>
                <w:b w:val="0"/>
                <w:color w:val="auto"/>
                <w:sz w:val="2"/>
                <w:szCs w:val="2"/>
              </w:rPr>
              <w:t>9F</w:t>
            </w:r>
            <w:r w:rsidRPr="00231C98">
              <w:rPr>
                <w:rStyle w:val="FootnoteReference"/>
                <w:rFonts w:cstheme="minorHAnsi"/>
              </w:rPr>
              <w:footnoteReference w:id="10"/>
            </w:r>
          </w:p>
        </w:tc>
      </w:tr>
      <w:tr w:rsidR="0087454E" w:rsidRPr="00231C98" w14:paraId="5E8C5CC0" w14:textId="77777777" w:rsidTr="008F26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5" w:type="dxa"/>
            <w:shd w:val="clear" w:color="auto" w:fill="D9E2F3" w:themeFill="accent1" w:themeFillTint="33"/>
            <w:vAlign w:val="center"/>
          </w:tcPr>
          <w:p w14:paraId="48C1B477" w14:textId="77777777" w:rsidR="0087454E" w:rsidRPr="00231C98" w:rsidRDefault="0087454E" w:rsidP="00231C98">
            <w:pPr>
              <w:rPr>
                <w:rFonts w:cstheme="minorHAnsi"/>
                <w:b w:val="0"/>
                <w:bCs w:val="0"/>
              </w:rPr>
            </w:pPr>
            <w:r w:rsidRPr="00231C98">
              <w:rPr>
                <w:rFonts w:cstheme="minorHAnsi"/>
                <w:b w:val="0"/>
                <w:bCs w:val="0"/>
              </w:rPr>
              <w:t>Ohio</w:t>
            </w:r>
          </w:p>
        </w:tc>
        <w:tc>
          <w:tcPr>
            <w:tcW w:w="1800" w:type="dxa"/>
            <w:shd w:val="clear" w:color="auto" w:fill="D9E2F3" w:themeFill="accent1" w:themeFillTint="33"/>
            <w:vAlign w:val="center"/>
          </w:tcPr>
          <w:p w14:paraId="4A352461" w14:textId="40637CBB" w:rsidR="0087454E" w:rsidRPr="00231C98" w:rsidRDefault="0069159F" w:rsidP="00231C98">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231C98">
              <w:rPr>
                <w:rFonts w:cstheme="minorHAnsi"/>
              </w:rPr>
              <w:t>101</w:t>
            </w:r>
          </w:p>
        </w:tc>
        <w:tc>
          <w:tcPr>
            <w:tcW w:w="6030" w:type="dxa"/>
            <w:shd w:val="clear" w:color="auto" w:fill="D9E2F3" w:themeFill="accent1" w:themeFillTint="33"/>
            <w:vAlign w:val="center"/>
          </w:tcPr>
          <w:p w14:paraId="73C16D55" w14:textId="77777777" w:rsidR="0087454E" w:rsidRPr="00231C98" w:rsidRDefault="0087454E" w:rsidP="00231C98">
            <w:pPr>
              <w:cnfStyle w:val="000000100000" w:firstRow="0" w:lastRow="0" w:firstColumn="0" w:lastColumn="0" w:oddVBand="0" w:evenVBand="0" w:oddHBand="1" w:evenHBand="0" w:firstRowFirstColumn="0" w:firstRowLastColumn="0" w:lastRowFirstColumn="0" w:lastRowLastColumn="0"/>
              <w:rPr>
                <w:rFonts w:cstheme="minorHAnsi"/>
              </w:rPr>
            </w:pPr>
            <w:r w:rsidRPr="00231C98">
              <w:rPr>
                <w:rFonts w:cstheme="minorHAnsi"/>
              </w:rPr>
              <w:t>Ohio</w:t>
            </w:r>
          </w:p>
        </w:tc>
      </w:tr>
      <w:tr w:rsidR="0087454E" w:rsidRPr="00231C98" w14:paraId="5A93E8AF" w14:textId="77777777" w:rsidTr="0069159F">
        <w:tc>
          <w:tcPr>
            <w:cnfStyle w:val="001000000000" w:firstRow="0" w:lastRow="0" w:firstColumn="1" w:lastColumn="0" w:oddVBand="0" w:evenVBand="0" w:oddHBand="0" w:evenHBand="0" w:firstRowFirstColumn="0" w:firstRowLastColumn="0" w:lastRowFirstColumn="0" w:lastRowLastColumn="0"/>
            <w:tcW w:w="1525" w:type="dxa"/>
            <w:vAlign w:val="center"/>
          </w:tcPr>
          <w:p w14:paraId="49CF09CA" w14:textId="77777777" w:rsidR="0087454E" w:rsidRPr="00231C98" w:rsidRDefault="0087454E" w:rsidP="00231C98">
            <w:pPr>
              <w:rPr>
                <w:rFonts w:cstheme="minorHAnsi"/>
                <w:b w:val="0"/>
                <w:bCs w:val="0"/>
              </w:rPr>
            </w:pPr>
            <w:r w:rsidRPr="00231C98">
              <w:rPr>
                <w:rFonts w:cstheme="minorHAnsi"/>
                <w:b w:val="0"/>
                <w:bCs w:val="0"/>
              </w:rPr>
              <w:t>Oregon</w:t>
            </w:r>
          </w:p>
        </w:tc>
        <w:tc>
          <w:tcPr>
            <w:tcW w:w="1800" w:type="dxa"/>
            <w:vAlign w:val="center"/>
          </w:tcPr>
          <w:p w14:paraId="26B774A2" w14:textId="12890FBA" w:rsidR="0087454E" w:rsidRPr="00231C98" w:rsidRDefault="0087454E" w:rsidP="00231C98">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231C98">
              <w:rPr>
                <w:rFonts w:cstheme="minorHAnsi"/>
              </w:rPr>
              <w:t>4</w:t>
            </w:r>
            <w:r w:rsidR="0069159F" w:rsidRPr="00231C98">
              <w:rPr>
                <w:rFonts w:cstheme="minorHAnsi"/>
              </w:rPr>
              <w:t>9</w:t>
            </w:r>
          </w:p>
        </w:tc>
        <w:tc>
          <w:tcPr>
            <w:tcW w:w="6030" w:type="dxa"/>
            <w:vAlign w:val="center"/>
          </w:tcPr>
          <w:p w14:paraId="6702340E" w14:textId="77777777" w:rsidR="0087454E" w:rsidRPr="00231C98" w:rsidRDefault="0087454E" w:rsidP="00231C98">
            <w:pPr>
              <w:cnfStyle w:val="000000000000" w:firstRow="0" w:lastRow="0" w:firstColumn="0" w:lastColumn="0" w:oddVBand="0" w:evenVBand="0" w:oddHBand="0" w:evenHBand="0" w:firstRowFirstColumn="0" w:firstRowLastColumn="0" w:lastRowFirstColumn="0" w:lastRowLastColumn="0"/>
              <w:rPr>
                <w:rFonts w:cstheme="minorHAnsi"/>
              </w:rPr>
            </w:pPr>
            <w:r w:rsidRPr="00231C98">
              <w:rPr>
                <w:rFonts w:cstheme="minorHAnsi"/>
              </w:rPr>
              <w:t>Oregon</w:t>
            </w:r>
          </w:p>
        </w:tc>
      </w:tr>
      <w:tr w:rsidR="0087454E" w:rsidRPr="00231C98" w14:paraId="3D8D4361" w14:textId="77777777" w:rsidTr="008F26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5" w:type="dxa"/>
            <w:shd w:val="clear" w:color="auto" w:fill="D9E2F3" w:themeFill="accent1" w:themeFillTint="33"/>
            <w:vAlign w:val="center"/>
          </w:tcPr>
          <w:p w14:paraId="7752551E" w14:textId="77777777" w:rsidR="0087454E" w:rsidRPr="00231C98" w:rsidRDefault="0087454E" w:rsidP="00231C98">
            <w:pPr>
              <w:rPr>
                <w:rFonts w:cstheme="minorHAnsi"/>
                <w:b w:val="0"/>
                <w:bCs w:val="0"/>
              </w:rPr>
            </w:pPr>
            <w:r w:rsidRPr="00231C98">
              <w:rPr>
                <w:rFonts w:cstheme="minorHAnsi"/>
                <w:b w:val="0"/>
                <w:bCs w:val="0"/>
              </w:rPr>
              <w:t>Utah</w:t>
            </w:r>
          </w:p>
        </w:tc>
        <w:tc>
          <w:tcPr>
            <w:tcW w:w="1800" w:type="dxa"/>
            <w:shd w:val="clear" w:color="auto" w:fill="D9E2F3" w:themeFill="accent1" w:themeFillTint="33"/>
            <w:vAlign w:val="center"/>
          </w:tcPr>
          <w:p w14:paraId="2C984E0B" w14:textId="56C2BB0E" w:rsidR="0087454E" w:rsidRPr="00231C98" w:rsidRDefault="0069159F" w:rsidP="00231C98">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231C98">
              <w:rPr>
                <w:rFonts w:cstheme="minorHAnsi"/>
              </w:rPr>
              <w:t>51</w:t>
            </w:r>
          </w:p>
        </w:tc>
        <w:tc>
          <w:tcPr>
            <w:tcW w:w="6030" w:type="dxa"/>
            <w:shd w:val="clear" w:color="auto" w:fill="D9E2F3" w:themeFill="accent1" w:themeFillTint="33"/>
            <w:vAlign w:val="center"/>
          </w:tcPr>
          <w:p w14:paraId="69F6D66F" w14:textId="77777777" w:rsidR="0087454E" w:rsidRPr="00231C98" w:rsidRDefault="0087454E" w:rsidP="00231C98">
            <w:pPr>
              <w:cnfStyle w:val="000000100000" w:firstRow="0" w:lastRow="0" w:firstColumn="0" w:lastColumn="0" w:oddVBand="0" w:evenVBand="0" w:oddHBand="1" w:evenHBand="0" w:firstRowFirstColumn="0" w:firstRowLastColumn="0" w:lastRowFirstColumn="0" w:lastRowLastColumn="0"/>
              <w:rPr>
                <w:rFonts w:cstheme="minorHAnsi"/>
              </w:rPr>
            </w:pPr>
            <w:r w:rsidRPr="00231C98">
              <w:rPr>
                <w:rFonts w:cstheme="minorHAnsi"/>
              </w:rPr>
              <w:t>Utah</w:t>
            </w:r>
          </w:p>
        </w:tc>
      </w:tr>
      <w:tr w:rsidR="0087454E" w:rsidRPr="00231C98" w14:paraId="2C8F2B60" w14:textId="77777777" w:rsidTr="0069159F">
        <w:tc>
          <w:tcPr>
            <w:cnfStyle w:val="001000000000" w:firstRow="0" w:lastRow="0" w:firstColumn="1" w:lastColumn="0" w:oddVBand="0" w:evenVBand="0" w:oddHBand="0" w:evenHBand="0" w:firstRowFirstColumn="0" w:firstRowLastColumn="0" w:lastRowFirstColumn="0" w:lastRowLastColumn="0"/>
            <w:tcW w:w="1525" w:type="dxa"/>
            <w:vAlign w:val="center"/>
          </w:tcPr>
          <w:p w14:paraId="6F5EBF05" w14:textId="77777777" w:rsidR="0087454E" w:rsidRPr="00231C98" w:rsidRDefault="0087454E" w:rsidP="00231C98">
            <w:pPr>
              <w:rPr>
                <w:rFonts w:cstheme="minorHAnsi"/>
                <w:b w:val="0"/>
                <w:bCs w:val="0"/>
              </w:rPr>
            </w:pPr>
            <w:r w:rsidRPr="00231C98">
              <w:rPr>
                <w:rFonts w:cstheme="minorHAnsi"/>
                <w:b w:val="0"/>
                <w:bCs w:val="0"/>
              </w:rPr>
              <w:t>National</w:t>
            </w:r>
          </w:p>
        </w:tc>
        <w:tc>
          <w:tcPr>
            <w:tcW w:w="1800" w:type="dxa"/>
            <w:vAlign w:val="center"/>
          </w:tcPr>
          <w:p w14:paraId="20D31A67" w14:textId="2AE3FD36" w:rsidR="0087454E" w:rsidRPr="00231C98" w:rsidRDefault="0087454E" w:rsidP="00231C98">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231C98">
              <w:rPr>
                <w:rFonts w:cstheme="minorHAnsi"/>
              </w:rPr>
              <w:t>1</w:t>
            </w:r>
            <w:r w:rsidR="0069159F" w:rsidRPr="00231C98">
              <w:rPr>
                <w:rFonts w:cstheme="minorHAnsi"/>
              </w:rPr>
              <w:t>28</w:t>
            </w:r>
          </w:p>
        </w:tc>
        <w:tc>
          <w:tcPr>
            <w:tcW w:w="6030" w:type="dxa"/>
            <w:vAlign w:val="center"/>
          </w:tcPr>
          <w:p w14:paraId="5DA8B75C" w14:textId="2AADD06C" w:rsidR="0087454E" w:rsidRPr="00231C98" w:rsidRDefault="0069159F" w:rsidP="00231C98">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231C98">
              <w:rPr>
                <w:rFonts w:eastAsia="Times New Roman" w:cstheme="minorHAnsi"/>
                <w:color w:val="000000"/>
              </w:rPr>
              <w:t>Alabama, Arizona, Arkansas, California, Colorado, Connecticut, Delaware, Florida, Georgia, Hawaii, Idaho, Illinois, Indiana, Iowa, Kentucky, Louisiana, Maryland, Massachusetts, Michigan, Minnesota, Mississippi, Missouri, New York, North Carolina, North Dakota, Oklahoma, Pennsylvania, Rhode Island, South Carolina, Tennessee, Texas, Vermont, Virginia, Washington, Wisconsin</w:t>
            </w:r>
          </w:p>
        </w:tc>
      </w:tr>
      <w:tr w:rsidR="0087454E" w:rsidRPr="00231C98" w14:paraId="5B00FE64" w14:textId="77777777" w:rsidTr="008F26BA">
        <w:trPr>
          <w:gridAfter w:val="1"/>
          <w:cnfStyle w:val="000000100000" w:firstRow="0" w:lastRow="0" w:firstColumn="0" w:lastColumn="0" w:oddVBand="0" w:evenVBand="0" w:oddHBand="1" w:evenHBand="0" w:firstRowFirstColumn="0" w:firstRowLastColumn="0" w:lastRowFirstColumn="0" w:lastRowLastColumn="0"/>
          <w:wAfter w:w="6030" w:type="dxa"/>
        </w:trPr>
        <w:tc>
          <w:tcPr>
            <w:cnfStyle w:val="001000000000" w:firstRow="0" w:lastRow="0" w:firstColumn="1" w:lastColumn="0" w:oddVBand="0" w:evenVBand="0" w:oddHBand="0" w:evenHBand="0" w:firstRowFirstColumn="0" w:firstRowLastColumn="0" w:lastRowFirstColumn="0" w:lastRowLastColumn="0"/>
            <w:tcW w:w="1525" w:type="dxa"/>
            <w:shd w:val="clear" w:color="auto" w:fill="D9E2F3" w:themeFill="accent1" w:themeFillTint="33"/>
            <w:vAlign w:val="center"/>
          </w:tcPr>
          <w:p w14:paraId="0B7FCB62" w14:textId="77777777" w:rsidR="0087454E" w:rsidRPr="00231C98" w:rsidRDefault="0087454E" w:rsidP="00231C98">
            <w:pPr>
              <w:rPr>
                <w:rFonts w:cstheme="minorHAnsi"/>
              </w:rPr>
            </w:pPr>
            <w:r w:rsidRPr="00231C98">
              <w:rPr>
                <w:rFonts w:cstheme="minorHAnsi"/>
              </w:rPr>
              <w:t>Total</w:t>
            </w:r>
          </w:p>
        </w:tc>
        <w:tc>
          <w:tcPr>
            <w:tcW w:w="1800" w:type="dxa"/>
            <w:shd w:val="clear" w:color="auto" w:fill="D9E2F3" w:themeFill="accent1" w:themeFillTint="33"/>
            <w:vAlign w:val="center"/>
          </w:tcPr>
          <w:p w14:paraId="40AA2958" w14:textId="77777777" w:rsidR="0087454E" w:rsidRPr="00231C98" w:rsidRDefault="0087454E" w:rsidP="00231C98">
            <w:pPr>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231C98">
              <w:rPr>
                <w:rFonts w:cstheme="minorHAnsi"/>
                <w:b/>
                <w:bCs/>
              </w:rPr>
              <w:t>329</w:t>
            </w:r>
          </w:p>
        </w:tc>
      </w:tr>
    </w:tbl>
    <w:p w14:paraId="60310A40" w14:textId="5B76FE55" w:rsidR="00427196" w:rsidRDefault="00427196" w:rsidP="00DF285E">
      <w:pPr>
        <w:spacing w:after="0" w:line="240" w:lineRule="auto"/>
        <w:rPr>
          <w:rFonts w:ascii="Times New Roman" w:hAnsi="Times New Roman" w:cs="Times New Roman"/>
          <w:sz w:val="24"/>
          <w:szCs w:val="24"/>
        </w:rPr>
      </w:pPr>
    </w:p>
    <w:p w14:paraId="172BF963" w14:textId="77777777" w:rsidR="001E68F4" w:rsidRDefault="001E68F4" w:rsidP="00BF7978">
      <w:pPr>
        <w:spacing w:after="0" w:line="276" w:lineRule="auto"/>
        <w:rPr>
          <w:rFonts w:cstheme="minorHAnsi"/>
          <w:sz w:val="24"/>
          <w:szCs w:val="24"/>
        </w:rPr>
      </w:pPr>
    </w:p>
    <w:p w14:paraId="607F45A9" w14:textId="2939A425" w:rsidR="007328F3" w:rsidRDefault="00B55C67" w:rsidP="00BF7978">
      <w:pPr>
        <w:spacing w:after="0" w:line="276" w:lineRule="auto"/>
        <w:rPr>
          <w:rFonts w:cstheme="minorHAnsi"/>
          <w:sz w:val="24"/>
          <w:szCs w:val="24"/>
        </w:rPr>
      </w:pPr>
      <w:r>
        <w:rPr>
          <w:rFonts w:ascii="ZWAdobeF" w:hAnsi="ZWAdobeF" w:cs="ZWAdobeF"/>
          <w:sz w:val="2"/>
          <w:szCs w:val="2"/>
        </w:rPr>
        <w:t>91B</w:t>
      </w:r>
      <w:r w:rsidR="000458DB" w:rsidRPr="000458DB">
        <w:rPr>
          <w:rFonts w:cstheme="minorHAnsi"/>
          <w:sz w:val="24"/>
          <w:szCs w:val="24"/>
        </w:rPr>
        <w:t xml:space="preserve">Survey respondents represented </w:t>
      </w:r>
      <w:r w:rsidR="000458DB">
        <w:rPr>
          <w:rFonts w:cstheme="minorHAnsi"/>
          <w:sz w:val="24"/>
          <w:szCs w:val="24"/>
        </w:rPr>
        <w:t>a variety of roles, as shown in Figure</w:t>
      </w:r>
      <w:r w:rsidR="00AD4BDC">
        <w:rPr>
          <w:rFonts w:cstheme="minorHAnsi"/>
          <w:sz w:val="24"/>
          <w:szCs w:val="24"/>
        </w:rPr>
        <w:t xml:space="preserve"> 1</w:t>
      </w:r>
      <w:r w:rsidR="000458DB">
        <w:rPr>
          <w:rFonts w:cstheme="minorHAnsi"/>
          <w:sz w:val="24"/>
          <w:szCs w:val="24"/>
        </w:rPr>
        <w:t xml:space="preserve">. </w:t>
      </w:r>
      <w:r w:rsidR="00811DCA">
        <w:rPr>
          <w:rFonts w:cstheme="minorHAnsi"/>
          <w:sz w:val="24"/>
          <w:szCs w:val="24"/>
        </w:rPr>
        <w:t xml:space="preserve">Thirty percent of the survey respondents indicated they </w:t>
      </w:r>
      <w:r w:rsidR="00E07D82">
        <w:rPr>
          <w:rFonts w:cstheme="minorHAnsi"/>
          <w:sz w:val="24"/>
          <w:szCs w:val="24"/>
        </w:rPr>
        <w:t>were</w:t>
      </w:r>
      <w:r w:rsidR="00811DCA">
        <w:rPr>
          <w:rFonts w:cstheme="minorHAnsi"/>
          <w:sz w:val="24"/>
          <w:szCs w:val="24"/>
        </w:rPr>
        <w:t xml:space="preserve"> NIMAC Users. </w:t>
      </w:r>
      <w:r w:rsidR="006653CA">
        <w:rPr>
          <w:rFonts w:cstheme="minorHAnsi"/>
          <w:sz w:val="24"/>
          <w:szCs w:val="24"/>
        </w:rPr>
        <w:t>Of the 82 school staff who completed the survey, 66% worked at public schools, 21% at charter schools, 6% at schools for specific populations (e.g., visually impaired populations), 6% at “Other” schools (e.g., Special Day School), and 1% at private schools. The</w:t>
      </w:r>
      <w:r w:rsidR="003726B6">
        <w:rPr>
          <w:rFonts w:cstheme="minorHAnsi"/>
          <w:sz w:val="24"/>
          <w:szCs w:val="24"/>
        </w:rPr>
        <w:t>se</w:t>
      </w:r>
      <w:r w:rsidR="006653CA">
        <w:rPr>
          <w:rFonts w:cstheme="minorHAnsi"/>
          <w:sz w:val="24"/>
          <w:szCs w:val="24"/>
        </w:rPr>
        <w:t xml:space="preserve"> school staff included teachers of </w:t>
      </w:r>
      <w:r w:rsidR="0051693B">
        <w:rPr>
          <w:rFonts w:cstheme="minorHAnsi"/>
          <w:sz w:val="24"/>
          <w:szCs w:val="24"/>
        </w:rPr>
        <w:t xml:space="preserve">special education students, including teachers of </w:t>
      </w:r>
      <w:r w:rsidR="006653CA">
        <w:rPr>
          <w:rFonts w:cstheme="minorHAnsi"/>
          <w:sz w:val="24"/>
          <w:szCs w:val="24"/>
        </w:rPr>
        <w:t xml:space="preserve">students with visual impairments (TVIs), general education teachers, school administrators, braille producers, paraprofessionals, and other related service providers and specialists (e.g., instructional support specialists). </w:t>
      </w:r>
    </w:p>
    <w:p w14:paraId="5815CEBE" w14:textId="77777777" w:rsidR="007328F3" w:rsidRDefault="007328F3" w:rsidP="00DF285E">
      <w:pPr>
        <w:spacing w:after="0" w:line="240" w:lineRule="auto"/>
        <w:rPr>
          <w:rFonts w:cstheme="minorHAnsi"/>
          <w:sz w:val="24"/>
          <w:szCs w:val="24"/>
        </w:rPr>
      </w:pPr>
    </w:p>
    <w:p w14:paraId="08225E04" w14:textId="544B3D1C" w:rsidR="001E68F4" w:rsidRDefault="001E68F4">
      <w:pPr>
        <w:rPr>
          <w:rFonts w:cstheme="minorHAnsi"/>
          <w:sz w:val="24"/>
          <w:szCs w:val="24"/>
        </w:rPr>
      </w:pPr>
      <w:r>
        <w:rPr>
          <w:rFonts w:cstheme="minorHAnsi"/>
          <w:sz w:val="24"/>
          <w:szCs w:val="24"/>
        </w:rPr>
        <w:br w:type="page"/>
      </w:r>
    </w:p>
    <w:p w14:paraId="6D947A82" w14:textId="3EC41A69" w:rsidR="000458DB" w:rsidRDefault="000458DB" w:rsidP="004946C3">
      <w:pPr>
        <w:pStyle w:val="Heading4"/>
      </w:pPr>
      <w:bookmarkStart w:id="12" w:name="_Toc222903983"/>
      <w:r>
        <w:lastRenderedPageBreak/>
        <w:t xml:space="preserve">Figure </w:t>
      </w:r>
      <w:r w:rsidR="00AD4BDC">
        <w:t>1</w:t>
      </w:r>
      <w:r w:rsidRPr="005919AC">
        <w:t xml:space="preserve">. </w:t>
      </w:r>
      <w:r>
        <w:t>Survey Respondents by Role</w:t>
      </w:r>
      <w:r w:rsidR="00B55C67">
        <w:rPr>
          <w:rFonts w:ascii="ZWAdobeF" w:hAnsi="ZWAdobeF" w:cs="ZWAdobeF"/>
          <w:i w:val="0"/>
          <w:color w:val="auto"/>
          <w:sz w:val="2"/>
          <w:szCs w:val="2"/>
        </w:rPr>
        <w:t>10F</w:t>
      </w:r>
      <w:r w:rsidR="00CF2F1D">
        <w:rPr>
          <w:rStyle w:val="FootnoteReference"/>
          <w:rFonts w:cs="Calibri"/>
          <w:smallCaps/>
          <w:color w:val="44546A" w:themeColor="text2"/>
        </w:rPr>
        <w:footnoteReference w:id="11"/>
      </w:r>
      <w:bookmarkEnd w:id="12"/>
    </w:p>
    <w:p w14:paraId="742CC196" w14:textId="69ACE77D" w:rsidR="000458DB" w:rsidRPr="000A5AF9" w:rsidRDefault="00B55C67" w:rsidP="000A5AF9">
      <w:pPr>
        <w:jc w:val="center"/>
        <w:rPr>
          <w:color w:val="000000" w:themeColor="text1"/>
        </w:rPr>
      </w:pPr>
      <w:r>
        <w:rPr>
          <w:rFonts w:ascii="ZWAdobeF" w:hAnsi="ZWAdobeF" w:cs="ZWAdobeF"/>
          <w:sz w:val="2"/>
          <w:szCs w:val="2"/>
        </w:rPr>
        <w:t>92</w:t>
      </w:r>
      <w:proofErr w:type="gramStart"/>
      <w:r>
        <w:rPr>
          <w:rFonts w:ascii="ZWAdobeF" w:hAnsi="ZWAdobeF" w:cs="ZWAdobeF"/>
          <w:sz w:val="2"/>
          <w:szCs w:val="2"/>
        </w:rPr>
        <w:t>B</w:t>
      </w:r>
      <w:r w:rsidR="00CB1A04">
        <w:rPr>
          <w:color w:val="000000" w:themeColor="text1"/>
        </w:rPr>
        <w:t>(</w:t>
      </w:r>
      <w:proofErr w:type="gramEnd"/>
      <w:r w:rsidR="00CB1A04" w:rsidRPr="009F1957">
        <w:rPr>
          <w:i/>
          <w:iCs/>
          <w:color w:val="000000" w:themeColor="text1"/>
        </w:rPr>
        <w:t>n</w:t>
      </w:r>
      <w:r w:rsidR="00CB1A04">
        <w:rPr>
          <w:color w:val="000000" w:themeColor="text1"/>
        </w:rPr>
        <w:t xml:space="preserve"> = 329)</w:t>
      </w:r>
    </w:p>
    <w:p w14:paraId="5C22DF98" w14:textId="0030C2C6" w:rsidR="000458DB" w:rsidRDefault="00B55C67" w:rsidP="00DF285E">
      <w:pPr>
        <w:spacing w:after="0" w:line="240" w:lineRule="auto"/>
        <w:rPr>
          <w:rFonts w:ascii="Times New Roman" w:hAnsi="Times New Roman" w:cs="Times New Roman"/>
          <w:sz w:val="24"/>
          <w:szCs w:val="24"/>
        </w:rPr>
      </w:pPr>
      <w:r>
        <w:rPr>
          <w:rFonts w:ascii="ZWAdobeF" w:hAnsi="ZWAdobeF" w:cs="ZWAdobeF"/>
          <w:sz w:val="2"/>
          <w:szCs w:val="2"/>
        </w:rPr>
        <w:t>93B</w:t>
      </w:r>
      <w:r w:rsidR="00CB1A04" w:rsidRPr="0009720F">
        <w:rPr>
          <w:rFonts w:ascii="Aptos" w:eastAsia="Aptos" w:hAnsi="Aptos" w:cs="Aptos"/>
          <w:b/>
          <w:bCs/>
          <w:noProof/>
          <w:color w:val="FF0000"/>
          <w:kern w:val="2"/>
          <w:sz w:val="28"/>
          <w:szCs w:val="28"/>
          <w14:ligatures w14:val="standardContextual"/>
        </w:rPr>
        <mc:AlternateContent>
          <mc:Choice Requires="cx2">
            <w:drawing>
              <wp:inline distT="0" distB="0" distL="0" distR="0" wp14:anchorId="5516C4C2" wp14:editId="1EC884E0">
                <wp:extent cx="5887720" cy="3205696"/>
                <wp:effectExtent l="0" t="0" r="17780" b="13970"/>
                <wp:docPr id="273624047" name="Chart 273624047" descr="Figure 1 is a horizontal bar chart showing survey respondents by role (n = 329). Twenty-six percent were LEA or ESD staff, 25% were school staff, 16% were regional agency or cooperative staff, 13% were instructional materials or resource center staff, 10% were SEA staff, 6% were a publisher or conversion vendor, and 4% were an accessible media producer."/>
                <wp:cNvGraphicFramePr/>
                <a:graphic xmlns:a="http://schemas.openxmlformats.org/drawingml/2006/main">
                  <a:graphicData uri="http://schemas.microsoft.com/office/drawing/2014/chartex">
                    <cx:chart xmlns:cx="http://schemas.microsoft.com/office/drawing/2014/chartex" xmlns:r="http://schemas.openxmlformats.org/officeDocument/2006/relationships" r:id="rId11"/>
                  </a:graphicData>
                </a:graphic>
              </wp:inline>
            </w:drawing>
          </mc:Choice>
          <mc:Fallback>
            <w:drawing>
              <wp:inline distT="0" distB="0" distL="0" distR="0" wp14:anchorId="5516C4C2" wp14:editId="1EC884E0">
                <wp:extent cx="5887720" cy="3205696"/>
                <wp:effectExtent l="0" t="0" r="17780" b="13970"/>
                <wp:docPr id="273624047" name="Chart 273624047" descr="Figure 1 is a horizontal bar chart showing survey respondents by role (n = 329). Twenty-six percent were LEA or ESD staff, 25% were school staff, 16% were regional agency or cooperative staff, 13% were instructional materials or resource center staff, 10% were SEA staff, 6% were a publisher or conversion vendor, and 4% were an accessible media producer."/>
                <wp:cNvGraphicFramePr>
                  <a:graphicFrameLocks xmlns:a="http://schemas.openxmlformats.org/drawingml/2006/main" noGrp="1" noDrilldown="1" noSelect="1" noChangeAspect="1" noMove="1" noResize="1"/>
                </wp:cNvGraphicFramePr>
                <a:graphic xmlns:a="http://schemas.openxmlformats.org/drawingml/2006/main">
                  <a:graphicData uri="http://schemas.openxmlformats.org/drawingml/2006/picture">
                    <pic:pic xmlns:pic="http://schemas.openxmlformats.org/drawingml/2006/picture">
                      <pic:nvPicPr>
                        <pic:cNvPr id="273624047" name="Chart 273624047" descr="Figure 1 is a horizontal bar chart showing survey respondents by role (n = 329). Twenty-six percent were LEA or ESD staff, 25% were school staff, 16% were regional agency or cooperative staff, 13% were instructional materials or resource center staff, 10% were SEA staff, 6% were a publisher or conversion vendor, and 4% were an accessible media producer."/>
                        <pic:cNvPicPr>
                          <a:picLocks noGrp="1" noRot="1" noChangeAspect="1" noMove="1" noResize="1" noEditPoints="1" noAdjustHandles="1" noChangeArrowheads="1" noChangeShapeType="1"/>
                        </pic:cNvPicPr>
                      </pic:nvPicPr>
                      <pic:blipFill>
                        <a:blip r:embed="rId12"/>
                        <a:stretch>
                          <a:fillRect/>
                        </a:stretch>
                      </pic:blipFill>
                      <pic:spPr>
                        <a:xfrm>
                          <a:off x="0" y="0"/>
                          <a:ext cx="5887720" cy="3205480"/>
                        </a:xfrm>
                        <a:prstGeom prst="rect">
                          <a:avLst/>
                        </a:prstGeom>
                      </pic:spPr>
                    </pic:pic>
                  </a:graphicData>
                </a:graphic>
              </wp:inline>
            </w:drawing>
          </mc:Fallback>
        </mc:AlternateContent>
      </w:r>
    </w:p>
    <w:p w14:paraId="6D2BAE37" w14:textId="77777777" w:rsidR="00596294" w:rsidRDefault="00596294" w:rsidP="004C1D50">
      <w:pPr>
        <w:spacing w:after="0" w:line="240" w:lineRule="auto"/>
        <w:rPr>
          <w:rFonts w:cstheme="minorHAnsi"/>
          <w:sz w:val="24"/>
          <w:szCs w:val="24"/>
        </w:rPr>
      </w:pPr>
    </w:p>
    <w:p w14:paraId="73643310" w14:textId="77777777" w:rsidR="00CA1F5C" w:rsidRDefault="00CA1F5C" w:rsidP="00596294">
      <w:pPr>
        <w:spacing w:after="0" w:line="276" w:lineRule="auto"/>
        <w:rPr>
          <w:rFonts w:cstheme="minorHAnsi"/>
          <w:sz w:val="24"/>
          <w:szCs w:val="24"/>
        </w:rPr>
      </w:pPr>
    </w:p>
    <w:p w14:paraId="18BE7363" w14:textId="7A49E706" w:rsidR="004C1D50" w:rsidRDefault="00B55C67" w:rsidP="00596294">
      <w:pPr>
        <w:spacing w:after="0" w:line="276" w:lineRule="auto"/>
        <w:rPr>
          <w:rFonts w:cstheme="minorHAnsi"/>
          <w:sz w:val="24"/>
          <w:szCs w:val="24"/>
        </w:rPr>
      </w:pPr>
      <w:r>
        <w:rPr>
          <w:rFonts w:ascii="ZWAdobeF" w:hAnsi="ZWAdobeF" w:cs="ZWAdobeF"/>
          <w:sz w:val="2"/>
          <w:szCs w:val="2"/>
        </w:rPr>
        <w:t>94B</w:t>
      </w:r>
      <w:r w:rsidR="004C1D50">
        <w:rPr>
          <w:rFonts w:cstheme="minorHAnsi"/>
          <w:sz w:val="24"/>
          <w:szCs w:val="24"/>
        </w:rPr>
        <w:t xml:space="preserve">There </w:t>
      </w:r>
      <w:r w:rsidR="00AD4BDC">
        <w:rPr>
          <w:rFonts w:cstheme="minorHAnsi"/>
          <w:sz w:val="24"/>
          <w:szCs w:val="24"/>
        </w:rPr>
        <w:t>are</w:t>
      </w:r>
      <w:r w:rsidR="004C1D50">
        <w:rPr>
          <w:rFonts w:cstheme="minorHAnsi"/>
          <w:sz w:val="24"/>
          <w:szCs w:val="24"/>
        </w:rPr>
        <w:t xml:space="preserve"> a few noteworthy differences in roles across the surveys. </w:t>
      </w:r>
      <w:r w:rsidR="00BA06CA">
        <w:rPr>
          <w:rFonts w:cstheme="minorHAnsi"/>
          <w:sz w:val="24"/>
          <w:szCs w:val="24"/>
        </w:rPr>
        <w:t>Among</w:t>
      </w:r>
      <w:r w:rsidR="004C1D50">
        <w:rPr>
          <w:rFonts w:cstheme="minorHAnsi"/>
          <w:sz w:val="24"/>
          <w:szCs w:val="24"/>
        </w:rPr>
        <w:t xml:space="preserve"> respondents who </w:t>
      </w:r>
      <w:proofErr w:type="gramStart"/>
      <w:r w:rsidR="00BA06CA">
        <w:rPr>
          <w:rFonts w:cstheme="minorHAnsi"/>
          <w:sz w:val="24"/>
          <w:szCs w:val="24"/>
        </w:rPr>
        <w:t>were</w:t>
      </w:r>
      <w:proofErr w:type="gramEnd"/>
      <w:r w:rsidR="00BA06CA">
        <w:rPr>
          <w:rFonts w:cstheme="minorHAnsi"/>
          <w:sz w:val="24"/>
          <w:szCs w:val="24"/>
        </w:rPr>
        <w:t xml:space="preserve"> </w:t>
      </w:r>
      <w:r w:rsidR="004C1D50">
        <w:rPr>
          <w:rFonts w:cstheme="minorHAnsi"/>
          <w:sz w:val="24"/>
          <w:szCs w:val="24"/>
        </w:rPr>
        <w:t xml:space="preserve">Regional Agency or Cooperative Staff, the majority (77%) </w:t>
      </w:r>
      <w:r w:rsidR="00BA06CA">
        <w:rPr>
          <w:rFonts w:cstheme="minorHAnsi"/>
          <w:sz w:val="24"/>
          <w:szCs w:val="24"/>
        </w:rPr>
        <w:t xml:space="preserve">were </w:t>
      </w:r>
      <w:r w:rsidR="004C1D50">
        <w:rPr>
          <w:rFonts w:cstheme="minorHAnsi"/>
          <w:sz w:val="24"/>
          <w:szCs w:val="24"/>
        </w:rPr>
        <w:t xml:space="preserve">from Ohio. </w:t>
      </w:r>
      <w:r w:rsidR="00BA06CA">
        <w:rPr>
          <w:rFonts w:cstheme="minorHAnsi"/>
          <w:sz w:val="24"/>
          <w:szCs w:val="24"/>
        </w:rPr>
        <w:t>Among</w:t>
      </w:r>
      <w:r w:rsidR="004C1D50">
        <w:rPr>
          <w:rFonts w:cstheme="minorHAnsi"/>
          <w:sz w:val="24"/>
          <w:szCs w:val="24"/>
        </w:rPr>
        <w:t xml:space="preserve"> </w:t>
      </w:r>
      <w:r w:rsidR="00BA06CA">
        <w:rPr>
          <w:rFonts w:cstheme="minorHAnsi"/>
          <w:sz w:val="24"/>
          <w:szCs w:val="24"/>
        </w:rPr>
        <w:t xml:space="preserve">numerous other roles including </w:t>
      </w:r>
      <w:r w:rsidR="004C1D50">
        <w:rPr>
          <w:rFonts w:cstheme="minorHAnsi"/>
          <w:sz w:val="24"/>
          <w:szCs w:val="24"/>
        </w:rPr>
        <w:t>Instructional Materials Center</w:t>
      </w:r>
      <w:r w:rsidR="00AD4BDC">
        <w:rPr>
          <w:rFonts w:cstheme="minorHAnsi"/>
          <w:sz w:val="24"/>
          <w:szCs w:val="24"/>
        </w:rPr>
        <w:t xml:space="preserve"> (IMC) or IRC</w:t>
      </w:r>
      <w:r w:rsidR="004C1D50">
        <w:rPr>
          <w:rFonts w:cstheme="minorHAnsi"/>
          <w:sz w:val="24"/>
          <w:szCs w:val="24"/>
        </w:rPr>
        <w:t xml:space="preserve"> </w:t>
      </w:r>
      <w:r w:rsidR="00AD4BDC">
        <w:rPr>
          <w:rFonts w:cstheme="minorHAnsi"/>
          <w:sz w:val="24"/>
          <w:szCs w:val="24"/>
        </w:rPr>
        <w:t>s</w:t>
      </w:r>
      <w:r w:rsidR="004C1D50">
        <w:rPr>
          <w:rFonts w:cstheme="minorHAnsi"/>
          <w:sz w:val="24"/>
          <w:szCs w:val="24"/>
        </w:rPr>
        <w:t xml:space="preserve">taff, Publishers or Conversion Vendors, Accessible Media Producers, and NIMAC Users, the majority completed the </w:t>
      </w:r>
      <w:r w:rsidR="0030099F">
        <w:rPr>
          <w:rFonts w:cstheme="minorHAnsi"/>
          <w:sz w:val="24"/>
          <w:szCs w:val="24"/>
        </w:rPr>
        <w:t>national survey</w:t>
      </w:r>
      <w:r w:rsidR="004C1D50">
        <w:rPr>
          <w:rFonts w:cstheme="minorHAnsi"/>
          <w:sz w:val="24"/>
          <w:szCs w:val="24"/>
        </w:rPr>
        <w:t xml:space="preserve"> (69%, 80%, 93%, and 75%, respectively). </w:t>
      </w:r>
    </w:p>
    <w:p w14:paraId="62847275" w14:textId="77777777" w:rsidR="004C1D50" w:rsidRDefault="004C1D50" w:rsidP="006C0B3D">
      <w:pPr>
        <w:spacing w:after="0" w:line="240" w:lineRule="auto"/>
        <w:rPr>
          <w:rFonts w:ascii="Times New Roman" w:hAnsi="Times New Roman" w:cs="Times New Roman"/>
          <w:sz w:val="24"/>
          <w:szCs w:val="24"/>
        </w:rPr>
      </w:pPr>
    </w:p>
    <w:p w14:paraId="7FBDB090" w14:textId="0D9AB3C6" w:rsidR="006C0B3D" w:rsidRPr="005919AC" w:rsidRDefault="00F745AF" w:rsidP="00B4146C">
      <w:pPr>
        <w:pStyle w:val="Heading3"/>
      </w:pPr>
      <w:bookmarkStart w:id="13" w:name="_Toc222903984"/>
      <w:r>
        <w:t>Benefits of Timely Delivery</w:t>
      </w:r>
      <w:bookmarkEnd w:id="13"/>
    </w:p>
    <w:p w14:paraId="5EB49C5F" w14:textId="56D5F154" w:rsidR="006C0B3D" w:rsidRPr="005919AC" w:rsidRDefault="006C0B3D" w:rsidP="006C0B3D">
      <w:pPr>
        <w:spacing w:after="0" w:line="240" w:lineRule="auto"/>
        <w:rPr>
          <w:rFonts w:ascii="Calibri" w:hAnsi="Calibri" w:cs="Calibri"/>
          <w:sz w:val="24"/>
          <w:szCs w:val="24"/>
        </w:rPr>
      </w:pPr>
    </w:p>
    <w:p w14:paraId="4CF92DDE" w14:textId="0435F64E" w:rsidR="00002FEB" w:rsidRDefault="00B55C67" w:rsidP="004935BF">
      <w:pPr>
        <w:spacing w:after="0" w:line="276" w:lineRule="auto"/>
        <w:rPr>
          <w:rFonts w:ascii="Calibri" w:hAnsi="Calibri" w:cs="Calibri"/>
          <w:sz w:val="24"/>
          <w:szCs w:val="24"/>
        </w:rPr>
      </w:pPr>
      <w:r>
        <w:rPr>
          <w:rFonts w:ascii="ZWAdobeF" w:hAnsi="ZWAdobeF" w:cs="ZWAdobeF"/>
          <w:sz w:val="2"/>
          <w:szCs w:val="2"/>
        </w:rPr>
        <w:t>95B</w:t>
      </w:r>
      <w:r w:rsidR="00290E68">
        <w:rPr>
          <w:rFonts w:ascii="Calibri" w:hAnsi="Calibri" w:cs="Calibri"/>
          <w:sz w:val="24"/>
          <w:szCs w:val="24"/>
        </w:rPr>
        <w:t>Survey respondents</w:t>
      </w:r>
      <w:r w:rsidR="00290E68" w:rsidRPr="00290E68">
        <w:rPr>
          <w:rFonts w:ascii="Calibri" w:hAnsi="Calibri" w:cs="Calibri"/>
          <w:sz w:val="24"/>
          <w:szCs w:val="24"/>
        </w:rPr>
        <w:t xml:space="preserve"> were asked, </w:t>
      </w:r>
      <w:r w:rsidR="00290E68">
        <w:rPr>
          <w:rFonts w:ascii="Calibri" w:hAnsi="Calibri" w:cs="Calibri"/>
          <w:sz w:val="24"/>
          <w:szCs w:val="24"/>
        </w:rPr>
        <w:t>“What are the positive benefits of timely delivery of accessible formats for students with print disabilities?”</w:t>
      </w:r>
      <w:r>
        <w:rPr>
          <w:rFonts w:ascii="ZWAdobeF" w:hAnsi="ZWAdobeF" w:cs="ZWAdobeF"/>
          <w:sz w:val="2"/>
          <w:szCs w:val="2"/>
        </w:rPr>
        <w:t>11F</w:t>
      </w:r>
      <w:r w:rsidR="00BB4D0B">
        <w:rPr>
          <w:rStyle w:val="FootnoteReference"/>
          <w:rFonts w:ascii="Calibri" w:hAnsi="Calibri" w:cs="Calibri"/>
          <w:sz w:val="24"/>
          <w:szCs w:val="24"/>
        </w:rPr>
        <w:footnoteReference w:id="12"/>
      </w:r>
      <w:r w:rsidR="00290E68">
        <w:rPr>
          <w:rFonts w:ascii="Calibri" w:hAnsi="Calibri" w:cs="Calibri"/>
          <w:sz w:val="24"/>
          <w:szCs w:val="24"/>
        </w:rPr>
        <w:t xml:space="preserve"> </w:t>
      </w:r>
      <w:r w:rsidR="002D1DC5">
        <w:rPr>
          <w:rFonts w:ascii="Calibri" w:hAnsi="Calibri" w:cs="Calibri"/>
          <w:sz w:val="24"/>
          <w:szCs w:val="24"/>
        </w:rPr>
        <w:t xml:space="preserve">Survey respondents were able to select multiple positive benefits of timely delivery (all of which are presented in </w:t>
      </w:r>
      <w:r w:rsidR="00290E68">
        <w:rPr>
          <w:rFonts w:ascii="Calibri" w:hAnsi="Calibri" w:cs="Calibri"/>
          <w:sz w:val="24"/>
          <w:szCs w:val="24"/>
        </w:rPr>
        <w:t xml:space="preserve">Figure </w:t>
      </w:r>
      <w:r w:rsidR="00D903B9">
        <w:rPr>
          <w:rFonts w:ascii="Calibri" w:hAnsi="Calibri" w:cs="Calibri"/>
          <w:sz w:val="24"/>
          <w:szCs w:val="24"/>
        </w:rPr>
        <w:t>2</w:t>
      </w:r>
      <w:r w:rsidR="002D1DC5">
        <w:rPr>
          <w:rFonts w:ascii="Calibri" w:hAnsi="Calibri" w:cs="Calibri"/>
          <w:sz w:val="24"/>
          <w:szCs w:val="24"/>
        </w:rPr>
        <w:t>).</w:t>
      </w:r>
      <w:r w:rsidR="00040218">
        <w:rPr>
          <w:rFonts w:ascii="Calibri" w:hAnsi="Calibri" w:cs="Calibri"/>
          <w:sz w:val="24"/>
          <w:szCs w:val="24"/>
        </w:rPr>
        <w:t xml:space="preserve"> </w:t>
      </w:r>
      <w:r w:rsidR="002D1DC5">
        <w:rPr>
          <w:rFonts w:ascii="Calibri" w:hAnsi="Calibri" w:cs="Calibri"/>
          <w:sz w:val="24"/>
          <w:szCs w:val="24"/>
        </w:rPr>
        <w:t>O</w:t>
      </w:r>
      <w:r w:rsidR="00040218">
        <w:rPr>
          <w:rFonts w:ascii="Calibri" w:hAnsi="Calibri" w:cs="Calibri"/>
          <w:sz w:val="24"/>
          <w:szCs w:val="24"/>
        </w:rPr>
        <w:t>ver 90% of respondents</w:t>
      </w:r>
      <w:r w:rsidR="00E23210">
        <w:rPr>
          <w:rFonts w:ascii="Calibri" w:hAnsi="Calibri" w:cs="Calibri"/>
          <w:sz w:val="24"/>
          <w:szCs w:val="24"/>
        </w:rPr>
        <w:t xml:space="preserve"> selected three benefits:</w:t>
      </w:r>
      <w:r w:rsidR="006F60F6">
        <w:rPr>
          <w:rFonts w:ascii="Calibri" w:hAnsi="Calibri" w:cs="Calibri"/>
          <w:sz w:val="24"/>
          <w:szCs w:val="24"/>
        </w:rPr>
        <w:t xml:space="preserve"> “Promotes equitable access to instructional materials,” “Promotes independence among students with print disabilities,” and “Promotes active learning among students with print disabilities</w:t>
      </w:r>
      <w:r w:rsidR="00040218">
        <w:rPr>
          <w:rFonts w:ascii="Calibri" w:hAnsi="Calibri" w:cs="Calibri"/>
          <w:sz w:val="24"/>
          <w:szCs w:val="24"/>
        </w:rPr>
        <w:t>.</w:t>
      </w:r>
      <w:r w:rsidR="00E5061A">
        <w:rPr>
          <w:rFonts w:ascii="Calibri" w:hAnsi="Calibri" w:cs="Calibri"/>
          <w:sz w:val="24"/>
          <w:szCs w:val="24"/>
        </w:rPr>
        <w:t xml:space="preserve">” </w:t>
      </w:r>
      <w:r w:rsidR="00E23210">
        <w:rPr>
          <w:rFonts w:ascii="Calibri" w:hAnsi="Calibri" w:cs="Calibri"/>
          <w:sz w:val="24"/>
          <w:szCs w:val="24"/>
        </w:rPr>
        <w:t>At least three-quarters</w:t>
      </w:r>
      <w:r w:rsidR="00E5061A">
        <w:rPr>
          <w:rFonts w:ascii="Calibri" w:hAnsi="Calibri" w:cs="Calibri"/>
          <w:sz w:val="24"/>
          <w:szCs w:val="24"/>
        </w:rPr>
        <w:t xml:space="preserve"> of respondents </w:t>
      </w:r>
      <w:r w:rsidR="00E23210">
        <w:rPr>
          <w:rFonts w:ascii="Calibri" w:hAnsi="Calibri" w:cs="Calibri"/>
          <w:sz w:val="24"/>
          <w:szCs w:val="24"/>
        </w:rPr>
        <w:t xml:space="preserve">selected </w:t>
      </w:r>
      <w:r w:rsidR="00E5061A">
        <w:rPr>
          <w:rFonts w:ascii="Calibri" w:hAnsi="Calibri" w:cs="Calibri"/>
          <w:sz w:val="24"/>
          <w:szCs w:val="24"/>
        </w:rPr>
        <w:t>“Supports the psychological well-being of students with print disabilities”</w:t>
      </w:r>
      <w:r w:rsidR="00E23210">
        <w:rPr>
          <w:rFonts w:ascii="Calibri" w:hAnsi="Calibri" w:cs="Calibri"/>
          <w:sz w:val="24"/>
          <w:szCs w:val="24"/>
        </w:rPr>
        <w:t xml:space="preserve"> (85%),</w:t>
      </w:r>
      <w:r w:rsidR="00E5061A">
        <w:rPr>
          <w:rFonts w:ascii="Calibri" w:hAnsi="Calibri" w:cs="Calibri"/>
          <w:sz w:val="24"/>
          <w:szCs w:val="24"/>
        </w:rPr>
        <w:t xml:space="preserve"> “Facilitates academic achievement among students with print disabilities”</w:t>
      </w:r>
      <w:r w:rsidR="00E23210">
        <w:rPr>
          <w:rFonts w:ascii="Calibri" w:hAnsi="Calibri" w:cs="Calibri"/>
          <w:sz w:val="24"/>
          <w:szCs w:val="24"/>
        </w:rPr>
        <w:t xml:space="preserve"> (85%),</w:t>
      </w:r>
      <w:r w:rsidR="00E5061A">
        <w:rPr>
          <w:rFonts w:ascii="Calibri" w:hAnsi="Calibri" w:cs="Calibri"/>
          <w:sz w:val="24"/>
          <w:szCs w:val="24"/>
        </w:rPr>
        <w:t xml:space="preserve"> and “Facilitates ownership of learning among students with print disabilities”</w:t>
      </w:r>
      <w:r w:rsidR="00E23210">
        <w:rPr>
          <w:rFonts w:ascii="Calibri" w:hAnsi="Calibri" w:cs="Calibri"/>
          <w:sz w:val="24"/>
          <w:szCs w:val="24"/>
        </w:rPr>
        <w:t xml:space="preserve"> (75%).</w:t>
      </w:r>
      <w:r w:rsidR="00E5061A">
        <w:rPr>
          <w:rFonts w:ascii="Calibri" w:hAnsi="Calibri" w:cs="Calibri"/>
          <w:sz w:val="24"/>
          <w:szCs w:val="24"/>
        </w:rPr>
        <w:t xml:space="preserve"> The two </w:t>
      </w:r>
      <w:r w:rsidR="00F0362B">
        <w:rPr>
          <w:rFonts w:ascii="Calibri" w:hAnsi="Calibri" w:cs="Calibri"/>
          <w:sz w:val="24"/>
          <w:szCs w:val="24"/>
        </w:rPr>
        <w:t xml:space="preserve">least endorsed </w:t>
      </w:r>
      <w:r w:rsidR="00E5061A">
        <w:rPr>
          <w:rFonts w:ascii="Calibri" w:hAnsi="Calibri" w:cs="Calibri"/>
          <w:sz w:val="24"/>
          <w:szCs w:val="24"/>
        </w:rPr>
        <w:lastRenderedPageBreak/>
        <w:t>items</w:t>
      </w:r>
      <w:r w:rsidR="00E23210">
        <w:rPr>
          <w:rFonts w:ascii="Calibri" w:hAnsi="Calibri" w:cs="Calibri"/>
          <w:sz w:val="24"/>
          <w:szCs w:val="24"/>
        </w:rPr>
        <w:t xml:space="preserve">, </w:t>
      </w:r>
      <w:r w:rsidR="009B0A93">
        <w:rPr>
          <w:rFonts w:ascii="Calibri" w:hAnsi="Calibri" w:cs="Calibri"/>
          <w:sz w:val="24"/>
          <w:szCs w:val="24"/>
        </w:rPr>
        <w:t xml:space="preserve">still </w:t>
      </w:r>
      <w:r w:rsidR="00E23210">
        <w:rPr>
          <w:rFonts w:ascii="Calibri" w:hAnsi="Calibri" w:cs="Calibri"/>
          <w:sz w:val="24"/>
          <w:szCs w:val="24"/>
        </w:rPr>
        <w:t>selected by over two-thirds of respondents,</w:t>
      </w:r>
      <w:r w:rsidR="00E5061A">
        <w:rPr>
          <w:rFonts w:ascii="Calibri" w:hAnsi="Calibri" w:cs="Calibri"/>
          <w:sz w:val="24"/>
          <w:szCs w:val="24"/>
        </w:rPr>
        <w:t xml:space="preserve"> were “Reduces stigma associated with print disabilities” </w:t>
      </w:r>
      <w:r w:rsidR="00C1579D">
        <w:rPr>
          <w:rFonts w:ascii="Calibri" w:hAnsi="Calibri" w:cs="Calibri"/>
          <w:sz w:val="24"/>
          <w:szCs w:val="24"/>
        </w:rPr>
        <w:t xml:space="preserve">(69%) </w:t>
      </w:r>
      <w:r w:rsidR="00E5061A">
        <w:rPr>
          <w:rFonts w:ascii="Calibri" w:hAnsi="Calibri" w:cs="Calibri"/>
          <w:sz w:val="24"/>
          <w:szCs w:val="24"/>
        </w:rPr>
        <w:t>and “Supports positive relationships among students with print disabilities</w:t>
      </w:r>
      <w:r w:rsidR="00C15067">
        <w:rPr>
          <w:rFonts w:ascii="Calibri" w:hAnsi="Calibri" w:cs="Calibri"/>
          <w:sz w:val="24"/>
          <w:szCs w:val="24"/>
        </w:rPr>
        <w:t xml:space="preserve"> and their peers</w:t>
      </w:r>
      <w:r w:rsidR="00E5061A">
        <w:rPr>
          <w:rFonts w:ascii="Calibri" w:hAnsi="Calibri" w:cs="Calibri"/>
          <w:sz w:val="24"/>
          <w:szCs w:val="24"/>
        </w:rPr>
        <w:t>”</w:t>
      </w:r>
      <w:r w:rsidR="00673523">
        <w:rPr>
          <w:rFonts w:ascii="Calibri" w:hAnsi="Calibri" w:cs="Calibri"/>
          <w:sz w:val="24"/>
          <w:szCs w:val="24"/>
        </w:rPr>
        <w:t xml:space="preserve"> </w:t>
      </w:r>
      <w:r w:rsidR="00C1579D">
        <w:rPr>
          <w:rFonts w:ascii="Calibri" w:hAnsi="Calibri" w:cs="Calibri"/>
          <w:sz w:val="24"/>
          <w:szCs w:val="24"/>
        </w:rPr>
        <w:t>(67%).</w:t>
      </w:r>
      <w:r w:rsidR="00E5061A">
        <w:rPr>
          <w:rFonts w:ascii="Calibri" w:hAnsi="Calibri" w:cs="Calibri"/>
          <w:sz w:val="24"/>
          <w:szCs w:val="24"/>
        </w:rPr>
        <w:t xml:space="preserve"> </w:t>
      </w:r>
    </w:p>
    <w:p w14:paraId="1EBD5675" w14:textId="77777777" w:rsidR="004935BF" w:rsidRDefault="004935BF" w:rsidP="004935BF">
      <w:pPr>
        <w:spacing w:after="0" w:line="276" w:lineRule="auto"/>
        <w:rPr>
          <w:rFonts w:ascii="Calibri" w:hAnsi="Calibri" w:cs="Calibri"/>
          <w:sz w:val="24"/>
          <w:szCs w:val="24"/>
        </w:rPr>
      </w:pPr>
    </w:p>
    <w:p w14:paraId="050CC676" w14:textId="2536BEBE" w:rsidR="00C929E1" w:rsidRDefault="00C929E1" w:rsidP="004946C3">
      <w:pPr>
        <w:pStyle w:val="Heading4"/>
      </w:pPr>
      <w:bookmarkStart w:id="14" w:name="_Toc222903985"/>
      <w:r w:rsidRPr="005919AC">
        <w:t xml:space="preserve">Figure </w:t>
      </w:r>
      <w:r w:rsidR="00D903B9">
        <w:t>2</w:t>
      </w:r>
      <w:r w:rsidRPr="005919AC">
        <w:t xml:space="preserve">. </w:t>
      </w:r>
      <w:r w:rsidR="0036156F">
        <w:t>Benefits of Timely Delivery</w:t>
      </w:r>
      <w:r w:rsidR="00B55C67">
        <w:rPr>
          <w:rFonts w:ascii="ZWAdobeF" w:hAnsi="ZWAdobeF" w:cs="ZWAdobeF"/>
          <w:i w:val="0"/>
          <w:color w:val="auto"/>
          <w:sz w:val="2"/>
          <w:szCs w:val="2"/>
        </w:rPr>
        <w:t>12F</w:t>
      </w:r>
      <w:r w:rsidR="00A56AC6" w:rsidRPr="005919AC">
        <w:rPr>
          <w:rStyle w:val="FootnoteReference"/>
          <w:rFonts w:cs="Calibri"/>
          <w:smallCaps/>
          <w:color w:val="44546A" w:themeColor="text2"/>
        </w:rPr>
        <w:footnoteReference w:id="13"/>
      </w:r>
      <w:bookmarkEnd w:id="14"/>
      <w:r w:rsidR="00D9633A">
        <w:t xml:space="preserve"> </w:t>
      </w:r>
    </w:p>
    <w:p w14:paraId="3B0588FB" w14:textId="70D18506" w:rsidR="00D9633A" w:rsidRPr="00C00E5D" w:rsidRDefault="00B55C67" w:rsidP="00C00E5D">
      <w:pPr>
        <w:jc w:val="center"/>
        <w:rPr>
          <w:color w:val="000000" w:themeColor="text1"/>
        </w:rPr>
      </w:pPr>
      <w:r>
        <w:rPr>
          <w:rFonts w:ascii="ZWAdobeF" w:hAnsi="ZWAdobeF" w:cs="ZWAdobeF"/>
          <w:sz w:val="2"/>
          <w:szCs w:val="2"/>
        </w:rPr>
        <w:t>96</w:t>
      </w:r>
      <w:proofErr w:type="gramStart"/>
      <w:r>
        <w:rPr>
          <w:rFonts w:ascii="ZWAdobeF" w:hAnsi="ZWAdobeF" w:cs="ZWAdobeF"/>
          <w:sz w:val="2"/>
          <w:szCs w:val="2"/>
        </w:rPr>
        <w:t>B</w:t>
      </w:r>
      <w:r w:rsidR="00CA6E65">
        <w:rPr>
          <w:color w:val="000000" w:themeColor="text1"/>
        </w:rPr>
        <w:t>(</w:t>
      </w:r>
      <w:proofErr w:type="gramEnd"/>
      <w:r w:rsidR="009F1957" w:rsidRPr="009F1957">
        <w:rPr>
          <w:i/>
          <w:iCs/>
          <w:color w:val="000000" w:themeColor="text1"/>
        </w:rPr>
        <w:t>n</w:t>
      </w:r>
      <w:r w:rsidR="00CA6E65">
        <w:rPr>
          <w:color w:val="000000" w:themeColor="text1"/>
        </w:rPr>
        <w:t xml:space="preserve"> = 312)</w:t>
      </w:r>
    </w:p>
    <w:p w14:paraId="22302816" w14:textId="062C4FF9" w:rsidR="00D9633A" w:rsidRDefault="0036156F" w:rsidP="00290E68">
      <w:pPr>
        <w:spacing w:after="0" w:line="276" w:lineRule="auto"/>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6432" behindDoc="0" locked="0" layoutInCell="1" allowOverlap="1" wp14:anchorId="368AD11E" wp14:editId="22B2D53F">
            <wp:simplePos x="0" y="0"/>
            <wp:positionH relativeFrom="column">
              <wp:posOffset>36214</wp:posOffset>
            </wp:positionH>
            <wp:positionV relativeFrom="paragraph">
              <wp:posOffset>-1830</wp:posOffset>
            </wp:positionV>
            <wp:extent cx="5861685" cy="3341914"/>
            <wp:effectExtent l="0" t="0" r="5715" b="0"/>
            <wp:wrapTopAndBottom/>
            <wp:docPr id="1161590519" name="Chart 1161590519" descr="Figure 2 is a horizontal bar chart showing reported benefits of timely delivery of accessible formats for students with print disabilities (n = 312). Respondents indicated that timely delivery promotes equitable access to instructional materials (93%), promotes independence among students with print disabilities (91%), promotes active learning among students with print disabilities (91%), supports psychological well-being of students with print disabilities (85%), facilitates academic achievement among students with print disabilities (85%), facilitates ownership of learning among students with print disabilities (75%), reduces stigma associated with print disabilities (69%), supports positive relationships among students with print disabilities and their peers (67%), and other benefits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sidR="00D9633A">
        <w:rPr>
          <w:rFonts w:ascii="Times New Roman" w:hAnsi="Times New Roman" w:cs="Times New Roman"/>
          <w:sz w:val="24"/>
          <w:szCs w:val="24"/>
        </w:rPr>
        <w:t xml:space="preserve"> </w:t>
      </w:r>
    </w:p>
    <w:p w14:paraId="3B4FDF90" w14:textId="06FB46A3" w:rsidR="00CF78BA" w:rsidRPr="00BB1752" w:rsidRDefault="00B55C67" w:rsidP="00074FD5">
      <w:pPr>
        <w:spacing w:after="0" w:line="276" w:lineRule="auto"/>
        <w:rPr>
          <w:rFonts w:cstheme="minorHAnsi"/>
          <w:sz w:val="24"/>
          <w:szCs w:val="24"/>
        </w:rPr>
      </w:pPr>
      <w:r>
        <w:rPr>
          <w:rFonts w:ascii="ZWAdobeF" w:hAnsi="ZWAdobeF" w:cs="ZWAdobeF"/>
          <w:sz w:val="2"/>
          <w:szCs w:val="2"/>
        </w:rPr>
        <w:t>97B</w:t>
      </w:r>
      <w:r w:rsidR="00CF78BA" w:rsidRPr="00BB1752">
        <w:rPr>
          <w:rFonts w:cstheme="minorHAnsi"/>
          <w:sz w:val="24"/>
          <w:szCs w:val="24"/>
        </w:rPr>
        <w:t xml:space="preserve">When comparing the pattern of responses displayed in Figure </w:t>
      </w:r>
      <w:r w:rsidR="0030099F">
        <w:rPr>
          <w:rFonts w:cstheme="minorHAnsi"/>
          <w:sz w:val="24"/>
          <w:szCs w:val="24"/>
        </w:rPr>
        <w:t>2</w:t>
      </w:r>
      <w:r w:rsidR="00CF78BA" w:rsidRPr="00BB1752">
        <w:rPr>
          <w:rFonts w:cstheme="minorHAnsi"/>
          <w:sz w:val="24"/>
          <w:szCs w:val="24"/>
        </w:rPr>
        <w:t xml:space="preserve"> across the three case study states as well as the national survey, </w:t>
      </w:r>
      <w:r w:rsidR="00CF78BA" w:rsidRPr="002712E4">
        <w:rPr>
          <w:rFonts w:cstheme="minorHAnsi"/>
          <w:sz w:val="24"/>
          <w:szCs w:val="24"/>
        </w:rPr>
        <w:t xml:space="preserve">there </w:t>
      </w:r>
      <w:r w:rsidR="0030099F" w:rsidRPr="002712E4">
        <w:rPr>
          <w:rFonts w:cstheme="minorHAnsi"/>
          <w:sz w:val="24"/>
          <w:szCs w:val="24"/>
        </w:rPr>
        <w:t>were</w:t>
      </w:r>
      <w:r w:rsidR="0030099F" w:rsidRPr="002712E4">
        <w:rPr>
          <w:rFonts w:cstheme="minorHAnsi"/>
          <w:i/>
          <w:iCs/>
          <w:sz w:val="24"/>
          <w:szCs w:val="24"/>
        </w:rPr>
        <w:t xml:space="preserve"> </w:t>
      </w:r>
      <w:r w:rsidR="0030099F" w:rsidRPr="00DC106E">
        <w:rPr>
          <w:rFonts w:cstheme="minorHAnsi"/>
          <w:i/>
          <w:iCs/>
          <w:color w:val="DC2328"/>
          <w:sz w:val="24"/>
          <w:szCs w:val="24"/>
        </w:rPr>
        <w:t>two</w:t>
      </w:r>
      <w:r w:rsidR="00CF78BA" w:rsidRPr="00DC106E">
        <w:rPr>
          <w:rFonts w:cstheme="minorHAnsi"/>
          <w:i/>
          <w:iCs/>
          <w:color w:val="DC2328"/>
          <w:sz w:val="24"/>
          <w:szCs w:val="24"/>
        </w:rPr>
        <w:t xml:space="preserve"> statistically significant</w:t>
      </w:r>
      <w:r w:rsidR="006E367A" w:rsidRPr="00DC106E">
        <w:rPr>
          <w:rFonts w:cstheme="minorHAnsi"/>
          <w:i/>
          <w:iCs/>
          <w:color w:val="DC2328"/>
          <w:sz w:val="24"/>
          <w:szCs w:val="24"/>
        </w:rPr>
        <w:t xml:space="preserve"> finding</w:t>
      </w:r>
      <w:r w:rsidR="0030099F" w:rsidRPr="00DC106E">
        <w:rPr>
          <w:rFonts w:cstheme="minorHAnsi"/>
          <w:i/>
          <w:iCs/>
          <w:color w:val="DC2328"/>
          <w:sz w:val="24"/>
          <w:szCs w:val="24"/>
        </w:rPr>
        <w:t>s</w:t>
      </w:r>
      <w:r w:rsidR="00DC106E">
        <w:rPr>
          <w:rFonts w:cstheme="minorHAnsi"/>
          <w:i/>
          <w:iCs/>
          <w:color w:val="DC2328"/>
          <w:sz w:val="24"/>
          <w:szCs w:val="24"/>
        </w:rPr>
        <w:t>.</w:t>
      </w:r>
      <w:r w:rsidR="002622C3" w:rsidRPr="00BB1752">
        <w:rPr>
          <w:rFonts w:cstheme="minorHAnsi"/>
          <w:sz w:val="24"/>
          <w:szCs w:val="24"/>
        </w:rPr>
        <w:t xml:space="preserve"> </w:t>
      </w:r>
      <w:r w:rsidR="00CF78BA" w:rsidRPr="00BB1752">
        <w:rPr>
          <w:rFonts w:cstheme="minorHAnsi"/>
          <w:sz w:val="24"/>
          <w:szCs w:val="24"/>
        </w:rPr>
        <w:t xml:space="preserve">Specifically, </w:t>
      </w:r>
      <w:r w:rsidR="002622C3" w:rsidRPr="00BB1752">
        <w:rPr>
          <w:rFonts w:cstheme="minorHAnsi"/>
          <w:sz w:val="24"/>
          <w:szCs w:val="24"/>
        </w:rPr>
        <w:t>respondents in Ohio were more likely than other respondents to endorse “Supports the psychological well-being of students with print disabilities” as one of the positive benefits of timely deliver</w:t>
      </w:r>
      <w:r w:rsidR="006F60F6">
        <w:rPr>
          <w:rFonts w:cstheme="minorHAnsi"/>
          <w:sz w:val="24"/>
          <w:szCs w:val="24"/>
        </w:rPr>
        <w:t>y</w:t>
      </w:r>
      <w:r w:rsidR="00CF78BA" w:rsidRPr="00BB1752">
        <w:rPr>
          <w:rFonts w:cstheme="minorHAnsi"/>
          <w:sz w:val="24"/>
          <w:szCs w:val="24"/>
        </w:rPr>
        <w:t>, (</w:t>
      </w:r>
      <w:r w:rsidR="00CF78BA" w:rsidRPr="00BB1752">
        <w:rPr>
          <w:rFonts w:cstheme="minorHAnsi"/>
          <w:sz w:val="24"/>
          <w:szCs w:val="24"/>
        </w:rPr>
        <w:sym w:font="Symbol" w:char="F063"/>
      </w:r>
      <w:r w:rsidR="00CF78BA" w:rsidRPr="00BB1752">
        <w:rPr>
          <w:rFonts w:cstheme="minorHAnsi"/>
          <w:sz w:val="24"/>
          <w:szCs w:val="24"/>
          <w:vertAlign w:val="superscript"/>
        </w:rPr>
        <w:t>2</w:t>
      </w:r>
      <w:r w:rsidR="00CF78BA" w:rsidRPr="00BB1752">
        <w:rPr>
          <w:rFonts w:cstheme="minorHAnsi"/>
          <w:sz w:val="24"/>
          <w:szCs w:val="24"/>
        </w:rPr>
        <w:t>(</w:t>
      </w:r>
      <w:r w:rsidR="002622C3" w:rsidRPr="00BB1752">
        <w:rPr>
          <w:rFonts w:cstheme="minorHAnsi"/>
          <w:sz w:val="24"/>
          <w:szCs w:val="24"/>
        </w:rPr>
        <w:t>3</w:t>
      </w:r>
      <w:r w:rsidR="00CF78BA" w:rsidRPr="00BB1752">
        <w:rPr>
          <w:rFonts w:cstheme="minorHAnsi"/>
          <w:sz w:val="24"/>
          <w:szCs w:val="24"/>
        </w:rPr>
        <w:t xml:space="preserve">) = </w:t>
      </w:r>
      <w:r w:rsidR="00C94304">
        <w:rPr>
          <w:rFonts w:cstheme="minorHAnsi"/>
          <w:sz w:val="24"/>
          <w:szCs w:val="24"/>
        </w:rPr>
        <w:t>11.12</w:t>
      </w:r>
      <w:r w:rsidR="00CF78BA" w:rsidRPr="00BB1752">
        <w:rPr>
          <w:rFonts w:cstheme="minorHAnsi"/>
          <w:sz w:val="24"/>
          <w:szCs w:val="24"/>
        </w:rPr>
        <w:t xml:space="preserve">, </w:t>
      </w:r>
      <w:r w:rsidR="00CF78BA" w:rsidRPr="00BB1752">
        <w:rPr>
          <w:rFonts w:cstheme="minorHAnsi"/>
          <w:i/>
          <w:iCs/>
          <w:sz w:val="24"/>
          <w:szCs w:val="24"/>
        </w:rPr>
        <w:t>p</w:t>
      </w:r>
      <w:r w:rsidR="00CF78BA" w:rsidRPr="00BB1752">
        <w:rPr>
          <w:rFonts w:cstheme="minorHAnsi"/>
          <w:sz w:val="24"/>
          <w:szCs w:val="24"/>
        </w:rPr>
        <w:t xml:space="preserve"> </w:t>
      </w:r>
      <w:r w:rsidR="002622C3" w:rsidRPr="00BB1752">
        <w:rPr>
          <w:rFonts w:cstheme="minorHAnsi"/>
          <w:sz w:val="24"/>
          <w:szCs w:val="24"/>
        </w:rPr>
        <w:t>&lt;</w:t>
      </w:r>
      <w:r w:rsidR="00CF78BA" w:rsidRPr="00BB1752">
        <w:rPr>
          <w:rFonts w:cstheme="minorHAnsi"/>
          <w:sz w:val="24"/>
          <w:szCs w:val="24"/>
        </w:rPr>
        <w:t xml:space="preserve"> .</w:t>
      </w:r>
      <w:r w:rsidR="002622C3" w:rsidRPr="00BB1752">
        <w:rPr>
          <w:rFonts w:cstheme="minorHAnsi"/>
          <w:sz w:val="24"/>
          <w:szCs w:val="24"/>
        </w:rPr>
        <w:t>05</w:t>
      </w:r>
      <w:r w:rsidR="00F5053E" w:rsidRPr="00BB1752">
        <w:rPr>
          <w:rFonts w:cstheme="minorHAnsi"/>
          <w:sz w:val="24"/>
          <w:szCs w:val="24"/>
        </w:rPr>
        <w:t>, standardized residual = 2.</w:t>
      </w:r>
      <w:r w:rsidR="00C94304">
        <w:rPr>
          <w:rFonts w:cstheme="minorHAnsi"/>
          <w:sz w:val="24"/>
          <w:szCs w:val="24"/>
        </w:rPr>
        <w:t>3</w:t>
      </w:r>
      <w:r w:rsidR="00CF78BA" w:rsidRPr="00BB1752">
        <w:rPr>
          <w:rFonts w:cstheme="minorHAnsi"/>
          <w:sz w:val="24"/>
          <w:szCs w:val="24"/>
        </w:rPr>
        <w:t xml:space="preserve">; see Figure </w:t>
      </w:r>
      <w:r w:rsidR="0030099F">
        <w:rPr>
          <w:rFonts w:cstheme="minorHAnsi"/>
          <w:sz w:val="24"/>
          <w:szCs w:val="24"/>
        </w:rPr>
        <w:t>3</w:t>
      </w:r>
      <w:r w:rsidR="00CF78BA" w:rsidRPr="00BB1752">
        <w:rPr>
          <w:rFonts w:cstheme="minorHAnsi"/>
          <w:sz w:val="24"/>
          <w:szCs w:val="24"/>
        </w:rPr>
        <w:t xml:space="preserve">). </w:t>
      </w:r>
      <w:r w:rsidR="00C94304">
        <w:rPr>
          <w:rFonts w:cstheme="minorHAnsi"/>
          <w:sz w:val="24"/>
          <w:szCs w:val="24"/>
        </w:rPr>
        <w:t xml:space="preserve">In addition, respondents to the </w:t>
      </w:r>
      <w:r w:rsidR="0030099F">
        <w:rPr>
          <w:rFonts w:cstheme="minorHAnsi"/>
          <w:sz w:val="24"/>
          <w:szCs w:val="24"/>
        </w:rPr>
        <w:t>n</w:t>
      </w:r>
      <w:r w:rsidR="00C94304">
        <w:rPr>
          <w:rFonts w:cstheme="minorHAnsi"/>
          <w:sz w:val="24"/>
          <w:szCs w:val="24"/>
        </w:rPr>
        <w:t xml:space="preserve">ational </w:t>
      </w:r>
      <w:r w:rsidR="0030099F">
        <w:rPr>
          <w:rFonts w:cstheme="minorHAnsi"/>
          <w:sz w:val="24"/>
          <w:szCs w:val="24"/>
        </w:rPr>
        <w:t>s</w:t>
      </w:r>
      <w:r w:rsidR="00C94304">
        <w:rPr>
          <w:rFonts w:cstheme="minorHAnsi"/>
          <w:sz w:val="24"/>
          <w:szCs w:val="24"/>
        </w:rPr>
        <w:t xml:space="preserve">urvey were less likely to endorse this same item </w:t>
      </w:r>
      <w:r w:rsidR="00C94304" w:rsidRPr="00BB1752">
        <w:rPr>
          <w:rFonts w:cstheme="minorHAnsi"/>
          <w:sz w:val="24"/>
          <w:szCs w:val="24"/>
        </w:rPr>
        <w:t>(</w:t>
      </w:r>
      <w:r w:rsidR="00C94304" w:rsidRPr="00BB1752">
        <w:rPr>
          <w:rFonts w:cstheme="minorHAnsi"/>
          <w:sz w:val="24"/>
          <w:szCs w:val="24"/>
        </w:rPr>
        <w:sym w:font="Symbol" w:char="F063"/>
      </w:r>
      <w:r w:rsidR="00C94304" w:rsidRPr="00BB1752">
        <w:rPr>
          <w:rFonts w:cstheme="minorHAnsi"/>
          <w:sz w:val="24"/>
          <w:szCs w:val="24"/>
          <w:vertAlign w:val="superscript"/>
        </w:rPr>
        <w:t>2</w:t>
      </w:r>
      <w:r w:rsidR="00C94304" w:rsidRPr="00BB1752">
        <w:rPr>
          <w:rFonts w:cstheme="minorHAnsi"/>
          <w:sz w:val="24"/>
          <w:szCs w:val="24"/>
        </w:rPr>
        <w:t xml:space="preserve">(3) = </w:t>
      </w:r>
      <w:r w:rsidR="00C94304">
        <w:rPr>
          <w:rFonts w:cstheme="minorHAnsi"/>
          <w:sz w:val="24"/>
          <w:szCs w:val="24"/>
        </w:rPr>
        <w:t>11.12</w:t>
      </w:r>
      <w:r w:rsidR="00C94304" w:rsidRPr="00BB1752">
        <w:rPr>
          <w:rFonts w:cstheme="minorHAnsi"/>
          <w:sz w:val="24"/>
          <w:szCs w:val="24"/>
        </w:rPr>
        <w:t xml:space="preserve">, </w:t>
      </w:r>
      <w:r w:rsidR="00C94304" w:rsidRPr="00BB1752">
        <w:rPr>
          <w:rFonts w:cstheme="minorHAnsi"/>
          <w:i/>
          <w:iCs/>
          <w:sz w:val="24"/>
          <w:szCs w:val="24"/>
        </w:rPr>
        <w:t>p</w:t>
      </w:r>
      <w:r w:rsidR="00C94304" w:rsidRPr="00BB1752">
        <w:rPr>
          <w:rFonts w:cstheme="minorHAnsi"/>
          <w:sz w:val="24"/>
          <w:szCs w:val="24"/>
        </w:rPr>
        <w:t xml:space="preserve"> &lt; .05, standardized residual = 2</w:t>
      </w:r>
      <w:r w:rsidR="00C94304">
        <w:rPr>
          <w:rFonts w:cstheme="minorHAnsi"/>
          <w:sz w:val="24"/>
          <w:szCs w:val="24"/>
        </w:rPr>
        <w:t>.0</w:t>
      </w:r>
      <w:r w:rsidR="00C94304" w:rsidRPr="00BB1752">
        <w:rPr>
          <w:rFonts w:cstheme="minorHAnsi"/>
          <w:sz w:val="24"/>
          <w:szCs w:val="24"/>
        </w:rPr>
        <w:t xml:space="preserve">; see Figure </w:t>
      </w:r>
      <w:r w:rsidR="0030099F">
        <w:rPr>
          <w:rFonts w:cstheme="minorHAnsi"/>
          <w:sz w:val="24"/>
          <w:szCs w:val="24"/>
        </w:rPr>
        <w:t>3</w:t>
      </w:r>
      <w:r w:rsidR="00C94304" w:rsidRPr="00BB1752">
        <w:rPr>
          <w:rFonts w:cstheme="minorHAnsi"/>
          <w:sz w:val="24"/>
          <w:szCs w:val="24"/>
        </w:rPr>
        <w:t>)</w:t>
      </w:r>
      <w:r w:rsidR="00C94304">
        <w:rPr>
          <w:rFonts w:cstheme="minorHAnsi"/>
          <w:sz w:val="24"/>
          <w:szCs w:val="24"/>
        </w:rPr>
        <w:t xml:space="preserve">. </w:t>
      </w:r>
      <w:r w:rsidR="00074FD5">
        <w:rPr>
          <w:rFonts w:cstheme="minorHAnsi"/>
          <w:sz w:val="24"/>
          <w:szCs w:val="24"/>
        </w:rPr>
        <w:t>Th</w:t>
      </w:r>
      <w:r w:rsidR="00C94304">
        <w:rPr>
          <w:rFonts w:cstheme="minorHAnsi"/>
          <w:sz w:val="24"/>
          <w:szCs w:val="24"/>
        </w:rPr>
        <w:t>ese</w:t>
      </w:r>
      <w:r w:rsidR="00074FD5">
        <w:rPr>
          <w:rFonts w:cstheme="minorHAnsi"/>
          <w:sz w:val="24"/>
          <w:szCs w:val="24"/>
        </w:rPr>
        <w:t xml:space="preserve"> </w:t>
      </w:r>
      <w:r w:rsidR="00C94304">
        <w:rPr>
          <w:rFonts w:cstheme="minorHAnsi"/>
          <w:sz w:val="24"/>
          <w:szCs w:val="24"/>
        </w:rPr>
        <w:t>findings</w:t>
      </w:r>
      <w:r w:rsidR="00074FD5">
        <w:rPr>
          <w:rFonts w:cstheme="minorHAnsi"/>
          <w:sz w:val="24"/>
          <w:szCs w:val="24"/>
        </w:rPr>
        <w:t xml:space="preserve"> may suggest that stakeholders in Ohio </w:t>
      </w:r>
      <w:r w:rsidR="00F92026">
        <w:rPr>
          <w:rFonts w:cstheme="minorHAnsi"/>
          <w:sz w:val="24"/>
          <w:szCs w:val="24"/>
        </w:rPr>
        <w:t>have a heightened awareness of</w:t>
      </w:r>
      <w:r w:rsidR="00074FD5">
        <w:rPr>
          <w:rFonts w:cstheme="minorHAnsi"/>
          <w:sz w:val="24"/>
          <w:szCs w:val="24"/>
        </w:rPr>
        <w:t xml:space="preserve"> the psychological benefits of timely delivery among students with print disabilities</w:t>
      </w:r>
      <w:r w:rsidR="00C94304">
        <w:rPr>
          <w:rFonts w:cstheme="minorHAnsi"/>
          <w:sz w:val="24"/>
          <w:szCs w:val="24"/>
        </w:rPr>
        <w:t xml:space="preserve"> compared to stakeholders in other states. </w:t>
      </w:r>
    </w:p>
    <w:p w14:paraId="369F9007" w14:textId="77777777" w:rsidR="002622C3" w:rsidRDefault="002622C3" w:rsidP="00D9633A">
      <w:pPr>
        <w:spacing w:after="0" w:line="276" w:lineRule="auto"/>
        <w:rPr>
          <w:rFonts w:ascii="Times New Roman" w:hAnsi="Times New Roman" w:cs="Times New Roman"/>
          <w:sz w:val="24"/>
          <w:szCs w:val="24"/>
        </w:rPr>
      </w:pPr>
    </w:p>
    <w:p w14:paraId="571884F6" w14:textId="40403F89" w:rsidR="002622C3" w:rsidRDefault="002622C3" w:rsidP="004946C3">
      <w:pPr>
        <w:pStyle w:val="Heading4"/>
      </w:pPr>
      <w:bookmarkStart w:id="15" w:name="_Toc222903986"/>
      <w:r w:rsidRPr="005919AC">
        <w:lastRenderedPageBreak/>
        <w:t xml:space="preserve">Figure </w:t>
      </w:r>
      <w:r w:rsidR="0030099F">
        <w:t>3</w:t>
      </w:r>
      <w:r w:rsidRPr="005919AC">
        <w:t xml:space="preserve">. </w:t>
      </w:r>
      <w:r>
        <w:t>Benefits of Timely Delivery</w:t>
      </w:r>
      <w:r w:rsidR="007A5F1B">
        <w:t xml:space="preserve">: </w:t>
      </w:r>
      <w:r w:rsidR="00B9406C">
        <w:t>Difference</w:t>
      </w:r>
      <w:r w:rsidR="003049DE">
        <w:t>s</w:t>
      </w:r>
      <w:r w:rsidR="00B9406C">
        <w:t xml:space="preserve"> </w:t>
      </w:r>
      <w:r w:rsidR="00F92026">
        <w:t xml:space="preserve">by </w:t>
      </w:r>
      <w:r w:rsidR="00B9406C">
        <w:t>Location</w:t>
      </w:r>
      <w:r w:rsidR="00B55C67">
        <w:rPr>
          <w:rFonts w:ascii="ZWAdobeF" w:hAnsi="ZWAdobeF" w:cs="ZWAdobeF"/>
          <w:i w:val="0"/>
          <w:color w:val="auto"/>
          <w:sz w:val="2"/>
          <w:szCs w:val="2"/>
        </w:rPr>
        <w:t>13F</w:t>
      </w:r>
      <w:r w:rsidRPr="005919AC">
        <w:rPr>
          <w:rStyle w:val="FootnoteReference"/>
          <w:rFonts w:cs="Calibri"/>
          <w:smallCaps/>
          <w:color w:val="44546A" w:themeColor="text2"/>
        </w:rPr>
        <w:footnoteReference w:id="14"/>
      </w:r>
      <w:bookmarkEnd w:id="15"/>
    </w:p>
    <w:p w14:paraId="1BDF0D93" w14:textId="4F3D8A9B" w:rsidR="002622C3" w:rsidRPr="004935BF" w:rsidRDefault="00B55C67" w:rsidP="004935BF">
      <w:pPr>
        <w:jc w:val="center"/>
      </w:pPr>
      <w:r>
        <w:rPr>
          <w:rFonts w:ascii="ZWAdobeF" w:hAnsi="ZWAdobeF" w:cs="ZWAdobeF"/>
          <w:sz w:val="2"/>
          <w:szCs w:val="2"/>
        </w:rPr>
        <w:t>98</w:t>
      </w:r>
      <w:proofErr w:type="gramStart"/>
      <w:r>
        <w:rPr>
          <w:rFonts w:ascii="ZWAdobeF" w:hAnsi="ZWAdobeF" w:cs="ZWAdobeF"/>
          <w:sz w:val="2"/>
          <w:szCs w:val="2"/>
        </w:rPr>
        <w:t>B</w:t>
      </w:r>
      <w:r w:rsidR="00CA6E65">
        <w:t>(</w:t>
      </w:r>
      <w:proofErr w:type="gramEnd"/>
      <w:r w:rsidR="00CA6E65" w:rsidRPr="009F1957">
        <w:rPr>
          <w:i/>
          <w:iCs/>
        </w:rPr>
        <w:t>n</w:t>
      </w:r>
      <w:r w:rsidR="00CA6E65">
        <w:t xml:space="preserve"> = 312)</w:t>
      </w:r>
    </w:p>
    <w:p w14:paraId="79FA5C9A" w14:textId="713311C4" w:rsidR="00CF78BA" w:rsidRDefault="00B55C67" w:rsidP="004935BF">
      <w:pPr>
        <w:spacing w:after="0" w:line="276" w:lineRule="auto"/>
        <w:jc w:val="center"/>
        <w:rPr>
          <w:rFonts w:cstheme="minorHAnsi"/>
          <w:sz w:val="24"/>
          <w:szCs w:val="24"/>
        </w:rPr>
      </w:pPr>
      <w:r>
        <w:rPr>
          <w:rFonts w:ascii="ZWAdobeF" w:hAnsi="ZWAdobeF" w:cs="ZWAdobeF"/>
          <w:sz w:val="2"/>
          <w:szCs w:val="2"/>
        </w:rPr>
        <w:t>99B</w:t>
      </w:r>
      <w:r w:rsidR="002622C3" w:rsidRPr="00012B18">
        <w:rPr>
          <w:rFonts w:ascii="Times New Roman" w:hAnsi="Times New Roman" w:cs="Times New Roman"/>
          <w:b/>
          <w:noProof/>
          <w:color w:val="0070C0"/>
        </w:rPr>
        <w:drawing>
          <wp:inline distT="0" distB="0" distL="0" distR="0" wp14:anchorId="6083FDEE" wp14:editId="79468EFD">
            <wp:extent cx="3743325" cy="3105150"/>
            <wp:effectExtent l="0" t="0" r="0" b="0"/>
            <wp:docPr id="1328817657" name="Chart 3" descr="Figure 3 is a vertical bar chart showing the benefits of timely delivery by location (n = 312). Respondents indicated that timely delivery supports the psychological well-being of students as follows: 78% of respondents to the national survey (n = 117), 94% of respondents from Ohio (n = 99), 86% of respondents from Oregon (n = 49), and 83% of respondents from Utah (n = 47). Asterisks indicate both the national and Ohio responses were statistically significant. "/>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18770701" w14:textId="77777777" w:rsidR="004935BF" w:rsidRPr="004935BF" w:rsidRDefault="004935BF" w:rsidP="004935BF">
      <w:pPr>
        <w:spacing w:after="0" w:line="276" w:lineRule="auto"/>
        <w:jc w:val="center"/>
        <w:rPr>
          <w:rFonts w:cstheme="minorHAnsi"/>
          <w:sz w:val="24"/>
          <w:szCs w:val="24"/>
        </w:rPr>
      </w:pPr>
    </w:p>
    <w:p w14:paraId="4B7C523A" w14:textId="7BD253AA" w:rsidR="000B460D" w:rsidRDefault="00B55C67" w:rsidP="000B460D">
      <w:pPr>
        <w:spacing w:after="0" w:line="276" w:lineRule="auto"/>
        <w:rPr>
          <w:rFonts w:cstheme="minorHAnsi"/>
          <w:sz w:val="24"/>
          <w:szCs w:val="24"/>
        </w:rPr>
      </w:pPr>
      <w:r>
        <w:rPr>
          <w:rFonts w:ascii="ZWAdobeF" w:hAnsi="ZWAdobeF" w:cs="ZWAdobeF"/>
          <w:sz w:val="2"/>
          <w:szCs w:val="2"/>
        </w:rPr>
        <w:t>100B</w:t>
      </w:r>
      <w:r w:rsidR="000B460D" w:rsidRPr="00BB1752">
        <w:rPr>
          <w:rFonts w:cstheme="minorHAnsi"/>
          <w:sz w:val="24"/>
          <w:szCs w:val="24"/>
        </w:rPr>
        <w:t xml:space="preserve">When </w:t>
      </w:r>
      <w:r w:rsidR="000B460D">
        <w:rPr>
          <w:rFonts w:cstheme="minorHAnsi"/>
          <w:sz w:val="24"/>
          <w:szCs w:val="24"/>
        </w:rPr>
        <w:t>examining positive benefits of timely delivery across respondent roles,</w:t>
      </w:r>
      <w:r>
        <w:rPr>
          <w:rFonts w:ascii="ZWAdobeF" w:hAnsi="ZWAdobeF" w:cs="ZWAdobeF"/>
          <w:sz w:val="2"/>
          <w:szCs w:val="2"/>
        </w:rPr>
        <w:t>14F</w:t>
      </w:r>
      <w:r w:rsidR="00B038B0">
        <w:rPr>
          <w:rStyle w:val="FootnoteReference"/>
          <w:rFonts w:ascii="Calibri" w:hAnsi="Calibri" w:cs="Calibri"/>
          <w:sz w:val="24"/>
          <w:szCs w:val="24"/>
        </w:rPr>
        <w:footnoteReference w:id="15"/>
      </w:r>
      <w:r w:rsidR="000B460D">
        <w:rPr>
          <w:rFonts w:cstheme="minorHAnsi"/>
          <w:sz w:val="24"/>
          <w:szCs w:val="24"/>
        </w:rPr>
        <w:t xml:space="preserve"> there were </w:t>
      </w:r>
      <w:r w:rsidR="000B460D" w:rsidRPr="0006003E">
        <w:rPr>
          <w:rFonts w:cstheme="minorHAnsi"/>
          <w:i/>
          <w:iCs/>
          <w:color w:val="EE0000"/>
          <w:sz w:val="24"/>
          <w:szCs w:val="24"/>
        </w:rPr>
        <w:t xml:space="preserve">two statistically significant </w:t>
      </w:r>
      <w:r w:rsidR="000B460D" w:rsidRPr="00F71D96">
        <w:rPr>
          <w:rFonts w:cstheme="minorHAnsi"/>
          <w:i/>
          <w:iCs/>
          <w:color w:val="EE0000"/>
          <w:sz w:val="24"/>
          <w:szCs w:val="24"/>
        </w:rPr>
        <w:t>findings</w:t>
      </w:r>
      <w:r w:rsidR="000B460D" w:rsidRPr="00F71D96">
        <w:rPr>
          <w:rFonts w:cstheme="minorHAnsi"/>
          <w:color w:val="EE0000"/>
          <w:sz w:val="24"/>
          <w:szCs w:val="24"/>
        </w:rPr>
        <w:t>.</w:t>
      </w:r>
      <w:r w:rsidR="000B460D">
        <w:rPr>
          <w:rFonts w:cstheme="minorHAnsi"/>
          <w:sz w:val="24"/>
          <w:szCs w:val="24"/>
        </w:rPr>
        <w:t xml:space="preserve"> IMC/IRC staff were </w:t>
      </w:r>
      <w:r w:rsidR="003652CB">
        <w:rPr>
          <w:rFonts w:cstheme="minorHAnsi"/>
          <w:sz w:val="24"/>
          <w:szCs w:val="24"/>
        </w:rPr>
        <w:t>less</w:t>
      </w:r>
      <w:r w:rsidR="000B460D">
        <w:rPr>
          <w:rFonts w:cstheme="minorHAnsi"/>
          <w:sz w:val="24"/>
          <w:szCs w:val="24"/>
        </w:rPr>
        <w:t xml:space="preserve"> likely </w:t>
      </w:r>
      <w:r w:rsidR="000B460D" w:rsidRPr="00BB1752">
        <w:rPr>
          <w:rFonts w:cstheme="minorHAnsi"/>
          <w:sz w:val="24"/>
          <w:szCs w:val="24"/>
        </w:rPr>
        <w:t xml:space="preserve">than other respondents to endorse </w:t>
      </w:r>
      <w:r w:rsidR="000B460D">
        <w:rPr>
          <w:rFonts w:ascii="Calibri" w:hAnsi="Calibri" w:cs="Calibri"/>
          <w:sz w:val="24"/>
          <w:szCs w:val="24"/>
        </w:rPr>
        <w:t xml:space="preserve">“Promotes active learning among students with print disabilities” </w:t>
      </w:r>
      <w:r w:rsidR="000B460D" w:rsidRPr="00BB1752">
        <w:rPr>
          <w:rFonts w:cstheme="minorHAnsi"/>
          <w:sz w:val="24"/>
          <w:szCs w:val="24"/>
        </w:rPr>
        <w:t>as one of the positive benefits of timely deliver</w:t>
      </w:r>
      <w:r w:rsidR="000B460D">
        <w:rPr>
          <w:rFonts w:cstheme="minorHAnsi"/>
          <w:sz w:val="24"/>
          <w:szCs w:val="24"/>
        </w:rPr>
        <w:t>y</w:t>
      </w:r>
      <w:r w:rsidR="000B460D" w:rsidRPr="00BB1752">
        <w:rPr>
          <w:rFonts w:cstheme="minorHAnsi"/>
          <w:sz w:val="24"/>
          <w:szCs w:val="24"/>
        </w:rPr>
        <w:t xml:space="preserve"> (</w:t>
      </w:r>
      <w:r w:rsidR="003652CB">
        <w:rPr>
          <w:rFonts w:cstheme="minorHAnsi"/>
          <w:sz w:val="24"/>
          <w:szCs w:val="24"/>
        </w:rPr>
        <w:t xml:space="preserve">Fisher’s exact test </w:t>
      </w:r>
      <w:r w:rsidR="000B460D" w:rsidRPr="00BB1752">
        <w:rPr>
          <w:rFonts w:cstheme="minorHAnsi"/>
          <w:i/>
          <w:iCs/>
          <w:sz w:val="24"/>
          <w:szCs w:val="24"/>
        </w:rPr>
        <w:t>p</w:t>
      </w:r>
      <w:r w:rsidR="000B460D" w:rsidRPr="00BB1752">
        <w:rPr>
          <w:rFonts w:cstheme="minorHAnsi"/>
          <w:sz w:val="24"/>
          <w:szCs w:val="24"/>
        </w:rPr>
        <w:t xml:space="preserve"> &lt; .05; see Figure </w:t>
      </w:r>
      <w:r w:rsidR="00EE4A78">
        <w:rPr>
          <w:rFonts w:cstheme="minorHAnsi"/>
          <w:sz w:val="24"/>
          <w:szCs w:val="24"/>
        </w:rPr>
        <w:t>4</w:t>
      </w:r>
      <w:r w:rsidR="000B460D" w:rsidRPr="00BB1752">
        <w:rPr>
          <w:rFonts w:cstheme="minorHAnsi"/>
          <w:sz w:val="24"/>
          <w:szCs w:val="24"/>
        </w:rPr>
        <w:t>)</w:t>
      </w:r>
      <w:r w:rsidR="003652CB">
        <w:rPr>
          <w:rFonts w:cstheme="minorHAnsi"/>
          <w:sz w:val="24"/>
          <w:szCs w:val="24"/>
        </w:rPr>
        <w:t xml:space="preserve">, indicating that IMC/IRC staff may be less likely to recognize the impact of timely delivery on active learning. In addition, NIMAC Users were less likely to endorse </w:t>
      </w:r>
      <w:r w:rsidR="003652CB">
        <w:rPr>
          <w:rFonts w:ascii="Calibri" w:hAnsi="Calibri" w:cs="Calibri"/>
          <w:sz w:val="24"/>
          <w:szCs w:val="24"/>
        </w:rPr>
        <w:t>“Supports the psychological well-being of students with print disabilities” (78%</w:t>
      </w:r>
      <w:r w:rsidR="007C1354">
        <w:rPr>
          <w:rFonts w:ascii="Calibri" w:hAnsi="Calibri" w:cs="Calibri"/>
          <w:sz w:val="24"/>
          <w:szCs w:val="24"/>
        </w:rPr>
        <w:t>;</w:t>
      </w:r>
      <w:r w:rsidR="00B038B0">
        <w:rPr>
          <w:rFonts w:ascii="Calibri" w:hAnsi="Calibri" w:cs="Calibri"/>
          <w:sz w:val="24"/>
          <w:szCs w:val="24"/>
        </w:rPr>
        <w:t xml:space="preserve"> </w:t>
      </w:r>
      <w:r w:rsidR="00B038B0">
        <w:rPr>
          <w:rFonts w:ascii="Calibri" w:hAnsi="Calibri" w:cs="Calibri"/>
          <w:i/>
          <w:iCs/>
          <w:sz w:val="24"/>
          <w:szCs w:val="24"/>
        </w:rPr>
        <w:t>n</w:t>
      </w:r>
      <w:r w:rsidR="00B038B0">
        <w:rPr>
          <w:rFonts w:ascii="Calibri" w:hAnsi="Calibri" w:cs="Calibri"/>
          <w:sz w:val="24"/>
          <w:szCs w:val="24"/>
        </w:rPr>
        <w:t xml:space="preserve"> = 96</w:t>
      </w:r>
      <w:r w:rsidR="003652CB">
        <w:rPr>
          <w:rFonts w:ascii="Calibri" w:hAnsi="Calibri" w:cs="Calibri"/>
          <w:sz w:val="24"/>
          <w:szCs w:val="24"/>
        </w:rPr>
        <w:t>) compared to respondents who were not NIMAC Users (88%</w:t>
      </w:r>
      <w:r w:rsidR="007C1354">
        <w:rPr>
          <w:rFonts w:ascii="Calibri" w:hAnsi="Calibri" w:cs="Calibri"/>
          <w:sz w:val="24"/>
          <w:szCs w:val="24"/>
        </w:rPr>
        <w:t>;</w:t>
      </w:r>
      <w:r w:rsidR="00B038B0">
        <w:rPr>
          <w:rFonts w:ascii="Calibri" w:hAnsi="Calibri" w:cs="Calibri"/>
          <w:sz w:val="24"/>
          <w:szCs w:val="24"/>
        </w:rPr>
        <w:t xml:space="preserve"> </w:t>
      </w:r>
      <w:r w:rsidR="00B038B0">
        <w:rPr>
          <w:rFonts w:ascii="Calibri" w:hAnsi="Calibri" w:cs="Calibri"/>
          <w:i/>
          <w:iCs/>
          <w:sz w:val="24"/>
          <w:szCs w:val="24"/>
        </w:rPr>
        <w:t xml:space="preserve">n </w:t>
      </w:r>
      <w:r w:rsidR="00B038B0">
        <w:rPr>
          <w:rFonts w:ascii="Calibri" w:hAnsi="Calibri" w:cs="Calibri"/>
          <w:sz w:val="24"/>
          <w:szCs w:val="24"/>
        </w:rPr>
        <w:t>= 216</w:t>
      </w:r>
      <w:r w:rsidR="003652CB">
        <w:rPr>
          <w:rFonts w:ascii="Calibri" w:hAnsi="Calibri" w:cs="Calibri"/>
          <w:sz w:val="24"/>
          <w:szCs w:val="24"/>
        </w:rPr>
        <w:t xml:space="preserve">; </w:t>
      </w:r>
      <w:r w:rsidR="003652CB" w:rsidRPr="00BB1752">
        <w:rPr>
          <w:rFonts w:cstheme="minorHAnsi"/>
          <w:sz w:val="24"/>
          <w:szCs w:val="24"/>
        </w:rPr>
        <w:sym w:font="Symbol" w:char="F063"/>
      </w:r>
      <w:r w:rsidR="003652CB" w:rsidRPr="00BB1752">
        <w:rPr>
          <w:rFonts w:cstheme="minorHAnsi"/>
          <w:sz w:val="24"/>
          <w:szCs w:val="24"/>
          <w:vertAlign w:val="superscript"/>
        </w:rPr>
        <w:t>2</w:t>
      </w:r>
      <w:r w:rsidR="003652CB" w:rsidRPr="00BB1752">
        <w:rPr>
          <w:rFonts w:cstheme="minorHAnsi"/>
          <w:sz w:val="24"/>
          <w:szCs w:val="24"/>
        </w:rPr>
        <w:t>(</w:t>
      </w:r>
      <w:r w:rsidR="003652CB">
        <w:rPr>
          <w:rFonts w:cstheme="minorHAnsi"/>
          <w:sz w:val="24"/>
          <w:szCs w:val="24"/>
        </w:rPr>
        <w:t>1</w:t>
      </w:r>
      <w:r w:rsidR="003652CB" w:rsidRPr="00BB1752">
        <w:rPr>
          <w:rFonts w:cstheme="minorHAnsi"/>
          <w:sz w:val="24"/>
          <w:szCs w:val="24"/>
        </w:rPr>
        <w:t xml:space="preserve">) = </w:t>
      </w:r>
      <w:r w:rsidR="003652CB">
        <w:rPr>
          <w:rFonts w:cstheme="minorHAnsi"/>
          <w:sz w:val="24"/>
          <w:szCs w:val="24"/>
        </w:rPr>
        <w:t>5.03</w:t>
      </w:r>
      <w:r w:rsidR="003652CB" w:rsidRPr="00BB1752">
        <w:rPr>
          <w:rFonts w:cstheme="minorHAnsi"/>
          <w:sz w:val="24"/>
          <w:szCs w:val="24"/>
        </w:rPr>
        <w:t xml:space="preserve">, </w:t>
      </w:r>
      <w:r w:rsidR="003652CB" w:rsidRPr="00BB1752">
        <w:rPr>
          <w:rFonts w:cstheme="minorHAnsi"/>
          <w:i/>
          <w:iCs/>
          <w:sz w:val="24"/>
          <w:szCs w:val="24"/>
        </w:rPr>
        <w:t>p</w:t>
      </w:r>
      <w:r w:rsidR="003652CB" w:rsidRPr="00BB1752">
        <w:rPr>
          <w:rFonts w:cstheme="minorHAnsi"/>
          <w:sz w:val="24"/>
          <w:szCs w:val="24"/>
        </w:rPr>
        <w:t xml:space="preserve"> &lt; .05</w:t>
      </w:r>
      <w:r w:rsidR="003652CB">
        <w:rPr>
          <w:rFonts w:cstheme="minorHAnsi"/>
          <w:sz w:val="24"/>
          <w:szCs w:val="24"/>
        </w:rPr>
        <w:t xml:space="preserve">), suggesting that NIMAC Users may </w:t>
      </w:r>
      <w:r w:rsidR="007C1354">
        <w:rPr>
          <w:rFonts w:cstheme="minorHAnsi"/>
          <w:sz w:val="24"/>
          <w:szCs w:val="24"/>
        </w:rPr>
        <w:t>be less aware of</w:t>
      </w:r>
      <w:r w:rsidR="003652CB">
        <w:rPr>
          <w:rFonts w:cstheme="minorHAnsi"/>
          <w:sz w:val="24"/>
          <w:szCs w:val="24"/>
        </w:rPr>
        <w:t xml:space="preserve"> the impact of timely delivery on students’ psychological well-being. </w:t>
      </w:r>
    </w:p>
    <w:p w14:paraId="66B972BD" w14:textId="77777777" w:rsidR="000B460D" w:rsidRDefault="000B460D" w:rsidP="000B460D">
      <w:pPr>
        <w:spacing w:after="0" w:line="276" w:lineRule="auto"/>
        <w:rPr>
          <w:rFonts w:cstheme="minorHAnsi"/>
          <w:sz w:val="24"/>
          <w:szCs w:val="24"/>
        </w:rPr>
      </w:pPr>
    </w:p>
    <w:p w14:paraId="280522EE" w14:textId="77777777" w:rsidR="004F6999" w:rsidRDefault="004F6999" w:rsidP="00D9633A">
      <w:pPr>
        <w:spacing w:after="0" w:line="276" w:lineRule="auto"/>
        <w:rPr>
          <w:rFonts w:cstheme="minorHAnsi"/>
          <w:sz w:val="24"/>
          <w:szCs w:val="24"/>
        </w:rPr>
      </w:pPr>
    </w:p>
    <w:p w14:paraId="37B2400F" w14:textId="77777777" w:rsidR="00B038B0" w:rsidRDefault="00B038B0" w:rsidP="00D9633A">
      <w:pPr>
        <w:spacing w:after="0" w:line="276" w:lineRule="auto"/>
        <w:rPr>
          <w:rFonts w:cstheme="minorHAnsi"/>
          <w:sz w:val="24"/>
          <w:szCs w:val="24"/>
        </w:rPr>
      </w:pPr>
    </w:p>
    <w:p w14:paraId="7F791818" w14:textId="77777777" w:rsidR="00B038B0" w:rsidRDefault="00B038B0" w:rsidP="00D9633A">
      <w:pPr>
        <w:spacing w:after="0" w:line="276" w:lineRule="auto"/>
        <w:rPr>
          <w:rFonts w:cstheme="minorHAnsi"/>
          <w:sz w:val="24"/>
          <w:szCs w:val="24"/>
        </w:rPr>
      </w:pPr>
    </w:p>
    <w:p w14:paraId="58244DD3" w14:textId="77777777" w:rsidR="00B038B0" w:rsidRDefault="00B038B0" w:rsidP="00D9633A">
      <w:pPr>
        <w:spacing w:after="0" w:line="276" w:lineRule="auto"/>
        <w:rPr>
          <w:rFonts w:ascii="Times New Roman" w:hAnsi="Times New Roman" w:cs="Times New Roman"/>
          <w:sz w:val="24"/>
          <w:szCs w:val="24"/>
        </w:rPr>
      </w:pPr>
    </w:p>
    <w:p w14:paraId="2383CEED" w14:textId="4EE0AC59" w:rsidR="004F6999" w:rsidRDefault="004F6999" w:rsidP="004946C3">
      <w:pPr>
        <w:pStyle w:val="Heading4"/>
      </w:pPr>
      <w:bookmarkStart w:id="16" w:name="_Toc222903987"/>
      <w:r w:rsidRPr="005919AC">
        <w:lastRenderedPageBreak/>
        <w:t xml:space="preserve">Figure </w:t>
      </w:r>
      <w:r w:rsidR="00EE4A78">
        <w:t>4</w:t>
      </w:r>
      <w:r w:rsidRPr="005919AC">
        <w:t xml:space="preserve">. </w:t>
      </w:r>
      <w:r>
        <w:t>Benefits of Timely Delivery: Differences by Role</w:t>
      </w:r>
      <w:r w:rsidR="00B55C67">
        <w:rPr>
          <w:rFonts w:ascii="ZWAdobeF" w:hAnsi="ZWAdobeF" w:cs="ZWAdobeF"/>
          <w:i w:val="0"/>
          <w:color w:val="auto"/>
          <w:sz w:val="2"/>
          <w:szCs w:val="2"/>
        </w:rPr>
        <w:t>15F</w:t>
      </w:r>
      <w:r w:rsidRPr="005919AC">
        <w:rPr>
          <w:rStyle w:val="FootnoteReference"/>
          <w:rFonts w:cs="Calibri"/>
          <w:smallCaps/>
          <w:color w:val="44546A" w:themeColor="text2"/>
        </w:rPr>
        <w:footnoteReference w:id="16"/>
      </w:r>
      <w:bookmarkEnd w:id="16"/>
    </w:p>
    <w:p w14:paraId="12A63164" w14:textId="0F634FBF" w:rsidR="004F6999" w:rsidRPr="00CA6E65" w:rsidRDefault="00B55C67" w:rsidP="004F6999">
      <w:pPr>
        <w:jc w:val="center"/>
      </w:pPr>
      <w:r>
        <w:rPr>
          <w:rFonts w:ascii="ZWAdobeF" w:hAnsi="ZWAdobeF" w:cs="ZWAdobeF"/>
          <w:sz w:val="2"/>
          <w:szCs w:val="2"/>
        </w:rPr>
        <w:t>101</w:t>
      </w:r>
      <w:proofErr w:type="gramStart"/>
      <w:r>
        <w:rPr>
          <w:rFonts w:ascii="ZWAdobeF" w:hAnsi="ZWAdobeF" w:cs="ZWAdobeF"/>
          <w:sz w:val="2"/>
          <w:szCs w:val="2"/>
        </w:rPr>
        <w:t>B</w:t>
      </w:r>
      <w:r w:rsidR="004F6999">
        <w:t>(</w:t>
      </w:r>
      <w:proofErr w:type="gramEnd"/>
      <w:r w:rsidR="004F6999" w:rsidRPr="009F1957">
        <w:rPr>
          <w:i/>
          <w:iCs/>
        </w:rPr>
        <w:t>n</w:t>
      </w:r>
      <w:r w:rsidR="004F6999">
        <w:t xml:space="preserve"> = 312)</w:t>
      </w:r>
    </w:p>
    <w:p w14:paraId="118BE9B1" w14:textId="1D1D7D79" w:rsidR="004F6999" w:rsidRDefault="00B55C67" w:rsidP="00D9633A">
      <w:pPr>
        <w:spacing w:after="0" w:line="276" w:lineRule="auto"/>
        <w:rPr>
          <w:rFonts w:ascii="Times New Roman" w:hAnsi="Times New Roman" w:cs="Times New Roman"/>
          <w:sz w:val="24"/>
          <w:szCs w:val="24"/>
        </w:rPr>
      </w:pPr>
      <w:r>
        <w:rPr>
          <w:rFonts w:ascii="ZWAdobeF" w:hAnsi="ZWAdobeF" w:cs="ZWAdobeF"/>
          <w:sz w:val="2"/>
          <w:szCs w:val="2"/>
        </w:rPr>
        <w:t>102B</w:t>
      </w:r>
      <w:r w:rsidR="00507E24" w:rsidRPr="00012B18">
        <w:rPr>
          <w:rFonts w:ascii="Times New Roman" w:hAnsi="Times New Roman" w:cs="Times New Roman"/>
          <w:b/>
          <w:noProof/>
          <w:color w:val="0070C0"/>
        </w:rPr>
        <w:drawing>
          <wp:inline distT="0" distB="0" distL="0" distR="0" wp14:anchorId="7935ADD9" wp14:editId="4C2E8E37">
            <wp:extent cx="6327775" cy="2872740"/>
            <wp:effectExtent l="0" t="0" r="0" b="3810"/>
            <wp:docPr id="1653568140" name="Chart 3" descr="Figure 4 is a vertical bar chart showing the benefits of timely delivery by role (n = 312). Respondents indicated that timely delivery promotes active learning among students with print disabilities as follows: 95% LEA/ESD, regional, and cooperative staff (n = 134); 92% school staff (n = 79); 76% IMR/IRC staff (n = 42); 94% SEA staff (n = 33); and 92% AMPS, publishers, and vendors (n = 24). An asterisk indicates the IMR/IRC staff responses were statistically significant."/>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33914C09" w14:textId="77777777" w:rsidR="004F6999" w:rsidRPr="004935BF" w:rsidRDefault="004F6999" w:rsidP="00D9633A">
      <w:pPr>
        <w:spacing w:after="0" w:line="276" w:lineRule="auto"/>
        <w:rPr>
          <w:rFonts w:cstheme="minorHAnsi"/>
          <w:sz w:val="24"/>
          <w:szCs w:val="24"/>
        </w:rPr>
      </w:pPr>
    </w:p>
    <w:p w14:paraId="6DE453A9" w14:textId="77777777" w:rsidR="00937149" w:rsidRDefault="00937149" w:rsidP="00D9633A">
      <w:pPr>
        <w:spacing w:after="0" w:line="276" w:lineRule="auto"/>
        <w:rPr>
          <w:rFonts w:cstheme="minorHAnsi"/>
          <w:sz w:val="24"/>
          <w:szCs w:val="24"/>
        </w:rPr>
      </w:pPr>
    </w:p>
    <w:p w14:paraId="40414817" w14:textId="0E63937B" w:rsidR="009F1957" w:rsidRDefault="00B55C67" w:rsidP="00D9633A">
      <w:pPr>
        <w:spacing w:after="0" w:line="276" w:lineRule="auto"/>
        <w:rPr>
          <w:rFonts w:cstheme="minorHAnsi"/>
          <w:sz w:val="24"/>
          <w:szCs w:val="24"/>
        </w:rPr>
      </w:pPr>
      <w:r>
        <w:rPr>
          <w:rFonts w:ascii="ZWAdobeF" w:hAnsi="ZWAdobeF" w:cs="ZWAdobeF"/>
          <w:sz w:val="2"/>
          <w:szCs w:val="2"/>
        </w:rPr>
        <w:t>103B</w:t>
      </w:r>
      <w:r w:rsidR="00B956B1" w:rsidRPr="00BB1752">
        <w:rPr>
          <w:rFonts w:cstheme="minorHAnsi"/>
          <w:sz w:val="24"/>
          <w:szCs w:val="24"/>
        </w:rPr>
        <w:t>To supplement quantitative findings</w:t>
      </w:r>
      <w:r w:rsidR="006E7C5D">
        <w:rPr>
          <w:rFonts w:cstheme="minorHAnsi"/>
          <w:sz w:val="24"/>
          <w:szCs w:val="24"/>
        </w:rPr>
        <w:t xml:space="preserve"> from surveys</w:t>
      </w:r>
      <w:r w:rsidR="00B956B1" w:rsidRPr="00BB1752">
        <w:rPr>
          <w:rFonts w:cstheme="minorHAnsi"/>
          <w:sz w:val="24"/>
          <w:szCs w:val="24"/>
        </w:rPr>
        <w:t>, we obtained qualitative responses</w:t>
      </w:r>
      <w:r w:rsidR="006F69C6" w:rsidRPr="00BB1752">
        <w:rPr>
          <w:rFonts w:cstheme="minorHAnsi"/>
          <w:sz w:val="24"/>
          <w:szCs w:val="24"/>
        </w:rPr>
        <w:t xml:space="preserve"> from</w:t>
      </w:r>
      <w:r w:rsidR="00B956B1" w:rsidRPr="00BB1752">
        <w:rPr>
          <w:rFonts w:cstheme="minorHAnsi"/>
          <w:sz w:val="24"/>
          <w:szCs w:val="24"/>
        </w:rPr>
        <w:t xml:space="preserve"> interview participants and survey respondents</w:t>
      </w:r>
      <w:r w:rsidR="00E5061A">
        <w:rPr>
          <w:rFonts w:cstheme="minorHAnsi"/>
          <w:sz w:val="24"/>
          <w:szCs w:val="24"/>
        </w:rPr>
        <w:t xml:space="preserve">. Interview participants were asked to describe </w:t>
      </w:r>
      <w:r w:rsidR="00B9406C">
        <w:rPr>
          <w:rFonts w:cstheme="minorHAnsi"/>
          <w:sz w:val="24"/>
          <w:szCs w:val="24"/>
        </w:rPr>
        <w:t xml:space="preserve">the </w:t>
      </w:r>
      <w:r w:rsidR="00E5061A">
        <w:rPr>
          <w:rFonts w:cstheme="minorHAnsi"/>
          <w:sz w:val="24"/>
          <w:szCs w:val="24"/>
        </w:rPr>
        <w:t>benefits of timely delivery of accessible formats</w:t>
      </w:r>
      <w:r w:rsidR="00B9406C">
        <w:rPr>
          <w:rFonts w:cstheme="minorHAnsi"/>
          <w:sz w:val="24"/>
          <w:szCs w:val="24"/>
        </w:rPr>
        <w:t xml:space="preserve">. Survey respondents were given the opportunity to </w:t>
      </w:r>
      <w:r w:rsidR="00A82088">
        <w:rPr>
          <w:rFonts w:cstheme="minorHAnsi"/>
          <w:sz w:val="24"/>
          <w:szCs w:val="24"/>
        </w:rPr>
        <w:t>suggest other</w:t>
      </w:r>
      <w:r w:rsidR="00B9406C">
        <w:rPr>
          <w:rFonts w:cstheme="minorHAnsi"/>
          <w:sz w:val="24"/>
          <w:szCs w:val="24"/>
        </w:rPr>
        <w:t xml:space="preserve"> </w:t>
      </w:r>
      <w:r w:rsidR="00B9406C" w:rsidRPr="00B9406C">
        <w:rPr>
          <w:rFonts w:cstheme="minorHAnsi"/>
          <w:sz w:val="24"/>
          <w:szCs w:val="24"/>
        </w:rPr>
        <w:t xml:space="preserve">benefits and </w:t>
      </w:r>
      <w:r w:rsidR="00B956B1" w:rsidRPr="00B9406C">
        <w:rPr>
          <w:rFonts w:cstheme="minorHAnsi"/>
          <w:sz w:val="24"/>
          <w:szCs w:val="24"/>
        </w:rPr>
        <w:t xml:space="preserve">to explain their selections. </w:t>
      </w:r>
    </w:p>
    <w:p w14:paraId="3655CEFF" w14:textId="77777777" w:rsidR="009F1957" w:rsidRDefault="009F1957" w:rsidP="00D9633A">
      <w:pPr>
        <w:spacing w:after="0" w:line="276" w:lineRule="auto"/>
        <w:rPr>
          <w:rFonts w:cstheme="minorHAnsi"/>
          <w:sz w:val="24"/>
          <w:szCs w:val="24"/>
        </w:rPr>
      </w:pPr>
    </w:p>
    <w:p w14:paraId="491B8132" w14:textId="7A644B45" w:rsidR="00B956B1" w:rsidRPr="00BB1752" w:rsidRDefault="00B55C67" w:rsidP="00D9633A">
      <w:pPr>
        <w:spacing w:after="0" w:line="276" w:lineRule="auto"/>
        <w:rPr>
          <w:rFonts w:cstheme="minorHAnsi"/>
          <w:sz w:val="24"/>
          <w:szCs w:val="24"/>
        </w:rPr>
      </w:pPr>
      <w:r>
        <w:rPr>
          <w:rFonts w:ascii="ZWAdobeF" w:hAnsi="ZWAdobeF" w:cs="ZWAdobeF"/>
          <w:sz w:val="2"/>
          <w:szCs w:val="2"/>
        </w:rPr>
        <w:t>104B</w:t>
      </w:r>
      <w:r w:rsidR="00863270">
        <w:rPr>
          <w:rFonts w:cstheme="minorHAnsi"/>
          <w:sz w:val="24"/>
          <w:szCs w:val="24"/>
        </w:rPr>
        <w:t>P</w:t>
      </w:r>
      <w:r w:rsidR="0047774C" w:rsidRPr="00B9406C">
        <w:rPr>
          <w:rFonts w:cstheme="minorHAnsi"/>
          <w:sz w:val="24"/>
          <w:szCs w:val="24"/>
        </w:rPr>
        <w:t>articipant</w:t>
      </w:r>
      <w:r>
        <w:rPr>
          <w:rFonts w:ascii="ZWAdobeF" w:hAnsi="ZWAdobeF" w:cs="ZWAdobeF"/>
          <w:sz w:val="2"/>
          <w:szCs w:val="2"/>
        </w:rPr>
        <w:t>16F</w:t>
      </w:r>
      <w:r w:rsidR="00521F3F">
        <w:rPr>
          <w:rStyle w:val="FootnoteReference"/>
          <w:rFonts w:cstheme="minorHAnsi"/>
          <w:sz w:val="24"/>
          <w:szCs w:val="24"/>
        </w:rPr>
        <w:footnoteReference w:id="17"/>
      </w:r>
      <w:r w:rsidR="00863270">
        <w:rPr>
          <w:rFonts w:cstheme="minorHAnsi"/>
          <w:sz w:val="24"/>
          <w:szCs w:val="24"/>
        </w:rPr>
        <w:t xml:space="preserve"> </w:t>
      </w:r>
      <w:r w:rsidR="0047774C" w:rsidRPr="00B9406C">
        <w:rPr>
          <w:rFonts w:cstheme="minorHAnsi"/>
          <w:sz w:val="24"/>
          <w:szCs w:val="24"/>
        </w:rPr>
        <w:t xml:space="preserve">descriptions of the benefits of timely delivery are presented by theme in Table </w:t>
      </w:r>
      <w:r w:rsidR="00EA653A">
        <w:rPr>
          <w:rFonts w:cstheme="minorHAnsi"/>
          <w:sz w:val="24"/>
          <w:szCs w:val="24"/>
        </w:rPr>
        <w:t>3</w:t>
      </w:r>
      <w:r w:rsidR="0047774C" w:rsidRPr="00B9406C">
        <w:rPr>
          <w:rFonts w:cstheme="minorHAnsi"/>
          <w:sz w:val="24"/>
          <w:szCs w:val="24"/>
        </w:rPr>
        <w:t xml:space="preserve">. </w:t>
      </w:r>
      <w:r w:rsidR="009F1957">
        <w:rPr>
          <w:rFonts w:cstheme="minorHAnsi"/>
          <w:sz w:val="24"/>
          <w:szCs w:val="24"/>
        </w:rPr>
        <w:t>M</w:t>
      </w:r>
      <w:r w:rsidR="0047774C" w:rsidRPr="00B9406C">
        <w:rPr>
          <w:rFonts w:cstheme="minorHAnsi"/>
          <w:sz w:val="24"/>
          <w:szCs w:val="24"/>
        </w:rPr>
        <w:t xml:space="preserve">any provided qualitative responses that were consistent with the positive benefits of timely delivery presented in the survey and listed in Figure </w:t>
      </w:r>
      <w:r w:rsidR="00EA653A">
        <w:rPr>
          <w:rFonts w:cstheme="minorHAnsi"/>
          <w:sz w:val="24"/>
          <w:szCs w:val="24"/>
        </w:rPr>
        <w:t>2</w:t>
      </w:r>
      <w:r w:rsidR="009F1957">
        <w:rPr>
          <w:rFonts w:cstheme="minorHAnsi"/>
          <w:sz w:val="24"/>
          <w:szCs w:val="24"/>
        </w:rPr>
        <w:t>. T</w:t>
      </w:r>
      <w:r w:rsidR="00684B51" w:rsidRPr="00B9406C">
        <w:rPr>
          <w:rFonts w:cstheme="minorHAnsi"/>
          <w:sz w:val="24"/>
          <w:szCs w:val="24"/>
        </w:rPr>
        <w:t xml:space="preserve">he </w:t>
      </w:r>
      <w:r w:rsidR="00900BDC" w:rsidRPr="00B9406C">
        <w:rPr>
          <w:rFonts w:cstheme="minorHAnsi"/>
          <w:sz w:val="24"/>
          <w:szCs w:val="24"/>
        </w:rPr>
        <w:t xml:space="preserve">three </w:t>
      </w:r>
      <w:r w:rsidR="00684B51" w:rsidRPr="00B9406C">
        <w:rPr>
          <w:rFonts w:cstheme="minorHAnsi"/>
          <w:sz w:val="24"/>
          <w:szCs w:val="24"/>
        </w:rPr>
        <w:t>benefits</w:t>
      </w:r>
      <w:r w:rsidR="009F1957">
        <w:rPr>
          <w:rFonts w:cstheme="minorHAnsi"/>
          <w:sz w:val="24"/>
          <w:szCs w:val="24"/>
        </w:rPr>
        <w:t xml:space="preserve"> described most often were</w:t>
      </w:r>
      <w:r w:rsidR="00684B51" w:rsidRPr="00B9406C">
        <w:rPr>
          <w:rFonts w:cstheme="minorHAnsi"/>
          <w:sz w:val="24"/>
          <w:szCs w:val="24"/>
        </w:rPr>
        <w:t xml:space="preserve"> facilitation of academic achievement</w:t>
      </w:r>
      <w:r w:rsidR="00684B51">
        <w:rPr>
          <w:rFonts w:cstheme="minorHAnsi"/>
          <w:sz w:val="24"/>
          <w:szCs w:val="24"/>
        </w:rPr>
        <w:t xml:space="preserve"> (86 excerpts</w:t>
      </w:r>
      <w:r>
        <w:rPr>
          <w:rFonts w:ascii="ZWAdobeF" w:hAnsi="ZWAdobeF" w:cs="ZWAdobeF"/>
          <w:sz w:val="2"/>
          <w:szCs w:val="2"/>
        </w:rPr>
        <w:t>17F</w:t>
      </w:r>
      <w:r w:rsidR="00883156">
        <w:rPr>
          <w:rStyle w:val="FootnoteReference"/>
          <w:rFonts w:cstheme="minorHAnsi"/>
          <w:sz w:val="24"/>
          <w:szCs w:val="24"/>
        </w:rPr>
        <w:footnoteReference w:id="18"/>
      </w:r>
      <w:r w:rsidR="00684B51">
        <w:rPr>
          <w:rFonts w:cstheme="minorHAnsi"/>
          <w:sz w:val="24"/>
          <w:szCs w:val="24"/>
        </w:rPr>
        <w:t>), promotion of equitable access to instructional materials (55 excerpts), and support of</w:t>
      </w:r>
      <w:r w:rsidR="00900BDC">
        <w:rPr>
          <w:rFonts w:cstheme="minorHAnsi"/>
          <w:sz w:val="24"/>
          <w:szCs w:val="24"/>
        </w:rPr>
        <w:t xml:space="preserve"> students’</w:t>
      </w:r>
      <w:r w:rsidR="00684B51">
        <w:rPr>
          <w:rFonts w:cstheme="minorHAnsi"/>
          <w:sz w:val="24"/>
          <w:szCs w:val="24"/>
        </w:rPr>
        <w:t xml:space="preserve"> psychological well-being (44 excerpts). </w:t>
      </w:r>
      <w:r w:rsidR="00900BDC">
        <w:rPr>
          <w:rFonts w:cstheme="minorHAnsi"/>
          <w:sz w:val="24"/>
          <w:szCs w:val="24"/>
        </w:rPr>
        <w:t xml:space="preserve">In addition to the benefits of timely delivery presented in the survey, two additional themes emerged from the qualitative data: timely delivery meets legal requirements (13 excerpts) and supports teacher effectiveness (9 excerpts). </w:t>
      </w:r>
    </w:p>
    <w:p w14:paraId="56D3060D" w14:textId="77777777" w:rsidR="00470648" w:rsidRDefault="00470648" w:rsidP="00D9633A">
      <w:pPr>
        <w:spacing w:after="0" w:line="276" w:lineRule="auto"/>
        <w:rPr>
          <w:rFonts w:ascii="Times New Roman" w:hAnsi="Times New Roman" w:cs="Times New Roman"/>
          <w:sz w:val="24"/>
          <w:szCs w:val="24"/>
        </w:rPr>
      </w:pPr>
    </w:p>
    <w:p w14:paraId="1F0B9226" w14:textId="74A8991D" w:rsidR="00BB1752" w:rsidRPr="005919AC" w:rsidRDefault="00BB1752" w:rsidP="004946C3">
      <w:pPr>
        <w:pStyle w:val="Heading4"/>
      </w:pPr>
      <w:bookmarkStart w:id="17" w:name="_Toc222903988"/>
      <w:r w:rsidRPr="005919AC">
        <w:lastRenderedPageBreak/>
        <w:t xml:space="preserve">Table </w:t>
      </w:r>
      <w:r w:rsidR="00EA653A">
        <w:t>3</w:t>
      </w:r>
      <w:r w:rsidRPr="005919AC">
        <w:t xml:space="preserve">. </w:t>
      </w:r>
      <w:r>
        <w:t>Qualitative Descriptions of the Benefits of Timely Delivery</w:t>
      </w:r>
      <w:r w:rsidR="00B55C67">
        <w:rPr>
          <w:rFonts w:ascii="ZWAdobeF" w:hAnsi="ZWAdobeF" w:cs="ZWAdobeF"/>
          <w:i w:val="0"/>
          <w:color w:val="auto"/>
          <w:sz w:val="2"/>
          <w:szCs w:val="2"/>
        </w:rPr>
        <w:t>18F</w:t>
      </w:r>
      <w:r w:rsidR="00447B57">
        <w:rPr>
          <w:rStyle w:val="FootnoteReference"/>
          <w:rFonts w:cs="Calibri"/>
          <w:smallCaps/>
          <w:color w:val="44546A" w:themeColor="text2"/>
        </w:rPr>
        <w:footnoteReference w:id="19"/>
      </w:r>
      <w:bookmarkEnd w:id="17"/>
    </w:p>
    <w:p w14:paraId="19F2743A" w14:textId="5EF08953" w:rsidR="00BB1752" w:rsidRPr="009F1957" w:rsidRDefault="00B55C67" w:rsidP="00BB1752">
      <w:pPr>
        <w:jc w:val="center"/>
        <w:rPr>
          <w:rFonts w:ascii="Calibri" w:hAnsi="Calibri" w:cs="Calibri"/>
        </w:rPr>
      </w:pPr>
      <w:r>
        <w:rPr>
          <w:rFonts w:ascii="ZWAdobeF" w:hAnsi="ZWAdobeF" w:cs="ZWAdobeF"/>
          <w:sz w:val="2"/>
          <w:szCs w:val="2"/>
        </w:rPr>
        <w:t>105</w:t>
      </w:r>
      <w:proofErr w:type="gramStart"/>
      <w:r>
        <w:rPr>
          <w:rFonts w:ascii="ZWAdobeF" w:hAnsi="ZWAdobeF" w:cs="ZWAdobeF"/>
          <w:sz w:val="2"/>
          <w:szCs w:val="2"/>
        </w:rPr>
        <w:t>B</w:t>
      </w:r>
      <w:r w:rsidR="00BB1752" w:rsidRPr="009F1957">
        <w:rPr>
          <w:rFonts w:ascii="Calibri" w:hAnsi="Calibri" w:cs="Calibri"/>
        </w:rPr>
        <w:t>(</w:t>
      </w:r>
      <w:proofErr w:type="gramEnd"/>
      <w:r w:rsidR="00CA6E65" w:rsidRPr="009F1957">
        <w:rPr>
          <w:rFonts w:ascii="Calibri" w:hAnsi="Calibri" w:cs="Calibri"/>
        </w:rPr>
        <w:t>20</w:t>
      </w:r>
      <w:r w:rsidR="00EA653A">
        <w:rPr>
          <w:rFonts w:ascii="Calibri" w:hAnsi="Calibri" w:cs="Calibri"/>
        </w:rPr>
        <w:t>4</w:t>
      </w:r>
      <w:r w:rsidR="00BB1752" w:rsidRPr="009F1957">
        <w:rPr>
          <w:rFonts w:ascii="Calibri" w:hAnsi="Calibri" w:cs="Calibri"/>
        </w:rPr>
        <w:t xml:space="preserve"> excerpts)</w:t>
      </w:r>
    </w:p>
    <w:tbl>
      <w:tblPr>
        <w:tblStyle w:val="GridTable4"/>
        <w:tblW w:w="9355" w:type="dxa"/>
        <w:tblLook w:val="04A0" w:firstRow="1" w:lastRow="0" w:firstColumn="1" w:lastColumn="0" w:noHBand="0" w:noVBand="1"/>
        <w:tblCaption w:val="Table 3. Qualitative Descriptions of the Benefits of Timeline Delivery"/>
      </w:tblPr>
      <w:tblGrid>
        <w:gridCol w:w="2065"/>
        <w:gridCol w:w="7290"/>
      </w:tblGrid>
      <w:tr w:rsidR="00BB1752" w:rsidRPr="00CD254C" w14:paraId="30DE5564" w14:textId="77777777" w:rsidTr="006E790C">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065" w:type="dxa"/>
            <w:shd w:val="clear" w:color="auto" w:fill="44546A" w:themeFill="text2"/>
            <w:vAlign w:val="center"/>
          </w:tcPr>
          <w:p w14:paraId="0561A64C" w14:textId="0068E3D9" w:rsidR="00BB1752" w:rsidRPr="00A43A85" w:rsidRDefault="000A2E33" w:rsidP="0001443A">
            <w:pPr>
              <w:jc w:val="center"/>
              <w:rPr>
                <w:rFonts w:cstheme="minorHAnsi"/>
              </w:rPr>
            </w:pPr>
            <w:bookmarkStart w:id="18" w:name="_Hlk215996253"/>
            <w:r>
              <w:rPr>
                <w:rFonts w:cstheme="minorHAnsi"/>
              </w:rPr>
              <w:t>Benefit</w:t>
            </w:r>
            <w:r w:rsidR="00ED5B68">
              <w:rPr>
                <w:rFonts w:cstheme="minorHAnsi"/>
              </w:rPr>
              <w:t xml:space="preserve"> of Timely Delivery</w:t>
            </w:r>
          </w:p>
        </w:tc>
        <w:tc>
          <w:tcPr>
            <w:tcW w:w="7290" w:type="dxa"/>
            <w:shd w:val="clear" w:color="auto" w:fill="44546A" w:themeFill="text2"/>
            <w:vAlign w:val="center"/>
          </w:tcPr>
          <w:p w14:paraId="0E356131" w14:textId="02C5E422" w:rsidR="00BB1752" w:rsidRPr="00A43A85" w:rsidRDefault="000A2E33" w:rsidP="0001443A">
            <w:pPr>
              <w:jc w:val="center"/>
              <w:cnfStyle w:val="100000000000" w:firstRow="1" w:lastRow="0" w:firstColumn="0" w:lastColumn="0" w:oddVBand="0" w:evenVBand="0" w:oddHBand="0" w:evenHBand="0" w:firstRowFirstColumn="0" w:firstRowLastColumn="0" w:lastRowFirstColumn="0" w:lastRowLastColumn="0"/>
              <w:rPr>
                <w:rFonts w:cstheme="minorHAnsi"/>
              </w:rPr>
            </w:pPr>
            <w:r>
              <w:rPr>
                <w:rFonts w:cstheme="minorHAnsi"/>
              </w:rPr>
              <w:t>Representative Quotations</w:t>
            </w:r>
          </w:p>
        </w:tc>
      </w:tr>
      <w:tr w:rsidR="00CA6E65" w:rsidRPr="00CD254C" w14:paraId="476FC14B"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shd w:val="clear" w:color="auto" w:fill="D9E2F3"/>
          </w:tcPr>
          <w:p w14:paraId="53D31ED9" w14:textId="0306E1E7" w:rsidR="00CA6E65" w:rsidRDefault="00CA6E65" w:rsidP="0001443A">
            <w:pPr>
              <w:rPr>
                <w:rFonts w:cstheme="minorHAnsi"/>
              </w:rPr>
            </w:pPr>
            <w:r>
              <w:rPr>
                <w:rFonts w:cstheme="minorHAnsi"/>
              </w:rPr>
              <w:t>Facilitates academic achievement (86)</w:t>
            </w:r>
            <w:r w:rsidR="00B55C67">
              <w:rPr>
                <w:rFonts w:ascii="ZWAdobeF" w:hAnsi="ZWAdobeF" w:cs="ZWAdobeF"/>
                <w:b w:val="0"/>
                <w:sz w:val="2"/>
                <w:szCs w:val="2"/>
              </w:rPr>
              <w:t>19F</w:t>
            </w:r>
            <w:r w:rsidR="00E456ED">
              <w:rPr>
                <w:rStyle w:val="FootnoteReference"/>
                <w:rFonts w:cstheme="minorHAnsi"/>
              </w:rPr>
              <w:footnoteReference w:id="20"/>
            </w:r>
          </w:p>
        </w:tc>
        <w:tc>
          <w:tcPr>
            <w:tcW w:w="7290" w:type="dxa"/>
            <w:shd w:val="clear" w:color="auto" w:fill="D9E2F3"/>
          </w:tcPr>
          <w:p w14:paraId="65534AF7" w14:textId="18730E3D" w:rsidR="00CA6E65" w:rsidRPr="004529EC" w:rsidRDefault="00900BDC" w:rsidP="0001443A">
            <w:pPr>
              <w:cnfStyle w:val="000000100000" w:firstRow="0" w:lastRow="0" w:firstColumn="0" w:lastColumn="0" w:oddVBand="0" w:evenVBand="0" w:oddHBand="1" w:evenHBand="0" w:firstRowFirstColumn="0" w:firstRowLastColumn="0" w:lastRowFirstColumn="0" w:lastRowLastColumn="0"/>
            </w:pPr>
            <w:r w:rsidRPr="009631A0">
              <w:t>When students with print disabilities are able to access the same material at the same time as their peers, the learning process continues without interruptions.</w:t>
            </w:r>
            <w:r>
              <w:t xml:space="preserve"> (</w:t>
            </w:r>
            <w:r w:rsidR="000C13A5">
              <w:t>OH</w:t>
            </w:r>
            <w:r>
              <w:t>)</w:t>
            </w:r>
          </w:p>
        </w:tc>
      </w:tr>
      <w:tr w:rsidR="00900BDC" w:rsidRPr="00CD254C" w14:paraId="5FB0DA35" w14:textId="77777777" w:rsidTr="006E790C">
        <w:tc>
          <w:tcPr>
            <w:cnfStyle w:val="001000000000" w:firstRow="0" w:lastRow="0" w:firstColumn="1" w:lastColumn="0" w:oddVBand="0" w:evenVBand="0" w:oddHBand="0" w:evenHBand="0" w:firstRowFirstColumn="0" w:firstRowLastColumn="0" w:lastRowFirstColumn="0" w:lastRowLastColumn="0"/>
            <w:tcW w:w="2065" w:type="dxa"/>
          </w:tcPr>
          <w:p w14:paraId="05D31B6F" w14:textId="77777777" w:rsidR="00900BDC" w:rsidRDefault="00900BDC" w:rsidP="0001443A">
            <w:pPr>
              <w:rPr>
                <w:rFonts w:cstheme="minorHAnsi"/>
              </w:rPr>
            </w:pPr>
          </w:p>
        </w:tc>
        <w:tc>
          <w:tcPr>
            <w:tcW w:w="7290" w:type="dxa"/>
          </w:tcPr>
          <w:p w14:paraId="0ED0148B" w14:textId="4C49ED16" w:rsidR="00900BDC" w:rsidRPr="009631A0" w:rsidRDefault="00900BDC" w:rsidP="0001443A">
            <w:pPr>
              <w:cnfStyle w:val="000000000000" w:firstRow="0" w:lastRow="0" w:firstColumn="0" w:lastColumn="0" w:oddVBand="0" w:evenVBand="0" w:oddHBand="0" w:evenHBand="0" w:firstRowFirstColumn="0" w:firstRowLastColumn="0" w:lastRowFirstColumn="0" w:lastRowLastColumn="0"/>
            </w:pPr>
            <w:r w:rsidRPr="009631A0">
              <w:t>I have had student</w:t>
            </w:r>
            <w:r>
              <w:t>s</w:t>
            </w:r>
            <w:r w:rsidRPr="009631A0">
              <w:t xml:space="preserve"> use the print materials, and it gives them access to the same materials as their peers. This is critical for them to get the same educational benefits as their peers.</w:t>
            </w:r>
            <w:r>
              <w:t xml:space="preserve"> (</w:t>
            </w:r>
            <w:r w:rsidR="000C13A5">
              <w:t>OR</w:t>
            </w:r>
            <w:r>
              <w:t>)</w:t>
            </w:r>
          </w:p>
        </w:tc>
      </w:tr>
      <w:tr w:rsidR="00900BDC" w:rsidRPr="00CD254C" w14:paraId="680CD31E"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shd w:val="clear" w:color="auto" w:fill="D9E2F3"/>
          </w:tcPr>
          <w:p w14:paraId="28ECBD76" w14:textId="77777777" w:rsidR="00900BDC" w:rsidRDefault="00900BDC" w:rsidP="0001443A">
            <w:pPr>
              <w:rPr>
                <w:rFonts w:cstheme="minorHAnsi"/>
              </w:rPr>
            </w:pPr>
          </w:p>
        </w:tc>
        <w:tc>
          <w:tcPr>
            <w:tcW w:w="7290" w:type="dxa"/>
            <w:shd w:val="clear" w:color="auto" w:fill="D9E2F3"/>
          </w:tcPr>
          <w:p w14:paraId="1D2D25B8" w14:textId="773A2438" w:rsidR="00900BDC" w:rsidRPr="009631A0" w:rsidRDefault="00900BDC" w:rsidP="0001443A">
            <w:pPr>
              <w:cnfStyle w:val="000000100000" w:firstRow="0" w:lastRow="0" w:firstColumn="0" w:lastColumn="0" w:oddVBand="0" w:evenVBand="0" w:oddHBand="1" w:evenHBand="0" w:firstRowFirstColumn="0" w:firstRowLastColumn="0" w:lastRowFirstColumn="0" w:lastRowLastColumn="0"/>
            </w:pPr>
            <w:r w:rsidRPr="009631A0">
              <w:t>It's very hard to learn without access to the learning material used by everyone else in the classroom. When materials aren't available at the same time</w:t>
            </w:r>
            <w:r w:rsidR="00584CD2">
              <w:t xml:space="preserve"> </w:t>
            </w:r>
            <w:proofErr w:type="gramStart"/>
            <w:r w:rsidR="00584CD2">
              <w:t>that</w:t>
            </w:r>
            <w:proofErr w:type="gramEnd"/>
            <w:r w:rsidRPr="009631A0">
              <w:t xml:space="preserve"> they're available to peers, our students are at an immediate disadvantage. Lack of access to materials can be very disheartening, and it's hard for students to bounce back once the materials do become available. Students can also fall behind on content when materials are unavailable, adding extra stress and work demands that are not experienced by their peers.</w:t>
            </w:r>
            <w:r>
              <w:t xml:space="preserve"> (</w:t>
            </w:r>
            <w:r w:rsidR="000C13A5">
              <w:t>OR</w:t>
            </w:r>
            <w:r>
              <w:t>)</w:t>
            </w:r>
          </w:p>
        </w:tc>
      </w:tr>
      <w:tr w:rsidR="00900BDC" w:rsidRPr="00CD254C" w14:paraId="31AF05EF" w14:textId="77777777" w:rsidTr="006E790C">
        <w:tc>
          <w:tcPr>
            <w:cnfStyle w:val="001000000000" w:firstRow="0" w:lastRow="0" w:firstColumn="1" w:lastColumn="0" w:oddVBand="0" w:evenVBand="0" w:oddHBand="0" w:evenHBand="0" w:firstRowFirstColumn="0" w:firstRowLastColumn="0" w:lastRowFirstColumn="0" w:lastRowLastColumn="0"/>
            <w:tcW w:w="2065" w:type="dxa"/>
          </w:tcPr>
          <w:p w14:paraId="72462536" w14:textId="77777777" w:rsidR="00900BDC" w:rsidRDefault="00900BDC" w:rsidP="0001443A">
            <w:pPr>
              <w:rPr>
                <w:rFonts w:cstheme="minorHAnsi"/>
              </w:rPr>
            </w:pPr>
          </w:p>
        </w:tc>
        <w:tc>
          <w:tcPr>
            <w:tcW w:w="7290" w:type="dxa"/>
          </w:tcPr>
          <w:p w14:paraId="080E8FCB" w14:textId="53EBA9CD" w:rsidR="00900BDC" w:rsidRPr="009631A0" w:rsidRDefault="00900BDC" w:rsidP="0001443A">
            <w:pPr>
              <w:cnfStyle w:val="000000000000" w:firstRow="0" w:lastRow="0" w:firstColumn="0" w:lastColumn="0" w:oddVBand="0" w:evenVBand="0" w:oddHBand="0" w:evenHBand="0" w:firstRowFirstColumn="0" w:firstRowLastColumn="0" w:lastRowFirstColumn="0" w:lastRowLastColumn="0"/>
            </w:pPr>
            <w:r w:rsidRPr="009631A0">
              <w:t xml:space="preserve">Students </w:t>
            </w:r>
            <w:r w:rsidR="00925189">
              <w:t>should</w:t>
            </w:r>
            <w:r w:rsidRPr="009631A0">
              <w:t xml:space="preserve"> not have to use mental and social capacity worrying about how they will access the curriculum. If they don’t receive accessible formats, they are worrying about what they are going to do. If they have accessible formats, they can focus on accessing the instructional materials and being part of their classroom.</w:t>
            </w:r>
            <w:r>
              <w:t xml:space="preserve"> (</w:t>
            </w:r>
            <w:r w:rsidR="000C13A5">
              <w:t>OR</w:t>
            </w:r>
            <w:r>
              <w:t>)</w:t>
            </w:r>
          </w:p>
        </w:tc>
      </w:tr>
      <w:tr w:rsidR="00900BDC" w:rsidRPr="00CD254C" w14:paraId="37B1869F"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shd w:val="clear" w:color="auto" w:fill="D9E2F3"/>
          </w:tcPr>
          <w:p w14:paraId="4D944F2E" w14:textId="77777777" w:rsidR="00900BDC" w:rsidRDefault="00900BDC" w:rsidP="0001443A">
            <w:pPr>
              <w:rPr>
                <w:rFonts w:cstheme="minorHAnsi"/>
              </w:rPr>
            </w:pPr>
          </w:p>
        </w:tc>
        <w:tc>
          <w:tcPr>
            <w:tcW w:w="7290" w:type="dxa"/>
            <w:shd w:val="clear" w:color="auto" w:fill="D9E2F3"/>
          </w:tcPr>
          <w:p w14:paraId="4DAE6DA7" w14:textId="7DAAF238" w:rsidR="00900BDC" w:rsidRPr="009631A0" w:rsidRDefault="002B7799" w:rsidP="0001443A">
            <w:pPr>
              <w:cnfStyle w:val="000000100000" w:firstRow="0" w:lastRow="0" w:firstColumn="0" w:lastColumn="0" w:oddVBand="0" w:evenVBand="0" w:oddHBand="1" w:evenHBand="0" w:firstRowFirstColumn="0" w:firstRowLastColumn="0" w:lastRowFirstColumn="0" w:lastRowLastColumn="0"/>
            </w:pPr>
            <w:r>
              <w:t>I</w:t>
            </w:r>
            <w:r w:rsidR="00900BDC" w:rsidRPr="009631A0">
              <w:t xml:space="preserve">f the student doesn't have in their hands the material they need to follow </w:t>
            </w:r>
            <w:proofErr w:type="gramStart"/>
            <w:r w:rsidR="00900BDC" w:rsidRPr="009631A0">
              <w:t>along</w:t>
            </w:r>
            <w:proofErr w:type="gramEnd"/>
            <w:r w:rsidR="00900BDC" w:rsidRPr="009631A0">
              <w:t xml:space="preserve"> the class and to read with the others and to understand what they're talking about, it really is a hindrance to learning.</w:t>
            </w:r>
            <w:r w:rsidR="00900BDC">
              <w:t xml:space="preserve"> (</w:t>
            </w:r>
            <w:r w:rsidR="000C13A5">
              <w:t>UT</w:t>
            </w:r>
            <w:r w:rsidR="00900BDC">
              <w:t>)</w:t>
            </w:r>
          </w:p>
        </w:tc>
      </w:tr>
      <w:tr w:rsidR="00900BDC" w:rsidRPr="00CD254C" w14:paraId="179D75CB" w14:textId="77777777" w:rsidTr="006E790C">
        <w:tc>
          <w:tcPr>
            <w:cnfStyle w:val="001000000000" w:firstRow="0" w:lastRow="0" w:firstColumn="1" w:lastColumn="0" w:oddVBand="0" w:evenVBand="0" w:oddHBand="0" w:evenHBand="0" w:firstRowFirstColumn="0" w:firstRowLastColumn="0" w:lastRowFirstColumn="0" w:lastRowLastColumn="0"/>
            <w:tcW w:w="2065" w:type="dxa"/>
          </w:tcPr>
          <w:p w14:paraId="588D6CFF" w14:textId="77777777" w:rsidR="00900BDC" w:rsidRDefault="00900BDC" w:rsidP="0001443A">
            <w:pPr>
              <w:rPr>
                <w:rFonts w:cstheme="minorHAnsi"/>
              </w:rPr>
            </w:pPr>
          </w:p>
        </w:tc>
        <w:tc>
          <w:tcPr>
            <w:tcW w:w="7290" w:type="dxa"/>
          </w:tcPr>
          <w:p w14:paraId="449B5F22" w14:textId="3A1511D7" w:rsidR="00900BDC" w:rsidRPr="009631A0" w:rsidRDefault="00900BDC" w:rsidP="0001443A">
            <w:pPr>
              <w:cnfStyle w:val="000000000000" w:firstRow="0" w:lastRow="0" w:firstColumn="0" w:lastColumn="0" w:oddVBand="0" w:evenVBand="0" w:oddHBand="0" w:evenHBand="0" w:firstRowFirstColumn="0" w:firstRowLastColumn="0" w:lastRowFirstColumn="0" w:lastRowLastColumn="0"/>
            </w:pPr>
            <w:r w:rsidRPr="009631A0">
              <w:t>If materials are not provided in a timely manner, how can they be expected to learn and thrive?</w:t>
            </w:r>
            <w:r>
              <w:t xml:space="preserve"> (</w:t>
            </w:r>
            <w:r w:rsidR="000C13A5">
              <w:t>CO</w:t>
            </w:r>
            <w:r w:rsidR="00B55C67">
              <w:rPr>
                <w:rFonts w:ascii="ZWAdobeF" w:hAnsi="ZWAdobeF" w:cs="ZWAdobeF"/>
                <w:sz w:val="2"/>
                <w:szCs w:val="2"/>
              </w:rPr>
              <w:t>20F</w:t>
            </w:r>
            <w:r w:rsidR="00354D06">
              <w:rPr>
                <w:rStyle w:val="FootnoteReference"/>
              </w:rPr>
              <w:footnoteReference w:id="21"/>
            </w:r>
            <w:r>
              <w:t>)</w:t>
            </w:r>
          </w:p>
        </w:tc>
      </w:tr>
      <w:tr w:rsidR="00900BDC" w:rsidRPr="00CD254C" w14:paraId="5AFC0459"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shd w:val="clear" w:color="auto" w:fill="D9E2F3"/>
          </w:tcPr>
          <w:p w14:paraId="3E3E11FB" w14:textId="77777777" w:rsidR="00900BDC" w:rsidRDefault="00900BDC" w:rsidP="0001443A">
            <w:pPr>
              <w:rPr>
                <w:rFonts w:cstheme="minorHAnsi"/>
              </w:rPr>
            </w:pPr>
          </w:p>
        </w:tc>
        <w:tc>
          <w:tcPr>
            <w:tcW w:w="7290" w:type="dxa"/>
            <w:shd w:val="clear" w:color="auto" w:fill="D9E2F3"/>
          </w:tcPr>
          <w:p w14:paraId="6E44A85E" w14:textId="0EAE8E45" w:rsidR="00900BDC" w:rsidRPr="009631A0" w:rsidRDefault="00900BDC" w:rsidP="0001443A">
            <w:pPr>
              <w:cnfStyle w:val="000000100000" w:firstRow="0" w:lastRow="0" w:firstColumn="0" w:lastColumn="0" w:oddVBand="0" w:evenVBand="0" w:oddHBand="1" w:evenHBand="0" w:firstRowFirstColumn="0" w:firstRowLastColumn="0" w:lastRowFirstColumn="0" w:lastRowLastColumn="0"/>
            </w:pPr>
            <w:r>
              <w:t>M</w:t>
            </w:r>
            <w:r w:rsidRPr="00B341C5">
              <w:t>any students with print disabilities are behind their sighted peers because their materials are not always available at the same time.</w:t>
            </w:r>
            <w:r>
              <w:t xml:space="preserve"> (</w:t>
            </w:r>
            <w:r w:rsidR="000C13A5">
              <w:t>MO</w:t>
            </w:r>
            <w:r>
              <w:t>)</w:t>
            </w:r>
          </w:p>
        </w:tc>
      </w:tr>
      <w:tr w:rsidR="00900BDC" w:rsidRPr="00CD254C" w14:paraId="0924685A" w14:textId="77777777" w:rsidTr="006E790C">
        <w:tc>
          <w:tcPr>
            <w:cnfStyle w:val="001000000000" w:firstRow="0" w:lastRow="0" w:firstColumn="1" w:lastColumn="0" w:oddVBand="0" w:evenVBand="0" w:oddHBand="0" w:evenHBand="0" w:firstRowFirstColumn="0" w:firstRowLastColumn="0" w:lastRowFirstColumn="0" w:lastRowLastColumn="0"/>
            <w:tcW w:w="2065" w:type="dxa"/>
          </w:tcPr>
          <w:p w14:paraId="454DC711" w14:textId="77777777" w:rsidR="00900BDC" w:rsidRDefault="00900BDC" w:rsidP="0001443A">
            <w:pPr>
              <w:rPr>
                <w:rFonts w:cstheme="minorHAnsi"/>
              </w:rPr>
            </w:pPr>
          </w:p>
        </w:tc>
        <w:tc>
          <w:tcPr>
            <w:tcW w:w="7290" w:type="dxa"/>
          </w:tcPr>
          <w:p w14:paraId="53DABA28" w14:textId="3C5FA2BB" w:rsidR="00900BDC" w:rsidRPr="009631A0" w:rsidRDefault="00900BDC" w:rsidP="0001443A">
            <w:pPr>
              <w:cnfStyle w:val="000000000000" w:firstRow="0" w:lastRow="0" w:firstColumn="0" w:lastColumn="0" w:oddVBand="0" w:evenVBand="0" w:oddHBand="0" w:evenHBand="0" w:firstRowFirstColumn="0" w:firstRowLastColumn="0" w:lastRowFirstColumn="0" w:lastRowLastColumn="0"/>
            </w:pPr>
            <w:r w:rsidRPr="009631A0">
              <w:t>When students have access, they can achieve and learn academic content. Our students deserve to be in a position where they can access materials that help them learn and not only have to always depend on others to provide the information.</w:t>
            </w:r>
            <w:r>
              <w:t xml:space="preserve"> (</w:t>
            </w:r>
            <w:r w:rsidR="000C13A5">
              <w:t>WA</w:t>
            </w:r>
            <w:r>
              <w:t>)</w:t>
            </w:r>
          </w:p>
        </w:tc>
      </w:tr>
      <w:tr w:rsidR="00900BDC" w:rsidRPr="00CD254C" w14:paraId="703FAB83"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shd w:val="clear" w:color="auto" w:fill="D9E2F3"/>
          </w:tcPr>
          <w:p w14:paraId="2BCF6D7A" w14:textId="62C647C7" w:rsidR="00900BDC" w:rsidRDefault="00900BDC" w:rsidP="0001443A">
            <w:pPr>
              <w:rPr>
                <w:rFonts w:cstheme="minorHAnsi"/>
              </w:rPr>
            </w:pPr>
            <w:r>
              <w:rPr>
                <w:rFonts w:cstheme="minorHAnsi"/>
              </w:rPr>
              <w:t>Promotes equitable access to instructional materials (55)</w:t>
            </w:r>
          </w:p>
        </w:tc>
        <w:tc>
          <w:tcPr>
            <w:tcW w:w="7290" w:type="dxa"/>
            <w:shd w:val="clear" w:color="auto" w:fill="D9E2F3"/>
          </w:tcPr>
          <w:p w14:paraId="4FA7B7B6" w14:textId="005C1610" w:rsidR="00900BDC" w:rsidRPr="009631A0" w:rsidRDefault="00900BDC" w:rsidP="0001443A">
            <w:pPr>
              <w:cnfStyle w:val="000000100000" w:firstRow="0" w:lastRow="0" w:firstColumn="0" w:lastColumn="0" w:oddVBand="0" w:evenVBand="0" w:oddHBand="1" w:evenHBand="0" w:firstRowFirstColumn="0" w:firstRowLastColumn="0" w:lastRowFirstColumn="0" w:lastRowLastColumn="0"/>
            </w:pPr>
            <w:r w:rsidRPr="00DB0171">
              <w:t>Timely means access</w:t>
            </w:r>
            <w:r w:rsidR="00925189">
              <w:t>.</w:t>
            </w:r>
            <w:r w:rsidRPr="00DB0171">
              <w:t xml:space="preserve"> </w:t>
            </w:r>
            <w:r w:rsidR="00925189">
              <w:t>T</w:t>
            </w:r>
            <w:r w:rsidRPr="00DB0171">
              <w:t xml:space="preserve">imely means you're getting instruction </w:t>
            </w:r>
            <w:r w:rsidR="00925189">
              <w:t>and</w:t>
            </w:r>
            <w:r w:rsidRPr="00DB0171">
              <w:t xml:space="preserve"> able to access your education</w:t>
            </w:r>
            <w:r w:rsidR="00FF0095">
              <w:t xml:space="preserve"> at</w:t>
            </w:r>
            <w:r w:rsidRPr="00DB0171">
              <w:t xml:space="preserve"> the same time that your peers are able to. And if you can't, then there's a problem.</w:t>
            </w:r>
            <w:r>
              <w:t xml:space="preserve"> (</w:t>
            </w:r>
            <w:r w:rsidR="000C13A5">
              <w:t>OH</w:t>
            </w:r>
            <w:r>
              <w:t>)</w:t>
            </w:r>
          </w:p>
        </w:tc>
      </w:tr>
      <w:tr w:rsidR="00900BDC" w:rsidRPr="00CD254C" w14:paraId="14250E83" w14:textId="77777777" w:rsidTr="006E790C">
        <w:tc>
          <w:tcPr>
            <w:cnfStyle w:val="001000000000" w:firstRow="0" w:lastRow="0" w:firstColumn="1" w:lastColumn="0" w:oddVBand="0" w:evenVBand="0" w:oddHBand="0" w:evenHBand="0" w:firstRowFirstColumn="0" w:firstRowLastColumn="0" w:lastRowFirstColumn="0" w:lastRowLastColumn="0"/>
            <w:tcW w:w="2065" w:type="dxa"/>
          </w:tcPr>
          <w:p w14:paraId="603A111C" w14:textId="77777777" w:rsidR="00900BDC" w:rsidRDefault="00900BDC" w:rsidP="0001443A">
            <w:pPr>
              <w:rPr>
                <w:rFonts w:cstheme="minorHAnsi"/>
              </w:rPr>
            </w:pPr>
          </w:p>
        </w:tc>
        <w:tc>
          <w:tcPr>
            <w:tcW w:w="7290" w:type="dxa"/>
          </w:tcPr>
          <w:p w14:paraId="2EAF3F88" w14:textId="00A51308" w:rsidR="00900BDC" w:rsidRPr="00DB0171" w:rsidRDefault="00900BDC" w:rsidP="0001443A">
            <w:pPr>
              <w:cnfStyle w:val="000000000000" w:firstRow="0" w:lastRow="0" w:firstColumn="0" w:lastColumn="0" w:oddVBand="0" w:evenVBand="0" w:oddHBand="0" w:evenHBand="0" w:firstRowFirstColumn="0" w:firstRowLastColumn="0" w:lastRowFirstColumn="0" w:lastRowLastColumn="0"/>
            </w:pPr>
            <w:r w:rsidRPr="00DB0171">
              <w:t xml:space="preserve">It comes down to access. </w:t>
            </w:r>
            <w:r w:rsidR="00B9406C">
              <w:t>Blind and visually impaired</w:t>
            </w:r>
            <w:r w:rsidRPr="00DB0171">
              <w:t xml:space="preserve"> students need to have immediate access to accessible educational materials to ensure that they are provided with the same opportunity for learning as their peers without a visual impairment.</w:t>
            </w:r>
            <w:r>
              <w:t xml:space="preserve"> (</w:t>
            </w:r>
            <w:r w:rsidR="000C13A5">
              <w:t>OH</w:t>
            </w:r>
            <w:r>
              <w:t>)</w:t>
            </w:r>
          </w:p>
        </w:tc>
      </w:tr>
      <w:tr w:rsidR="00900BDC" w:rsidRPr="00CD254C" w14:paraId="7C2A46D7"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shd w:val="clear" w:color="auto" w:fill="D9E2F3"/>
          </w:tcPr>
          <w:p w14:paraId="695E78FB" w14:textId="77777777" w:rsidR="00900BDC" w:rsidRDefault="00900BDC" w:rsidP="0001443A">
            <w:pPr>
              <w:rPr>
                <w:rFonts w:cstheme="minorHAnsi"/>
              </w:rPr>
            </w:pPr>
          </w:p>
        </w:tc>
        <w:tc>
          <w:tcPr>
            <w:tcW w:w="7290" w:type="dxa"/>
            <w:shd w:val="clear" w:color="auto" w:fill="D9E2F3"/>
          </w:tcPr>
          <w:p w14:paraId="68541158" w14:textId="5D50B27C" w:rsidR="00900BDC" w:rsidRPr="00DB0171" w:rsidRDefault="00900BDC" w:rsidP="0001443A">
            <w:pPr>
              <w:cnfStyle w:val="000000100000" w:firstRow="0" w:lastRow="0" w:firstColumn="0" w:lastColumn="0" w:oddVBand="0" w:evenVBand="0" w:oddHBand="1" w:evenHBand="0" w:firstRowFirstColumn="0" w:firstRowLastColumn="0" w:lastRowFirstColumn="0" w:lastRowLastColumn="0"/>
            </w:pPr>
            <w:r w:rsidRPr="00DB0171">
              <w:t xml:space="preserve">Equitable opportunity and access for learning requires that each student has their unique needs </w:t>
            </w:r>
            <w:r w:rsidR="00B9406C">
              <w:t>addressed</w:t>
            </w:r>
            <w:r w:rsidRPr="00DB0171">
              <w:t xml:space="preserve"> in real time for each situation they encounter during their school day.</w:t>
            </w:r>
            <w:r>
              <w:t xml:space="preserve"> (</w:t>
            </w:r>
            <w:r w:rsidR="000C13A5">
              <w:t>OH</w:t>
            </w:r>
            <w:r>
              <w:t>)</w:t>
            </w:r>
          </w:p>
        </w:tc>
      </w:tr>
      <w:tr w:rsidR="00900BDC" w:rsidRPr="00CD254C" w14:paraId="3DC38C5B" w14:textId="77777777" w:rsidTr="006E790C">
        <w:tc>
          <w:tcPr>
            <w:cnfStyle w:val="001000000000" w:firstRow="0" w:lastRow="0" w:firstColumn="1" w:lastColumn="0" w:oddVBand="0" w:evenVBand="0" w:oddHBand="0" w:evenHBand="0" w:firstRowFirstColumn="0" w:firstRowLastColumn="0" w:lastRowFirstColumn="0" w:lastRowLastColumn="0"/>
            <w:tcW w:w="2065" w:type="dxa"/>
          </w:tcPr>
          <w:p w14:paraId="0E419906" w14:textId="77777777" w:rsidR="00900BDC" w:rsidRDefault="00900BDC" w:rsidP="0001443A">
            <w:pPr>
              <w:rPr>
                <w:rFonts w:cstheme="minorHAnsi"/>
              </w:rPr>
            </w:pPr>
          </w:p>
        </w:tc>
        <w:tc>
          <w:tcPr>
            <w:tcW w:w="7290" w:type="dxa"/>
          </w:tcPr>
          <w:p w14:paraId="05984609" w14:textId="5B0C1862" w:rsidR="00900BDC" w:rsidRPr="00DB0171" w:rsidRDefault="00900BDC" w:rsidP="0001443A">
            <w:pPr>
              <w:cnfStyle w:val="000000000000" w:firstRow="0" w:lastRow="0" w:firstColumn="0" w:lastColumn="0" w:oddVBand="0" w:evenVBand="0" w:oddHBand="0" w:evenHBand="0" w:firstRowFirstColumn="0" w:firstRowLastColumn="0" w:lastRowFirstColumn="0" w:lastRowLastColumn="0"/>
            </w:pPr>
            <w:r w:rsidRPr="00DB0171">
              <w:t>I think the most important thing about the timely delivery of accessible formats is that it allows students the same opportunities as their peers to participate in their education.</w:t>
            </w:r>
            <w:r>
              <w:t xml:space="preserve"> (</w:t>
            </w:r>
            <w:r w:rsidR="000C13A5">
              <w:t>OH</w:t>
            </w:r>
            <w:r>
              <w:t>)</w:t>
            </w:r>
          </w:p>
        </w:tc>
      </w:tr>
      <w:tr w:rsidR="00900BDC" w:rsidRPr="00CD254C" w14:paraId="10F8A6A2"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shd w:val="clear" w:color="auto" w:fill="D9E2F3"/>
          </w:tcPr>
          <w:p w14:paraId="0E1FD70B" w14:textId="77777777" w:rsidR="00900BDC" w:rsidRDefault="00900BDC" w:rsidP="0001443A">
            <w:pPr>
              <w:rPr>
                <w:rFonts w:cstheme="minorHAnsi"/>
              </w:rPr>
            </w:pPr>
          </w:p>
        </w:tc>
        <w:tc>
          <w:tcPr>
            <w:tcW w:w="7290" w:type="dxa"/>
            <w:shd w:val="clear" w:color="auto" w:fill="D9E2F3"/>
          </w:tcPr>
          <w:p w14:paraId="76896BC7" w14:textId="41831100" w:rsidR="00900BDC" w:rsidRPr="00DB0171" w:rsidRDefault="00900BDC" w:rsidP="0001443A">
            <w:pPr>
              <w:cnfStyle w:val="000000100000" w:firstRow="0" w:lastRow="0" w:firstColumn="0" w:lastColumn="0" w:oddVBand="0" w:evenVBand="0" w:oddHBand="1" w:evenHBand="0" w:firstRowFirstColumn="0" w:firstRowLastColumn="0" w:lastRowFirstColumn="0" w:lastRowLastColumn="0"/>
            </w:pPr>
            <w:r w:rsidRPr="00DB0171">
              <w:t>I had one teacher that told me</w:t>
            </w:r>
            <w:r>
              <w:t>…, “W</w:t>
            </w:r>
            <w:r w:rsidRPr="00DB0171">
              <w:t>ell</w:t>
            </w:r>
            <w:r>
              <w:t>, [the student]</w:t>
            </w:r>
            <w:r w:rsidRPr="00DB0171">
              <w:t xml:space="preserve"> just doesn't need to do </w:t>
            </w:r>
            <w:r>
              <w:t>this assignment.</w:t>
            </w:r>
            <w:r w:rsidR="00FF0095">
              <w:t>”</w:t>
            </w:r>
            <w:r>
              <w:t xml:space="preserve"> A</w:t>
            </w:r>
            <w:r w:rsidRPr="00DB0171">
              <w:t>nd I said, "Well</w:t>
            </w:r>
            <w:r w:rsidR="00FF0095">
              <w:t>,</w:t>
            </w:r>
            <w:r w:rsidRPr="00DB0171">
              <w:t xml:space="preserve"> then are all your students not </w:t>
            </w:r>
            <w:proofErr w:type="spellStart"/>
            <w:r w:rsidRPr="00DB0171">
              <w:t>gonna</w:t>
            </w:r>
            <w:proofErr w:type="spellEnd"/>
            <w:r w:rsidRPr="00DB0171">
              <w:t xml:space="preserve"> do this?</w:t>
            </w:r>
            <w:r w:rsidR="00FF0095">
              <w:t xml:space="preserve"> </w:t>
            </w:r>
            <w:r>
              <w:t>Be</w:t>
            </w:r>
            <w:r w:rsidRPr="00DB0171">
              <w:t xml:space="preserve">cause that's equity." </w:t>
            </w:r>
            <w:r>
              <w:t>(</w:t>
            </w:r>
            <w:r w:rsidR="000C13A5">
              <w:t>OR</w:t>
            </w:r>
            <w:r>
              <w:t>)</w:t>
            </w:r>
          </w:p>
        </w:tc>
      </w:tr>
      <w:tr w:rsidR="00900BDC" w:rsidRPr="00CD254C" w14:paraId="5D7599E6" w14:textId="77777777" w:rsidTr="006E790C">
        <w:tc>
          <w:tcPr>
            <w:cnfStyle w:val="001000000000" w:firstRow="0" w:lastRow="0" w:firstColumn="1" w:lastColumn="0" w:oddVBand="0" w:evenVBand="0" w:oddHBand="0" w:evenHBand="0" w:firstRowFirstColumn="0" w:firstRowLastColumn="0" w:lastRowFirstColumn="0" w:lastRowLastColumn="0"/>
            <w:tcW w:w="2065" w:type="dxa"/>
          </w:tcPr>
          <w:p w14:paraId="37E6020F" w14:textId="77777777" w:rsidR="00900BDC" w:rsidRDefault="00900BDC" w:rsidP="0001443A">
            <w:pPr>
              <w:rPr>
                <w:rFonts w:cstheme="minorHAnsi"/>
              </w:rPr>
            </w:pPr>
          </w:p>
        </w:tc>
        <w:tc>
          <w:tcPr>
            <w:tcW w:w="7290" w:type="dxa"/>
          </w:tcPr>
          <w:p w14:paraId="0DE9CD4C" w14:textId="2129D2C0" w:rsidR="00900BDC" w:rsidRPr="00DB0171" w:rsidRDefault="00900BDC" w:rsidP="0001443A">
            <w:pPr>
              <w:cnfStyle w:val="000000000000" w:firstRow="0" w:lastRow="0" w:firstColumn="0" w:lastColumn="0" w:oddVBand="0" w:evenVBand="0" w:oddHBand="0" w:evenHBand="0" w:firstRowFirstColumn="0" w:firstRowLastColumn="0" w:lastRowFirstColumn="0" w:lastRowLastColumn="0"/>
            </w:pPr>
            <w:r w:rsidRPr="00B341C5">
              <w:t xml:space="preserve">We want students with visual impairments to be included </w:t>
            </w:r>
            <w:r w:rsidR="00FF0095">
              <w:t>and</w:t>
            </w:r>
            <w:r w:rsidRPr="00B341C5">
              <w:t xml:space="preserve"> have the same access to education as other students</w:t>
            </w:r>
            <w:r w:rsidR="002C28D6">
              <w:t>. T</w:t>
            </w:r>
            <w:r w:rsidRPr="00B341C5">
              <w:t>imely delivery is absolutely necessary to achieve that.</w:t>
            </w:r>
            <w:r>
              <w:t xml:space="preserve"> (</w:t>
            </w:r>
            <w:r w:rsidR="000C13A5">
              <w:t>IA</w:t>
            </w:r>
            <w:r>
              <w:t>)</w:t>
            </w:r>
          </w:p>
        </w:tc>
      </w:tr>
      <w:tr w:rsidR="00900BDC" w:rsidRPr="00CD254C" w14:paraId="49135F34"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shd w:val="clear" w:color="auto" w:fill="D9E2F3"/>
          </w:tcPr>
          <w:p w14:paraId="76E6E859" w14:textId="77777777" w:rsidR="00900BDC" w:rsidRDefault="00900BDC" w:rsidP="0001443A">
            <w:pPr>
              <w:rPr>
                <w:rFonts w:cstheme="minorHAnsi"/>
              </w:rPr>
            </w:pPr>
          </w:p>
        </w:tc>
        <w:tc>
          <w:tcPr>
            <w:tcW w:w="7290" w:type="dxa"/>
            <w:shd w:val="clear" w:color="auto" w:fill="D9E2F3"/>
          </w:tcPr>
          <w:p w14:paraId="136C9EC3" w14:textId="6E7FDAF5" w:rsidR="00900BDC" w:rsidRPr="00DB0171" w:rsidRDefault="00900BDC" w:rsidP="0001443A">
            <w:pPr>
              <w:cnfStyle w:val="000000100000" w:firstRow="0" w:lastRow="0" w:firstColumn="0" w:lastColumn="0" w:oddVBand="0" w:evenVBand="0" w:oddHBand="1" w:evenHBand="0" w:firstRowFirstColumn="0" w:firstRowLastColumn="0" w:lastRowFirstColumn="0" w:lastRowLastColumn="0"/>
            </w:pPr>
            <w:r>
              <w:t>I</w:t>
            </w:r>
            <w:r w:rsidRPr="00B341C5">
              <w:t>t levels the playing field for students with print disabilities. It puts them at the same level as all other students.</w:t>
            </w:r>
            <w:r>
              <w:t xml:space="preserve"> (</w:t>
            </w:r>
            <w:r w:rsidR="000C13A5">
              <w:t>ND</w:t>
            </w:r>
            <w:r>
              <w:t>)</w:t>
            </w:r>
          </w:p>
        </w:tc>
      </w:tr>
      <w:tr w:rsidR="00900BDC" w:rsidRPr="00CD254C" w14:paraId="2E5CDEAB" w14:textId="77777777" w:rsidTr="006E790C">
        <w:tc>
          <w:tcPr>
            <w:cnfStyle w:val="001000000000" w:firstRow="0" w:lastRow="0" w:firstColumn="1" w:lastColumn="0" w:oddVBand="0" w:evenVBand="0" w:oddHBand="0" w:evenHBand="0" w:firstRowFirstColumn="0" w:firstRowLastColumn="0" w:lastRowFirstColumn="0" w:lastRowLastColumn="0"/>
            <w:tcW w:w="2065" w:type="dxa"/>
          </w:tcPr>
          <w:p w14:paraId="60BB92F4" w14:textId="77777777" w:rsidR="00900BDC" w:rsidRDefault="00900BDC" w:rsidP="0001443A">
            <w:pPr>
              <w:jc w:val="center"/>
              <w:rPr>
                <w:rFonts w:cstheme="minorHAnsi"/>
              </w:rPr>
            </w:pPr>
          </w:p>
        </w:tc>
        <w:tc>
          <w:tcPr>
            <w:tcW w:w="7290" w:type="dxa"/>
          </w:tcPr>
          <w:p w14:paraId="170177C8" w14:textId="641080F5" w:rsidR="00900BDC" w:rsidRPr="00DB0171" w:rsidRDefault="00900BDC" w:rsidP="0001443A">
            <w:pPr>
              <w:cnfStyle w:val="000000000000" w:firstRow="0" w:lastRow="0" w:firstColumn="0" w:lastColumn="0" w:oddVBand="0" w:evenVBand="0" w:oddHBand="0" w:evenHBand="0" w:firstRowFirstColumn="0" w:firstRowLastColumn="0" w:lastRowFirstColumn="0" w:lastRowLastColumn="0"/>
            </w:pPr>
            <w:r w:rsidRPr="00B341C5">
              <w:t>Let me use the opposite</w:t>
            </w:r>
            <w:r w:rsidR="00FF0095">
              <w:t>:</w:t>
            </w:r>
            <w:r w:rsidRPr="00B341C5">
              <w:t xml:space="preserve"> Would you pick a child out of class for any reason, and then just give them the materials an hour or a day later than their classmates? Of course not. That would be discrimination. </w:t>
            </w:r>
            <w:proofErr w:type="gramStart"/>
            <w:r w:rsidRPr="00B341C5">
              <w:t>So</w:t>
            </w:r>
            <w:proofErr w:type="gramEnd"/>
            <w:r w:rsidRPr="00B341C5">
              <w:t xml:space="preserve"> kids with disabilities need materials at the same time as their peers.</w:t>
            </w:r>
            <w:r>
              <w:t xml:space="preserve"> (</w:t>
            </w:r>
            <w:r w:rsidR="000C13A5">
              <w:t>VA</w:t>
            </w:r>
            <w:r>
              <w:t>)</w:t>
            </w:r>
          </w:p>
        </w:tc>
      </w:tr>
      <w:tr w:rsidR="00900BDC" w:rsidRPr="00CD254C" w14:paraId="715AB74F"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shd w:val="clear" w:color="auto" w:fill="D9E2F3"/>
          </w:tcPr>
          <w:p w14:paraId="294CDC66" w14:textId="6BBC8C56" w:rsidR="00900BDC" w:rsidRDefault="00900BDC" w:rsidP="0001443A">
            <w:pPr>
              <w:rPr>
                <w:rFonts w:cstheme="minorHAnsi"/>
              </w:rPr>
            </w:pPr>
            <w:r>
              <w:rPr>
                <w:rFonts w:cstheme="minorHAnsi"/>
              </w:rPr>
              <w:t>Supports psychological well-being (44)</w:t>
            </w:r>
          </w:p>
        </w:tc>
        <w:tc>
          <w:tcPr>
            <w:tcW w:w="7290" w:type="dxa"/>
            <w:shd w:val="clear" w:color="auto" w:fill="D9E2F3"/>
          </w:tcPr>
          <w:p w14:paraId="04B00FCC" w14:textId="5802E3C8" w:rsidR="00900BDC" w:rsidRPr="00DB0171" w:rsidRDefault="00900BDC" w:rsidP="0001443A">
            <w:pPr>
              <w:cnfStyle w:val="000000100000" w:firstRow="0" w:lastRow="0" w:firstColumn="0" w:lastColumn="0" w:oddVBand="0" w:evenVBand="0" w:oddHBand="1" w:evenHBand="0" w:firstRowFirstColumn="0" w:firstRowLastColumn="0" w:lastRowFirstColumn="0" w:lastRowLastColumn="0"/>
            </w:pPr>
            <w:r>
              <w:t>W</w:t>
            </w:r>
            <w:r w:rsidRPr="00F07101">
              <w:t xml:space="preserve">hat I think ends up happening is it plays into </w:t>
            </w:r>
            <w:r w:rsidR="00131762">
              <w:t>students’</w:t>
            </w:r>
            <w:r w:rsidRPr="00F07101">
              <w:t xml:space="preserve"> emotional state of</w:t>
            </w:r>
            <w:r w:rsidR="00547E8B">
              <w:t xml:space="preserve"> thinking, “N</w:t>
            </w:r>
            <w:r w:rsidRPr="00F07101">
              <w:t>ow I'm the one who is having to ask my teacher to do more and I don't want to have to do that, or I'm the one who's causing the class to slow down</w:t>
            </w:r>
            <w:r w:rsidR="00547E8B">
              <w:t>.” I</w:t>
            </w:r>
            <w:r w:rsidRPr="00F07101">
              <w:t xml:space="preserve">t really </w:t>
            </w:r>
            <w:r w:rsidR="00547E8B">
              <w:t xml:space="preserve">plays </w:t>
            </w:r>
            <w:r w:rsidRPr="00F07101">
              <w:t>into how they're feeling about themselves, even though it's entirely not their fault.</w:t>
            </w:r>
            <w:r>
              <w:t xml:space="preserve"> (</w:t>
            </w:r>
            <w:r w:rsidR="000C13A5">
              <w:t>OH</w:t>
            </w:r>
            <w:r>
              <w:t>)</w:t>
            </w:r>
          </w:p>
        </w:tc>
      </w:tr>
      <w:tr w:rsidR="00900BDC" w:rsidRPr="00CD254C" w14:paraId="6607E363" w14:textId="77777777" w:rsidTr="006E790C">
        <w:tc>
          <w:tcPr>
            <w:cnfStyle w:val="001000000000" w:firstRow="0" w:lastRow="0" w:firstColumn="1" w:lastColumn="0" w:oddVBand="0" w:evenVBand="0" w:oddHBand="0" w:evenHBand="0" w:firstRowFirstColumn="0" w:firstRowLastColumn="0" w:lastRowFirstColumn="0" w:lastRowLastColumn="0"/>
            <w:tcW w:w="2065" w:type="dxa"/>
          </w:tcPr>
          <w:p w14:paraId="3634E60F" w14:textId="77777777" w:rsidR="00900BDC" w:rsidRDefault="00900BDC" w:rsidP="0001443A">
            <w:pPr>
              <w:rPr>
                <w:rFonts w:cstheme="minorHAnsi"/>
              </w:rPr>
            </w:pPr>
          </w:p>
        </w:tc>
        <w:tc>
          <w:tcPr>
            <w:tcW w:w="7290" w:type="dxa"/>
          </w:tcPr>
          <w:p w14:paraId="266AB0A8" w14:textId="2D179F99" w:rsidR="00900BDC" w:rsidRPr="00D7224A" w:rsidRDefault="00900BDC" w:rsidP="0001443A">
            <w:pPr>
              <w:cnfStyle w:val="000000000000" w:firstRow="0" w:lastRow="0" w:firstColumn="0" w:lastColumn="0" w:oddVBand="0" w:evenVBand="0" w:oddHBand="0" w:evenHBand="0" w:firstRowFirstColumn="0" w:firstRowLastColumn="0" w:lastRowFirstColumn="0" w:lastRowLastColumn="0"/>
            </w:pPr>
            <w:r w:rsidRPr="00D7224A">
              <w:t>Getting materials that allow students to access learning will allow them to be more independent and more like their peers. All of which allows them to feel better about themselves.</w:t>
            </w:r>
            <w:r>
              <w:t xml:space="preserve"> (</w:t>
            </w:r>
            <w:r w:rsidR="000C13A5">
              <w:t>OH</w:t>
            </w:r>
            <w:r>
              <w:t>)</w:t>
            </w:r>
          </w:p>
        </w:tc>
      </w:tr>
      <w:tr w:rsidR="00900BDC" w:rsidRPr="00CD254C" w14:paraId="10804881"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shd w:val="clear" w:color="auto" w:fill="D9E2F3"/>
          </w:tcPr>
          <w:p w14:paraId="63A9AC27" w14:textId="77777777" w:rsidR="00900BDC" w:rsidRDefault="00900BDC" w:rsidP="0001443A">
            <w:pPr>
              <w:rPr>
                <w:rFonts w:cstheme="minorHAnsi"/>
              </w:rPr>
            </w:pPr>
          </w:p>
        </w:tc>
        <w:tc>
          <w:tcPr>
            <w:tcW w:w="7290" w:type="dxa"/>
            <w:shd w:val="clear" w:color="auto" w:fill="D9E2F3"/>
          </w:tcPr>
          <w:p w14:paraId="7F3E34E6" w14:textId="257005CF" w:rsidR="00900BDC" w:rsidRPr="00D7224A" w:rsidRDefault="008766AA" w:rsidP="0001443A">
            <w:pPr>
              <w:cnfStyle w:val="000000100000" w:firstRow="0" w:lastRow="0" w:firstColumn="0" w:lastColumn="0" w:oddVBand="0" w:evenVBand="0" w:oddHBand="1" w:evenHBand="0" w:firstRowFirstColumn="0" w:firstRowLastColumn="0" w:lastRowFirstColumn="0" w:lastRowLastColumn="0"/>
            </w:pPr>
            <w:r>
              <w:t>M</w:t>
            </w:r>
            <w:r w:rsidR="00900BDC" w:rsidRPr="00D7224A">
              <w:t>iddle school</w:t>
            </w:r>
            <w:r w:rsidR="00937149">
              <w:t>ers</w:t>
            </w:r>
            <w:r w:rsidR="00900BDC" w:rsidRPr="00D7224A">
              <w:t xml:space="preserve"> and high schoolers have all </w:t>
            </w:r>
            <w:r>
              <w:t xml:space="preserve">of </w:t>
            </w:r>
            <w:r w:rsidR="00900BDC" w:rsidRPr="00D7224A">
              <w:t>their elementary years of not being able to access materials</w:t>
            </w:r>
            <w:r>
              <w:t xml:space="preserve"> and</w:t>
            </w:r>
            <w:r w:rsidR="00900BDC" w:rsidRPr="00D7224A">
              <w:t xml:space="preserve"> not being able to participate. So</w:t>
            </w:r>
            <w:r w:rsidR="00900BDC">
              <w:t>,</w:t>
            </w:r>
            <w:r w:rsidR="00900BDC" w:rsidRPr="00D7224A">
              <w:t xml:space="preserve"> most of them</w:t>
            </w:r>
            <w:r>
              <w:t>,</w:t>
            </w:r>
            <w:r w:rsidR="00900BDC" w:rsidRPr="00D7224A">
              <w:t xml:space="preserve"> as a defense, shut down or act out</w:t>
            </w:r>
            <w:r>
              <w:t>,</w:t>
            </w:r>
            <w:r w:rsidR="00900BDC" w:rsidRPr="00D7224A">
              <w:t xml:space="preserve"> and </w:t>
            </w:r>
            <w:r>
              <w:t xml:space="preserve">they </w:t>
            </w:r>
            <w:r w:rsidR="00900BDC" w:rsidRPr="00D7224A">
              <w:t xml:space="preserve">become the high schoolers that just have their AirPods in and their heads down and </w:t>
            </w:r>
            <w:r>
              <w:t>are</w:t>
            </w:r>
            <w:r w:rsidR="00900BDC" w:rsidRPr="00D7224A">
              <w:t xml:space="preserve"> not participating at all. So</w:t>
            </w:r>
            <w:r w:rsidR="00900BDC">
              <w:t>,</w:t>
            </w:r>
            <w:r w:rsidR="00900BDC" w:rsidRPr="00D7224A">
              <w:t xml:space="preserve"> catching them early and providing them access teach</w:t>
            </w:r>
            <w:r>
              <w:t>es</w:t>
            </w:r>
            <w:r w:rsidR="00900BDC" w:rsidRPr="00D7224A">
              <w:t xml:space="preserve"> </w:t>
            </w:r>
            <w:r>
              <w:t xml:space="preserve">them </w:t>
            </w:r>
            <w:r w:rsidR="00900BDC" w:rsidRPr="00D7224A">
              <w:t>that just because you're not able to read with your eyeballs doesn't mean you're not smart</w:t>
            </w:r>
            <w:r>
              <w:t xml:space="preserve">, or </w:t>
            </w:r>
            <w:r w:rsidR="00900BDC" w:rsidRPr="00D7224A">
              <w:t>just because you can't write using a pencil doesn't mean you're not smart and don't have things to contribute. So</w:t>
            </w:r>
            <w:r w:rsidR="00900BDC">
              <w:t>,</w:t>
            </w:r>
            <w:r w:rsidR="00900BDC" w:rsidRPr="00D7224A">
              <w:t xml:space="preserve"> it's kind of giving them the confidence to participate and setting them up for success in those fu</w:t>
            </w:r>
            <w:r>
              <w:t>ture</w:t>
            </w:r>
            <w:r w:rsidR="00900BDC" w:rsidRPr="00D7224A">
              <w:t xml:space="preserve"> years.</w:t>
            </w:r>
            <w:r w:rsidR="00900BDC">
              <w:t xml:space="preserve"> (</w:t>
            </w:r>
            <w:r w:rsidR="000C13A5">
              <w:t>OR</w:t>
            </w:r>
            <w:r w:rsidR="00900BDC">
              <w:t>)</w:t>
            </w:r>
          </w:p>
        </w:tc>
      </w:tr>
      <w:tr w:rsidR="00900BDC" w:rsidRPr="00CD254C" w14:paraId="0F130C8A" w14:textId="77777777" w:rsidTr="006E790C">
        <w:tc>
          <w:tcPr>
            <w:cnfStyle w:val="001000000000" w:firstRow="0" w:lastRow="0" w:firstColumn="1" w:lastColumn="0" w:oddVBand="0" w:evenVBand="0" w:oddHBand="0" w:evenHBand="0" w:firstRowFirstColumn="0" w:firstRowLastColumn="0" w:lastRowFirstColumn="0" w:lastRowLastColumn="0"/>
            <w:tcW w:w="2065" w:type="dxa"/>
          </w:tcPr>
          <w:p w14:paraId="73BA9E1E" w14:textId="77777777" w:rsidR="00900BDC" w:rsidRDefault="00900BDC" w:rsidP="0001443A">
            <w:pPr>
              <w:rPr>
                <w:rFonts w:cstheme="minorHAnsi"/>
              </w:rPr>
            </w:pPr>
          </w:p>
        </w:tc>
        <w:tc>
          <w:tcPr>
            <w:tcW w:w="7290" w:type="dxa"/>
          </w:tcPr>
          <w:p w14:paraId="5950E2A0" w14:textId="11A90997" w:rsidR="00900BDC" w:rsidRPr="00D7224A" w:rsidRDefault="00900BDC" w:rsidP="0001443A">
            <w:pPr>
              <w:cnfStyle w:val="000000000000" w:firstRow="0" w:lastRow="0" w:firstColumn="0" w:lastColumn="0" w:oddVBand="0" w:evenVBand="0" w:oddHBand="0" w:evenHBand="0" w:firstRowFirstColumn="0" w:firstRowLastColumn="0" w:lastRowFirstColumn="0" w:lastRowLastColumn="0"/>
            </w:pPr>
            <w:r w:rsidRPr="00D7224A">
              <w:t xml:space="preserve">It helps students to keep up with peers, helps them to </w:t>
            </w:r>
            <w:r w:rsidR="00937149" w:rsidRPr="00D7224A">
              <w:t xml:space="preserve">succeed </w:t>
            </w:r>
            <w:r w:rsidRPr="00D7224A">
              <w:t>academically, and makes them feel valued (cared for).</w:t>
            </w:r>
            <w:r>
              <w:t xml:space="preserve"> (</w:t>
            </w:r>
            <w:r w:rsidR="000C13A5">
              <w:t>OR</w:t>
            </w:r>
            <w:r>
              <w:t>)</w:t>
            </w:r>
          </w:p>
        </w:tc>
      </w:tr>
      <w:tr w:rsidR="00900BDC" w:rsidRPr="00CD254C" w14:paraId="230C30D3"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shd w:val="clear" w:color="auto" w:fill="D9E2F3"/>
          </w:tcPr>
          <w:p w14:paraId="56491C8D" w14:textId="77777777" w:rsidR="00900BDC" w:rsidRDefault="00900BDC" w:rsidP="0001443A">
            <w:pPr>
              <w:rPr>
                <w:rFonts w:cstheme="minorHAnsi"/>
              </w:rPr>
            </w:pPr>
          </w:p>
        </w:tc>
        <w:tc>
          <w:tcPr>
            <w:tcW w:w="7290" w:type="dxa"/>
            <w:shd w:val="clear" w:color="auto" w:fill="D9E2F3"/>
          </w:tcPr>
          <w:p w14:paraId="4DD943D5" w14:textId="07A570B0" w:rsidR="00900BDC" w:rsidRPr="00D7224A" w:rsidRDefault="00900BDC" w:rsidP="0001443A">
            <w:pPr>
              <w:cnfStyle w:val="000000100000" w:firstRow="0" w:lastRow="0" w:firstColumn="0" w:lastColumn="0" w:oddVBand="0" w:evenVBand="0" w:oddHBand="1" w:evenHBand="0" w:firstRowFirstColumn="0" w:firstRowLastColumn="0" w:lastRowFirstColumn="0" w:lastRowLastColumn="0"/>
            </w:pPr>
            <w:r w:rsidRPr="00D7224A">
              <w:t>I believe that having accessible formats helps all of us feel better about our abilities and our place in the world.</w:t>
            </w:r>
            <w:r>
              <w:t xml:space="preserve"> (</w:t>
            </w:r>
            <w:r w:rsidR="000C13A5">
              <w:t>UT</w:t>
            </w:r>
            <w:r>
              <w:t>)</w:t>
            </w:r>
          </w:p>
        </w:tc>
      </w:tr>
      <w:tr w:rsidR="00900BDC" w:rsidRPr="00CD254C" w14:paraId="0300E2C8" w14:textId="77777777" w:rsidTr="006E790C">
        <w:tc>
          <w:tcPr>
            <w:cnfStyle w:val="001000000000" w:firstRow="0" w:lastRow="0" w:firstColumn="1" w:lastColumn="0" w:oddVBand="0" w:evenVBand="0" w:oddHBand="0" w:evenHBand="0" w:firstRowFirstColumn="0" w:firstRowLastColumn="0" w:lastRowFirstColumn="0" w:lastRowLastColumn="0"/>
            <w:tcW w:w="2065" w:type="dxa"/>
          </w:tcPr>
          <w:p w14:paraId="537EDE0E" w14:textId="77777777" w:rsidR="00900BDC" w:rsidRDefault="00900BDC" w:rsidP="0001443A">
            <w:pPr>
              <w:rPr>
                <w:rFonts w:cstheme="minorHAnsi"/>
              </w:rPr>
            </w:pPr>
          </w:p>
        </w:tc>
        <w:tc>
          <w:tcPr>
            <w:tcW w:w="7290" w:type="dxa"/>
          </w:tcPr>
          <w:p w14:paraId="45199F4B" w14:textId="38F24DDE" w:rsidR="00900BDC" w:rsidRPr="00D7224A" w:rsidRDefault="00900BDC" w:rsidP="0001443A">
            <w:pPr>
              <w:cnfStyle w:val="000000000000" w:firstRow="0" w:lastRow="0" w:firstColumn="0" w:lastColumn="0" w:oddVBand="0" w:evenVBand="0" w:oddHBand="0" w:evenHBand="0" w:firstRowFirstColumn="0" w:firstRowLastColumn="0" w:lastRowFirstColumn="0" w:lastRowLastColumn="0"/>
            </w:pPr>
            <w:r w:rsidRPr="00D7224A">
              <w:t xml:space="preserve">I have witnessed firsthand the value of timely materials with </w:t>
            </w:r>
            <w:r w:rsidR="001876EE">
              <w:t>b</w:t>
            </w:r>
            <w:r w:rsidRPr="00D7224A">
              <w:t>lind or vision students. Receiving their materials at the same time as their peers not only helps them academically but sends a powerful message that they are valued.</w:t>
            </w:r>
            <w:r>
              <w:t xml:space="preserve"> (</w:t>
            </w:r>
            <w:r w:rsidR="000C13A5">
              <w:t>UT</w:t>
            </w:r>
            <w:r>
              <w:t>)</w:t>
            </w:r>
          </w:p>
        </w:tc>
      </w:tr>
      <w:tr w:rsidR="00900BDC" w:rsidRPr="00CD254C" w14:paraId="1524F854"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shd w:val="clear" w:color="auto" w:fill="D9E2F3"/>
          </w:tcPr>
          <w:p w14:paraId="04E8DF31" w14:textId="77777777" w:rsidR="00900BDC" w:rsidRDefault="00900BDC" w:rsidP="0001443A">
            <w:pPr>
              <w:rPr>
                <w:rFonts w:cstheme="minorHAnsi"/>
              </w:rPr>
            </w:pPr>
          </w:p>
        </w:tc>
        <w:tc>
          <w:tcPr>
            <w:tcW w:w="7290" w:type="dxa"/>
            <w:shd w:val="clear" w:color="auto" w:fill="D9E2F3"/>
          </w:tcPr>
          <w:p w14:paraId="74C7195D" w14:textId="733876BF" w:rsidR="00900BDC" w:rsidRPr="00D7224A" w:rsidRDefault="00900BDC" w:rsidP="0001443A">
            <w:pPr>
              <w:cnfStyle w:val="000000100000" w:firstRow="0" w:lastRow="0" w:firstColumn="0" w:lastColumn="0" w:oddVBand="0" w:evenVBand="0" w:oddHBand="1" w:evenHBand="0" w:firstRowFirstColumn="0" w:firstRowLastColumn="0" w:lastRowFirstColumn="0" w:lastRowLastColumn="0"/>
            </w:pPr>
            <w:r w:rsidRPr="00D7224A">
              <w:t xml:space="preserve">Students who need </w:t>
            </w:r>
            <w:r>
              <w:t>accessible formats</w:t>
            </w:r>
            <w:r w:rsidRPr="00D7224A">
              <w:t xml:space="preserve"> have a lot of anxiety about their learning materials.</w:t>
            </w:r>
            <w:r>
              <w:t xml:space="preserve"> (</w:t>
            </w:r>
            <w:r w:rsidR="000C13A5">
              <w:t>UT</w:t>
            </w:r>
            <w:r>
              <w:t>)</w:t>
            </w:r>
          </w:p>
        </w:tc>
      </w:tr>
      <w:tr w:rsidR="00900BDC" w:rsidRPr="00CD254C" w14:paraId="5133DF62" w14:textId="77777777" w:rsidTr="006E790C">
        <w:tc>
          <w:tcPr>
            <w:cnfStyle w:val="001000000000" w:firstRow="0" w:lastRow="0" w:firstColumn="1" w:lastColumn="0" w:oddVBand="0" w:evenVBand="0" w:oddHBand="0" w:evenHBand="0" w:firstRowFirstColumn="0" w:firstRowLastColumn="0" w:lastRowFirstColumn="0" w:lastRowLastColumn="0"/>
            <w:tcW w:w="2065" w:type="dxa"/>
          </w:tcPr>
          <w:p w14:paraId="634348A2" w14:textId="77777777" w:rsidR="00900BDC" w:rsidRDefault="00900BDC" w:rsidP="0001443A">
            <w:pPr>
              <w:rPr>
                <w:rFonts w:cstheme="minorHAnsi"/>
              </w:rPr>
            </w:pPr>
          </w:p>
        </w:tc>
        <w:tc>
          <w:tcPr>
            <w:tcW w:w="7290" w:type="dxa"/>
          </w:tcPr>
          <w:p w14:paraId="27465B93" w14:textId="04D4DFB6" w:rsidR="00900BDC" w:rsidRPr="00D7224A" w:rsidRDefault="001876EE" w:rsidP="0001443A">
            <w:pPr>
              <w:cnfStyle w:val="000000000000" w:firstRow="0" w:lastRow="0" w:firstColumn="0" w:lastColumn="0" w:oddVBand="0" w:evenVBand="0" w:oddHBand="0" w:evenHBand="0" w:firstRowFirstColumn="0" w:firstRowLastColumn="0" w:lastRowFirstColumn="0" w:lastRowLastColumn="0"/>
            </w:pPr>
            <w:r>
              <w:t>I</w:t>
            </w:r>
            <w:r w:rsidR="00900BDC" w:rsidRPr="00D7224A">
              <w:t>t's stressful for students when the class is learning and has materials to look at, but the visually impaired student has to remember everything without text to follow along.</w:t>
            </w:r>
            <w:r w:rsidR="00900BDC">
              <w:t xml:space="preserve"> (</w:t>
            </w:r>
            <w:r w:rsidR="000C13A5">
              <w:t>IA</w:t>
            </w:r>
            <w:r w:rsidR="00900BDC">
              <w:t>)</w:t>
            </w:r>
          </w:p>
        </w:tc>
      </w:tr>
      <w:tr w:rsidR="00900BDC" w:rsidRPr="00CD254C" w14:paraId="39A16D39"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shd w:val="clear" w:color="auto" w:fill="D9E2F3"/>
          </w:tcPr>
          <w:p w14:paraId="1B15A388" w14:textId="77777777" w:rsidR="00900BDC" w:rsidRDefault="00900BDC" w:rsidP="0001443A">
            <w:pPr>
              <w:rPr>
                <w:rFonts w:cstheme="minorHAnsi"/>
              </w:rPr>
            </w:pPr>
          </w:p>
        </w:tc>
        <w:tc>
          <w:tcPr>
            <w:tcW w:w="7290" w:type="dxa"/>
            <w:shd w:val="clear" w:color="auto" w:fill="D9E2F3"/>
          </w:tcPr>
          <w:p w14:paraId="282F4CC8" w14:textId="424DF2B7" w:rsidR="00900BDC" w:rsidRPr="00D7224A" w:rsidRDefault="00900BDC" w:rsidP="0001443A">
            <w:pPr>
              <w:cnfStyle w:val="000000100000" w:firstRow="0" w:lastRow="0" w:firstColumn="0" w:lastColumn="0" w:oddVBand="0" w:evenVBand="0" w:oddHBand="1" w:evenHBand="0" w:firstRowFirstColumn="0" w:firstRowLastColumn="0" w:lastRowFirstColumn="0" w:lastRowLastColumn="0"/>
            </w:pPr>
            <w:r w:rsidRPr="00D7224A">
              <w:t>The student I work with gets really upset if she does not have her materials to follow along or help answer the questions.</w:t>
            </w:r>
            <w:r>
              <w:t xml:space="preserve"> (</w:t>
            </w:r>
            <w:r w:rsidR="000C13A5">
              <w:t>IA</w:t>
            </w:r>
            <w:r>
              <w:t>)</w:t>
            </w:r>
          </w:p>
        </w:tc>
      </w:tr>
      <w:tr w:rsidR="00900BDC" w:rsidRPr="00CD254C" w14:paraId="10F53CC7" w14:textId="77777777" w:rsidTr="006E790C">
        <w:tc>
          <w:tcPr>
            <w:cnfStyle w:val="001000000000" w:firstRow="0" w:lastRow="0" w:firstColumn="1" w:lastColumn="0" w:oddVBand="0" w:evenVBand="0" w:oddHBand="0" w:evenHBand="0" w:firstRowFirstColumn="0" w:firstRowLastColumn="0" w:lastRowFirstColumn="0" w:lastRowLastColumn="0"/>
            <w:tcW w:w="2065" w:type="dxa"/>
          </w:tcPr>
          <w:p w14:paraId="2CCB5639" w14:textId="77777777" w:rsidR="00900BDC" w:rsidRDefault="00900BDC" w:rsidP="0001443A">
            <w:pPr>
              <w:rPr>
                <w:rFonts w:cstheme="minorHAnsi"/>
              </w:rPr>
            </w:pPr>
          </w:p>
        </w:tc>
        <w:tc>
          <w:tcPr>
            <w:tcW w:w="7290" w:type="dxa"/>
          </w:tcPr>
          <w:p w14:paraId="0FB795A9" w14:textId="070C971B" w:rsidR="00900BDC" w:rsidRPr="00D7224A" w:rsidRDefault="00900BDC" w:rsidP="0001443A">
            <w:pPr>
              <w:cnfStyle w:val="000000000000" w:firstRow="0" w:lastRow="0" w:firstColumn="0" w:lastColumn="0" w:oddVBand="0" w:evenVBand="0" w:oddHBand="0" w:evenHBand="0" w:firstRowFirstColumn="0" w:firstRowLastColumn="0" w:lastRowFirstColumn="0" w:lastRowLastColumn="0"/>
            </w:pPr>
            <w:r w:rsidRPr="00D7224A">
              <w:t xml:space="preserve">Having </w:t>
            </w:r>
            <w:r w:rsidR="00615564">
              <w:t>accessible materials</w:t>
            </w:r>
            <w:r w:rsidRPr="00D7224A">
              <w:t xml:space="preserve"> when others do </w:t>
            </w:r>
            <w:r w:rsidR="00615564" w:rsidRPr="00D7224A">
              <w:t>makes</w:t>
            </w:r>
            <w:r w:rsidRPr="00D7224A">
              <w:t xml:space="preserve"> them feel important.</w:t>
            </w:r>
            <w:r>
              <w:t xml:space="preserve"> (N</w:t>
            </w:r>
            <w:r w:rsidR="000C13A5">
              <w:t>C</w:t>
            </w:r>
            <w:r>
              <w:t>)</w:t>
            </w:r>
          </w:p>
        </w:tc>
      </w:tr>
      <w:tr w:rsidR="00900BDC" w:rsidRPr="00CD254C" w14:paraId="2E3E1B7A"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shd w:val="clear" w:color="auto" w:fill="D9E2F3"/>
          </w:tcPr>
          <w:p w14:paraId="7055EBC2" w14:textId="77777777" w:rsidR="00900BDC" w:rsidRDefault="00900BDC" w:rsidP="0001443A">
            <w:pPr>
              <w:rPr>
                <w:rFonts w:cstheme="minorHAnsi"/>
              </w:rPr>
            </w:pPr>
          </w:p>
        </w:tc>
        <w:tc>
          <w:tcPr>
            <w:tcW w:w="7290" w:type="dxa"/>
            <w:shd w:val="clear" w:color="auto" w:fill="D9E2F3"/>
          </w:tcPr>
          <w:p w14:paraId="2B426C36" w14:textId="26317B12" w:rsidR="00900BDC" w:rsidRPr="00D7224A" w:rsidRDefault="00900BDC" w:rsidP="0001443A">
            <w:pPr>
              <w:cnfStyle w:val="000000100000" w:firstRow="0" w:lastRow="0" w:firstColumn="0" w:lastColumn="0" w:oddVBand="0" w:evenVBand="0" w:oddHBand="1" w:evenHBand="0" w:firstRowFirstColumn="0" w:firstRowLastColumn="0" w:lastRowFirstColumn="0" w:lastRowLastColumn="0"/>
            </w:pPr>
            <w:r w:rsidRPr="00D7224A">
              <w:t>I work at a school for the blind and visually impaired</w:t>
            </w:r>
            <w:r w:rsidR="001876EE">
              <w:t>.</w:t>
            </w:r>
            <w:r w:rsidR="00615564">
              <w:t xml:space="preserve"> </w:t>
            </w:r>
            <w:r w:rsidRPr="00D7224A">
              <w:t>Many of our students arrive at our school behind their sighted peers in grade level. This is primarily caused by lack of access to timely instructional materials and often results in a sense of failure and a false sense that they lack the ability to learn.</w:t>
            </w:r>
            <w:r>
              <w:t xml:space="preserve"> (</w:t>
            </w:r>
            <w:r w:rsidR="000C13A5">
              <w:t>TX</w:t>
            </w:r>
            <w:r>
              <w:t>)</w:t>
            </w:r>
          </w:p>
        </w:tc>
      </w:tr>
      <w:tr w:rsidR="00900BDC" w:rsidRPr="00CD254C" w14:paraId="4D45A43C" w14:textId="77777777" w:rsidTr="006E790C">
        <w:tc>
          <w:tcPr>
            <w:cnfStyle w:val="001000000000" w:firstRow="0" w:lastRow="0" w:firstColumn="1" w:lastColumn="0" w:oddVBand="0" w:evenVBand="0" w:oddHBand="0" w:evenHBand="0" w:firstRowFirstColumn="0" w:firstRowLastColumn="0" w:lastRowFirstColumn="0" w:lastRowLastColumn="0"/>
            <w:tcW w:w="2065" w:type="dxa"/>
          </w:tcPr>
          <w:p w14:paraId="4AC66034" w14:textId="3B60ABE4" w:rsidR="00900BDC" w:rsidRDefault="00900BDC" w:rsidP="0001443A">
            <w:pPr>
              <w:rPr>
                <w:rFonts w:cstheme="minorHAnsi"/>
              </w:rPr>
            </w:pPr>
            <w:r>
              <w:rPr>
                <w:rFonts w:cstheme="minorHAnsi"/>
              </w:rPr>
              <w:t>Promotes active learning (27)</w:t>
            </w:r>
          </w:p>
        </w:tc>
        <w:tc>
          <w:tcPr>
            <w:tcW w:w="7290" w:type="dxa"/>
          </w:tcPr>
          <w:p w14:paraId="37658900" w14:textId="2C29252E" w:rsidR="00900BDC" w:rsidRPr="00DB0171" w:rsidRDefault="00900BDC" w:rsidP="0001443A">
            <w:pPr>
              <w:cnfStyle w:val="000000000000" w:firstRow="0" w:lastRow="0" w:firstColumn="0" w:lastColumn="0" w:oddVBand="0" w:evenVBand="0" w:oddHBand="0" w:evenHBand="0" w:firstRowFirstColumn="0" w:firstRowLastColumn="0" w:lastRowFirstColumn="0" w:lastRowLastColumn="0"/>
            </w:pPr>
            <w:r w:rsidRPr="00CA6E65">
              <w:t>It makes a big difference if a student has the information when needed so they can participate along with the class.</w:t>
            </w:r>
            <w:r>
              <w:t xml:space="preserve"> (</w:t>
            </w:r>
            <w:r w:rsidR="000C13A5">
              <w:t>OH</w:t>
            </w:r>
            <w:r>
              <w:t>)</w:t>
            </w:r>
          </w:p>
        </w:tc>
      </w:tr>
      <w:tr w:rsidR="00C419DC" w:rsidRPr="00CD254C" w14:paraId="1C27F766"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shd w:val="clear" w:color="auto" w:fill="D9E2F3"/>
          </w:tcPr>
          <w:p w14:paraId="5CA045BC" w14:textId="77777777" w:rsidR="00C419DC" w:rsidRDefault="00C419DC" w:rsidP="0001443A">
            <w:pPr>
              <w:rPr>
                <w:rFonts w:cstheme="minorHAnsi"/>
              </w:rPr>
            </w:pPr>
          </w:p>
        </w:tc>
        <w:tc>
          <w:tcPr>
            <w:tcW w:w="7290" w:type="dxa"/>
            <w:shd w:val="clear" w:color="auto" w:fill="D9E2F3"/>
          </w:tcPr>
          <w:p w14:paraId="0BA03543" w14:textId="1B53057A" w:rsidR="00C419DC" w:rsidRPr="001E7DB2" w:rsidRDefault="00615564" w:rsidP="0001443A">
            <w:pPr>
              <w:cnfStyle w:val="000000100000" w:firstRow="0" w:lastRow="0" w:firstColumn="0" w:lastColumn="0" w:oddVBand="0" w:evenVBand="0" w:oddHBand="1" w:evenHBand="0" w:firstRowFirstColumn="0" w:firstRowLastColumn="0" w:lastRowFirstColumn="0" w:lastRowLastColumn="0"/>
            </w:pPr>
            <w:r>
              <w:t>F</w:t>
            </w:r>
            <w:r w:rsidR="00C419DC" w:rsidRPr="001E7DB2">
              <w:t>or our students, the positives are that they actually get to participate in the activities in real</w:t>
            </w:r>
            <w:r w:rsidR="00091741">
              <w:t>-</w:t>
            </w:r>
            <w:r w:rsidR="00C419DC" w:rsidRPr="001E7DB2">
              <w:t>time fashion.</w:t>
            </w:r>
            <w:r w:rsidR="00C419DC">
              <w:t xml:space="preserve"> (</w:t>
            </w:r>
            <w:r w:rsidR="000C13A5">
              <w:t>OH</w:t>
            </w:r>
            <w:r w:rsidR="00C419DC">
              <w:t>)</w:t>
            </w:r>
          </w:p>
        </w:tc>
      </w:tr>
      <w:tr w:rsidR="00C419DC" w:rsidRPr="00CD254C" w14:paraId="4352EF02" w14:textId="77777777" w:rsidTr="006E790C">
        <w:tc>
          <w:tcPr>
            <w:cnfStyle w:val="001000000000" w:firstRow="0" w:lastRow="0" w:firstColumn="1" w:lastColumn="0" w:oddVBand="0" w:evenVBand="0" w:oddHBand="0" w:evenHBand="0" w:firstRowFirstColumn="0" w:firstRowLastColumn="0" w:lastRowFirstColumn="0" w:lastRowLastColumn="0"/>
            <w:tcW w:w="2065" w:type="dxa"/>
          </w:tcPr>
          <w:p w14:paraId="486E59D0" w14:textId="77777777" w:rsidR="00C419DC" w:rsidRDefault="00C419DC" w:rsidP="0001443A">
            <w:pPr>
              <w:rPr>
                <w:rFonts w:cstheme="minorHAnsi"/>
              </w:rPr>
            </w:pPr>
          </w:p>
        </w:tc>
        <w:tc>
          <w:tcPr>
            <w:tcW w:w="7290" w:type="dxa"/>
          </w:tcPr>
          <w:p w14:paraId="4C786F4E" w14:textId="33661FCC" w:rsidR="00C419DC" w:rsidRPr="001E7DB2" w:rsidRDefault="00C419DC" w:rsidP="0001443A">
            <w:pPr>
              <w:cnfStyle w:val="000000000000" w:firstRow="0" w:lastRow="0" w:firstColumn="0" w:lastColumn="0" w:oddVBand="0" w:evenVBand="0" w:oddHBand="0" w:evenHBand="0" w:firstRowFirstColumn="0" w:firstRowLastColumn="0" w:lastRowFirstColumn="0" w:lastRowLastColumn="0"/>
            </w:pPr>
            <w:r>
              <w:t>S</w:t>
            </w:r>
            <w:r w:rsidRPr="00DB0171">
              <w:t xml:space="preserve">tudents being able to actively participate in their education. If they don't have the materials, they can't. But when they do have them, you can frontload material, </w:t>
            </w:r>
            <w:r w:rsidR="00091741">
              <w:t xml:space="preserve">and </w:t>
            </w:r>
            <w:r w:rsidRPr="00DB0171">
              <w:t>they can participat</w:t>
            </w:r>
            <w:r w:rsidR="00091741">
              <w:t>e</w:t>
            </w:r>
            <w:r w:rsidRPr="00DB0171">
              <w:t xml:space="preserve"> with their peers at the same time. </w:t>
            </w:r>
            <w:r>
              <w:t>(</w:t>
            </w:r>
            <w:r w:rsidR="000C13A5">
              <w:t>OH</w:t>
            </w:r>
            <w:r>
              <w:t>)</w:t>
            </w:r>
          </w:p>
        </w:tc>
      </w:tr>
      <w:tr w:rsidR="00C419DC" w:rsidRPr="00CD254C" w14:paraId="2662863F"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shd w:val="clear" w:color="auto" w:fill="D9E2F3"/>
          </w:tcPr>
          <w:p w14:paraId="2807E3FE" w14:textId="77777777" w:rsidR="00C419DC" w:rsidRDefault="00C419DC" w:rsidP="0001443A">
            <w:pPr>
              <w:rPr>
                <w:rFonts w:cstheme="minorHAnsi"/>
              </w:rPr>
            </w:pPr>
          </w:p>
        </w:tc>
        <w:tc>
          <w:tcPr>
            <w:tcW w:w="7290" w:type="dxa"/>
            <w:shd w:val="clear" w:color="auto" w:fill="D9E2F3"/>
          </w:tcPr>
          <w:p w14:paraId="51C24F21" w14:textId="2E3DB1C2" w:rsidR="00C419DC" w:rsidRPr="001E7DB2" w:rsidRDefault="00C419DC" w:rsidP="0001443A">
            <w:pPr>
              <w:cnfStyle w:val="000000100000" w:firstRow="0" w:lastRow="0" w:firstColumn="0" w:lastColumn="0" w:oddVBand="0" w:evenVBand="0" w:oddHBand="1" w:evenHBand="0" w:firstRowFirstColumn="0" w:firstRowLastColumn="0" w:lastRowFirstColumn="0" w:lastRowLastColumn="0"/>
            </w:pPr>
            <w:r w:rsidRPr="001E7DB2">
              <w:t>Having accessible formats at the same time as their peers means there is true equity in having the ability to truly engage in real time.</w:t>
            </w:r>
            <w:r>
              <w:t xml:space="preserve"> (N</w:t>
            </w:r>
            <w:r w:rsidR="000C13A5">
              <w:t>C</w:t>
            </w:r>
            <w:r>
              <w:t>)</w:t>
            </w:r>
          </w:p>
        </w:tc>
      </w:tr>
      <w:tr w:rsidR="00C419DC" w:rsidRPr="00CD254C" w14:paraId="73048762" w14:textId="77777777" w:rsidTr="006E790C">
        <w:tc>
          <w:tcPr>
            <w:cnfStyle w:val="001000000000" w:firstRow="0" w:lastRow="0" w:firstColumn="1" w:lastColumn="0" w:oddVBand="0" w:evenVBand="0" w:oddHBand="0" w:evenHBand="0" w:firstRowFirstColumn="0" w:firstRowLastColumn="0" w:lastRowFirstColumn="0" w:lastRowLastColumn="0"/>
            <w:tcW w:w="2065" w:type="dxa"/>
          </w:tcPr>
          <w:p w14:paraId="1E245162" w14:textId="77777777" w:rsidR="00C419DC" w:rsidRDefault="00C419DC" w:rsidP="0001443A">
            <w:pPr>
              <w:rPr>
                <w:rFonts w:cstheme="minorHAnsi"/>
              </w:rPr>
            </w:pPr>
          </w:p>
        </w:tc>
        <w:tc>
          <w:tcPr>
            <w:tcW w:w="7290" w:type="dxa"/>
          </w:tcPr>
          <w:p w14:paraId="7252F16B" w14:textId="0FD91EB8" w:rsidR="00C419DC" w:rsidRPr="001E7DB2" w:rsidRDefault="00C419DC" w:rsidP="0001443A">
            <w:pPr>
              <w:cnfStyle w:val="000000000000" w:firstRow="0" w:lastRow="0" w:firstColumn="0" w:lastColumn="0" w:oddVBand="0" w:evenVBand="0" w:oddHBand="0" w:evenHBand="0" w:firstRowFirstColumn="0" w:firstRowLastColumn="0" w:lastRowFirstColumn="0" w:lastRowLastColumn="0"/>
            </w:pPr>
            <w:r w:rsidRPr="001E7DB2">
              <w:t>Providing materials in accessible formats in a timely manner is a great practice because it ensures that students with print disabilities can fully access and engage with the curriculum alongside their peers.</w:t>
            </w:r>
            <w:r>
              <w:t xml:space="preserve"> (</w:t>
            </w:r>
            <w:r w:rsidR="000C13A5">
              <w:t>TX</w:t>
            </w:r>
            <w:r>
              <w:t>)</w:t>
            </w:r>
          </w:p>
        </w:tc>
      </w:tr>
      <w:tr w:rsidR="00C419DC" w:rsidRPr="00CD254C" w14:paraId="7F519DC4"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shd w:val="clear" w:color="auto" w:fill="D9E2F3"/>
          </w:tcPr>
          <w:p w14:paraId="560B469E" w14:textId="06AF0BFE" w:rsidR="00C419DC" w:rsidRDefault="00C419DC" w:rsidP="0001443A">
            <w:pPr>
              <w:rPr>
                <w:rFonts w:cstheme="minorHAnsi"/>
              </w:rPr>
            </w:pPr>
            <w:r>
              <w:rPr>
                <w:rFonts w:cstheme="minorHAnsi"/>
              </w:rPr>
              <w:t>Promotes independence (21)</w:t>
            </w:r>
          </w:p>
        </w:tc>
        <w:tc>
          <w:tcPr>
            <w:tcW w:w="7290" w:type="dxa"/>
            <w:shd w:val="clear" w:color="auto" w:fill="D9E2F3"/>
          </w:tcPr>
          <w:p w14:paraId="09A0F7DD" w14:textId="58A808D1" w:rsidR="00C419DC" w:rsidRPr="001E7DB2" w:rsidRDefault="00C419DC" w:rsidP="0001443A">
            <w:pPr>
              <w:cnfStyle w:val="000000100000" w:firstRow="0" w:lastRow="0" w:firstColumn="0" w:lastColumn="0" w:oddVBand="0" w:evenVBand="0" w:oddHBand="1" w:evenHBand="0" w:firstRowFirstColumn="0" w:firstRowLastColumn="0" w:lastRowFirstColumn="0" w:lastRowLastColumn="0"/>
            </w:pPr>
            <w:r w:rsidRPr="008341BE">
              <w:t>There’s nothing more frustrating than being given a piece of paper and being told your aide can read it to you. So</w:t>
            </w:r>
            <w:r>
              <w:t>,</w:t>
            </w:r>
            <w:r w:rsidRPr="008341BE">
              <w:t xml:space="preserve"> if you have </w:t>
            </w:r>
            <w:proofErr w:type="gramStart"/>
            <w:r w:rsidRPr="008341BE">
              <w:t>an accessible</w:t>
            </w:r>
            <w:proofErr w:type="gramEnd"/>
            <w:r w:rsidRPr="008341BE">
              <w:t xml:space="preserve"> educational material in advance</w:t>
            </w:r>
            <w:r w:rsidR="00157706">
              <w:t>,</w:t>
            </w:r>
            <w:r w:rsidRPr="008341BE">
              <w:t xml:space="preserve"> or at the same time</w:t>
            </w:r>
            <w:r w:rsidR="00157706">
              <w:t>,</w:t>
            </w:r>
            <w:r w:rsidRPr="008341BE">
              <w:t xml:space="preserve"> at least you are independent.</w:t>
            </w:r>
            <w:r>
              <w:t xml:space="preserve"> (</w:t>
            </w:r>
            <w:r w:rsidR="000C13A5">
              <w:t>OH</w:t>
            </w:r>
            <w:r>
              <w:t>)</w:t>
            </w:r>
          </w:p>
        </w:tc>
      </w:tr>
      <w:tr w:rsidR="00C419DC" w:rsidRPr="00CD254C" w14:paraId="22E96C7F" w14:textId="77777777" w:rsidTr="006E790C">
        <w:tc>
          <w:tcPr>
            <w:cnfStyle w:val="001000000000" w:firstRow="0" w:lastRow="0" w:firstColumn="1" w:lastColumn="0" w:oddVBand="0" w:evenVBand="0" w:oddHBand="0" w:evenHBand="0" w:firstRowFirstColumn="0" w:firstRowLastColumn="0" w:lastRowFirstColumn="0" w:lastRowLastColumn="0"/>
            <w:tcW w:w="2065" w:type="dxa"/>
          </w:tcPr>
          <w:p w14:paraId="511C3285" w14:textId="77777777" w:rsidR="00C419DC" w:rsidRDefault="00C419DC" w:rsidP="0001443A">
            <w:pPr>
              <w:rPr>
                <w:rFonts w:cstheme="minorHAnsi"/>
              </w:rPr>
            </w:pPr>
          </w:p>
        </w:tc>
        <w:tc>
          <w:tcPr>
            <w:tcW w:w="7290" w:type="dxa"/>
          </w:tcPr>
          <w:p w14:paraId="41CAFA19" w14:textId="22319155" w:rsidR="00C419DC" w:rsidRPr="001E7DB2" w:rsidRDefault="00C419DC" w:rsidP="0001443A">
            <w:pPr>
              <w:cnfStyle w:val="000000000000" w:firstRow="0" w:lastRow="0" w:firstColumn="0" w:lastColumn="0" w:oddVBand="0" w:evenVBand="0" w:oddHBand="0" w:evenHBand="0" w:firstRowFirstColumn="0" w:firstRowLastColumn="0" w:lastRowFirstColumn="0" w:lastRowLastColumn="0"/>
            </w:pPr>
            <w:r>
              <w:t>T</w:t>
            </w:r>
            <w:r w:rsidRPr="008341BE">
              <w:t xml:space="preserve">here's this concept called learned helplessness, and if everyone is constantly doing something for that student with print disabilities, then why should they bother to learn skills on their own to access </w:t>
            </w:r>
            <w:r w:rsidR="00157706">
              <w:t>materials</w:t>
            </w:r>
            <w:r w:rsidRPr="008341BE">
              <w:t>? It doesn't foster independence to constantly have things being read to you or for you.</w:t>
            </w:r>
            <w:r>
              <w:t xml:space="preserve"> (</w:t>
            </w:r>
            <w:r w:rsidR="000C13A5">
              <w:t>OH</w:t>
            </w:r>
            <w:r>
              <w:t>)</w:t>
            </w:r>
          </w:p>
        </w:tc>
      </w:tr>
      <w:tr w:rsidR="00C419DC" w:rsidRPr="00CD254C" w14:paraId="2B8C6A31"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shd w:val="clear" w:color="auto" w:fill="D9E2F3"/>
          </w:tcPr>
          <w:p w14:paraId="0C6D4714" w14:textId="77777777" w:rsidR="00C419DC" w:rsidRDefault="00C419DC" w:rsidP="0001443A">
            <w:pPr>
              <w:rPr>
                <w:rFonts w:cstheme="minorHAnsi"/>
              </w:rPr>
            </w:pPr>
          </w:p>
        </w:tc>
        <w:tc>
          <w:tcPr>
            <w:tcW w:w="7290" w:type="dxa"/>
            <w:shd w:val="clear" w:color="auto" w:fill="D9E2F3"/>
          </w:tcPr>
          <w:p w14:paraId="574C775F" w14:textId="48BA19B5" w:rsidR="00C419DC" w:rsidRPr="001E7DB2" w:rsidRDefault="00C419DC" w:rsidP="0001443A">
            <w:pPr>
              <w:cnfStyle w:val="000000100000" w:firstRow="0" w:lastRow="0" w:firstColumn="0" w:lastColumn="0" w:oddVBand="0" w:evenVBand="0" w:oddHBand="1" w:evenHBand="0" w:firstRowFirstColumn="0" w:firstRowLastColumn="0" w:lastRowFirstColumn="0" w:lastRowLastColumn="0"/>
            </w:pPr>
            <w:r w:rsidRPr="008341BE">
              <w:t>Independence is what we want to see from our individuals with disabilities and a</w:t>
            </w:r>
            <w:r w:rsidR="00157706">
              <w:t>ccessible</w:t>
            </w:r>
            <w:r w:rsidRPr="008341BE">
              <w:t xml:space="preserve"> formats foster independence for students with print disabilities.</w:t>
            </w:r>
            <w:r>
              <w:t xml:space="preserve"> (</w:t>
            </w:r>
            <w:r w:rsidR="000C13A5">
              <w:t>OH</w:t>
            </w:r>
            <w:r>
              <w:t>)</w:t>
            </w:r>
          </w:p>
        </w:tc>
      </w:tr>
      <w:tr w:rsidR="00C419DC" w:rsidRPr="00CD254C" w14:paraId="55F66F9C" w14:textId="77777777" w:rsidTr="006E790C">
        <w:tc>
          <w:tcPr>
            <w:cnfStyle w:val="001000000000" w:firstRow="0" w:lastRow="0" w:firstColumn="1" w:lastColumn="0" w:oddVBand="0" w:evenVBand="0" w:oddHBand="0" w:evenHBand="0" w:firstRowFirstColumn="0" w:firstRowLastColumn="0" w:lastRowFirstColumn="0" w:lastRowLastColumn="0"/>
            <w:tcW w:w="2065" w:type="dxa"/>
          </w:tcPr>
          <w:p w14:paraId="6C21A149" w14:textId="77777777" w:rsidR="00C419DC" w:rsidRDefault="00C419DC" w:rsidP="0001443A">
            <w:pPr>
              <w:rPr>
                <w:rFonts w:cstheme="minorHAnsi"/>
              </w:rPr>
            </w:pPr>
          </w:p>
        </w:tc>
        <w:tc>
          <w:tcPr>
            <w:tcW w:w="7290" w:type="dxa"/>
          </w:tcPr>
          <w:p w14:paraId="61355478" w14:textId="1FC43A43" w:rsidR="00C419DC" w:rsidRPr="008341BE" w:rsidRDefault="00C419DC" w:rsidP="0001443A">
            <w:pPr>
              <w:cnfStyle w:val="000000000000" w:firstRow="0" w:lastRow="0" w:firstColumn="0" w:lastColumn="0" w:oddVBand="0" w:evenVBand="0" w:oddHBand="0" w:evenHBand="0" w:firstRowFirstColumn="0" w:firstRowLastColumn="0" w:lastRowFirstColumn="0" w:lastRowLastColumn="0"/>
            </w:pPr>
            <w:r>
              <w:t>I</w:t>
            </w:r>
            <w:r w:rsidRPr="008341BE">
              <w:t xml:space="preserve">t gives them some autonomy, some independence, </w:t>
            </w:r>
            <w:r w:rsidR="007E0AC5">
              <w:t>so they do</w:t>
            </w:r>
            <w:r w:rsidRPr="008341BE">
              <w:t xml:space="preserve"> not have to rely on an aide sitting next to them</w:t>
            </w:r>
            <w:r w:rsidR="007E0AC5">
              <w:t>,</w:t>
            </w:r>
            <w:r w:rsidRPr="008341BE">
              <w:t xml:space="preserve"> or another student to tell them what's going on</w:t>
            </w:r>
            <w:r w:rsidR="007E0AC5">
              <w:t>,</w:t>
            </w:r>
            <w:r w:rsidRPr="008341BE">
              <w:t xml:space="preserve"> or have to raise their hand</w:t>
            </w:r>
            <w:r w:rsidR="007E0AC5">
              <w:t xml:space="preserve"> and </w:t>
            </w:r>
            <w:r w:rsidRPr="008341BE">
              <w:t xml:space="preserve">once again say, </w:t>
            </w:r>
            <w:r>
              <w:t>“</w:t>
            </w:r>
            <w:r w:rsidRPr="008341BE">
              <w:t>I can't see that. Can you explain it?</w:t>
            </w:r>
            <w:r>
              <w:t>”</w:t>
            </w:r>
            <w:r w:rsidRPr="008341BE">
              <w:t xml:space="preserve"> Because a lot of kids won't even do that. So</w:t>
            </w:r>
            <w:r>
              <w:t>,</w:t>
            </w:r>
            <w:r w:rsidRPr="008341BE">
              <w:t xml:space="preserve"> then they don't feel like they can ask those questions, and then they fall even farther behind.</w:t>
            </w:r>
            <w:r>
              <w:t xml:space="preserve"> (</w:t>
            </w:r>
            <w:r w:rsidR="000C13A5">
              <w:t>OH</w:t>
            </w:r>
            <w:r>
              <w:t>)</w:t>
            </w:r>
          </w:p>
        </w:tc>
      </w:tr>
      <w:tr w:rsidR="00C419DC" w:rsidRPr="00CD254C" w14:paraId="0AC9A114"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shd w:val="clear" w:color="auto" w:fill="D9E2F3"/>
          </w:tcPr>
          <w:p w14:paraId="34956ECA" w14:textId="77777777" w:rsidR="00C419DC" w:rsidRDefault="00C419DC" w:rsidP="0001443A">
            <w:pPr>
              <w:rPr>
                <w:rFonts w:cstheme="minorHAnsi"/>
              </w:rPr>
            </w:pPr>
          </w:p>
        </w:tc>
        <w:tc>
          <w:tcPr>
            <w:tcW w:w="7290" w:type="dxa"/>
            <w:shd w:val="clear" w:color="auto" w:fill="D9E2F3"/>
          </w:tcPr>
          <w:p w14:paraId="63C8008A" w14:textId="0A01CF4A" w:rsidR="00C419DC" w:rsidRPr="008341BE" w:rsidRDefault="00C419DC" w:rsidP="0001443A">
            <w:pPr>
              <w:cnfStyle w:val="000000100000" w:firstRow="0" w:lastRow="0" w:firstColumn="0" w:lastColumn="0" w:oddVBand="0" w:evenVBand="0" w:oddHBand="1" w:evenHBand="0" w:firstRowFirstColumn="0" w:firstRowLastColumn="0" w:lastRowFirstColumn="0" w:lastRowLastColumn="0"/>
            </w:pPr>
            <w:r>
              <w:t>T</w:t>
            </w:r>
            <w:r w:rsidRPr="008341BE">
              <w:t xml:space="preserve">he students with print disabilities do not have to rely on other people for accessing material which enables them to increase independence. </w:t>
            </w:r>
            <w:r>
              <w:t>(</w:t>
            </w:r>
            <w:r w:rsidR="000C13A5">
              <w:t>UT</w:t>
            </w:r>
            <w:r>
              <w:t>)</w:t>
            </w:r>
          </w:p>
        </w:tc>
      </w:tr>
      <w:tr w:rsidR="00C419DC" w:rsidRPr="00CD254C" w14:paraId="3BD9402F" w14:textId="77777777" w:rsidTr="006E790C">
        <w:tc>
          <w:tcPr>
            <w:cnfStyle w:val="001000000000" w:firstRow="0" w:lastRow="0" w:firstColumn="1" w:lastColumn="0" w:oddVBand="0" w:evenVBand="0" w:oddHBand="0" w:evenHBand="0" w:firstRowFirstColumn="0" w:firstRowLastColumn="0" w:lastRowFirstColumn="0" w:lastRowLastColumn="0"/>
            <w:tcW w:w="2065" w:type="dxa"/>
          </w:tcPr>
          <w:p w14:paraId="0D6F5F65" w14:textId="77777777" w:rsidR="00C419DC" w:rsidRDefault="00C419DC" w:rsidP="0001443A">
            <w:pPr>
              <w:rPr>
                <w:rFonts w:cstheme="minorHAnsi"/>
              </w:rPr>
            </w:pPr>
          </w:p>
        </w:tc>
        <w:tc>
          <w:tcPr>
            <w:tcW w:w="7290" w:type="dxa"/>
          </w:tcPr>
          <w:p w14:paraId="04AB549A" w14:textId="59539F0E" w:rsidR="00C419DC" w:rsidRPr="008341BE" w:rsidRDefault="00C419DC" w:rsidP="0001443A">
            <w:pPr>
              <w:cnfStyle w:val="000000000000" w:firstRow="0" w:lastRow="0" w:firstColumn="0" w:lastColumn="0" w:oddVBand="0" w:evenVBand="0" w:oddHBand="0" w:evenHBand="0" w:firstRowFirstColumn="0" w:firstRowLastColumn="0" w:lastRowFirstColumn="0" w:lastRowLastColumn="0"/>
            </w:pPr>
            <w:r w:rsidRPr="008341BE">
              <w:t xml:space="preserve">We are trying to make our students as independent as possible and that includes having their materials ready and in proper format at the same time as their peers. </w:t>
            </w:r>
            <w:r>
              <w:t>(</w:t>
            </w:r>
            <w:r w:rsidR="000C13A5">
              <w:t>DE</w:t>
            </w:r>
            <w:r>
              <w:t>)</w:t>
            </w:r>
          </w:p>
        </w:tc>
      </w:tr>
      <w:tr w:rsidR="00C419DC" w:rsidRPr="00CD254C" w14:paraId="1C66E407"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shd w:val="clear" w:color="auto" w:fill="D9E2F3"/>
          </w:tcPr>
          <w:p w14:paraId="0FA5164C" w14:textId="046BD1AA" w:rsidR="00C419DC" w:rsidRDefault="00C419DC" w:rsidP="0001443A">
            <w:pPr>
              <w:rPr>
                <w:rFonts w:cstheme="minorHAnsi"/>
              </w:rPr>
            </w:pPr>
            <w:r>
              <w:rPr>
                <w:rFonts w:cstheme="minorHAnsi"/>
              </w:rPr>
              <w:lastRenderedPageBreak/>
              <w:t>Supports positive relationships (18)</w:t>
            </w:r>
          </w:p>
        </w:tc>
        <w:tc>
          <w:tcPr>
            <w:tcW w:w="7290" w:type="dxa"/>
            <w:shd w:val="clear" w:color="auto" w:fill="D9E2F3"/>
          </w:tcPr>
          <w:p w14:paraId="4B552485" w14:textId="35569BC4" w:rsidR="00C419DC" w:rsidRPr="008341BE" w:rsidRDefault="00C419DC" w:rsidP="0001443A">
            <w:pPr>
              <w:cnfStyle w:val="000000100000" w:firstRow="0" w:lastRow="0" w:firstColumn="0" w:lastColumn="0" w:oddVBand="0" w:evenVBand="0" w:oddHBand="1" w:evenHBand="0" w:firstRowFirstColumn="0" w:firstRowLastColumn="0" w:lastRowFirstColumn="0" w:lastRowLastColumn="0"/>
            </w:pPr>
            <w:r w:rsidRPr="0072145F">
              <w:t>Accessible formats allow students to access what all students are able to access which allows for a true least restrictive environment and sense of belonging with peers. It is critical for student success and learning as well as the ability to have a substantive role in class discussions, projects, etc.</w:t>
            </w:r>
            <w:r>
              <w:t xml:space="preserve"> (</w:t>
            </w:r>
            <w:r w:rsidR="000C13A5">
              <w:t>OH</w:t>
            </w:r>
            <w:r>
              <w:t>)</w:t>
            </w:r>
          </w:p>
        </w:tc>
      </w:tr>
      <w:tr w:rsidR="00C419DC" w:rsidRPr="00CD254C" w14:paraId="5D7527E6" w14:textId="77777777" w:rsidTr="006E790C">
        <w:tc>
          <w:tcPr>
            <w:cnfStyle w:val="001000000000" w:firstRow="0" w:lastRow="0" w:firstColumn="1" w:lastColumn="0" w:oddVBand="0" w:evenVBand="0" w:oddHBand="0" w:evenHBand="0" w:firstRowFirstColumn="0" w:firstRowLastColumn="0" w:lastRowFirstColumn="0" w:lastRowLastColumn="0"/>
            <w:tcW w:w="2065" w:type="dxa"/>
          </w:tcPr>
          <w:p w14:paraId="03ED6326" w14:textId="77777777" w:rsidR="00C419DC" w:rsidRDefault="00C419DC" w:rsidP="0001443A">
            <w:pPr>
              <w:rPr>
                <w:rFonts w:cstheme="minorHAnsi"/>
              </w:rPr>
            </w:pPr>
          </w:p>
        </w:tc>
        <w:tc>
          <w:tcPr>
            <w:tcW w:w="7290" w:type="dxa"/>
          </w:tcPr>
          <w:p w14:paraId="450149B3" w14:textId="1201E13A" w:rsidR="00C419DC" w:rsidRPr="0072145F" w:rsidRDefault="00C419DC" w:rsidP="0001443A">
            <w:pPr>
              <w:cnfStyle w:val="000000000000" w:firstRow="0" w:lastRow="0" w:firstColumn="0" w:lastColumn="0" w:oddVBand="0" w:evenVBand="0" w:oddHBand="0" w:evenHBand="0" w:firstRowFirstColumn="0" w:firstRowLastColumn="0" w:lastRowFirstColumn="0" w:lastRowLastColumn="0"/>
            </w:pPr>
            <w:r w:rsidRPr="0072145F">
              <w:t>I would add socially</w:t>
            </w:r>
            <w:r>
              <w:t xml:space="preserve">… </w:t>
            </w:r>
            <w:r w:rsidRPr="0072145F">
              <w:t>it is good for kids to feel a part of the clas</w:t>
            </w:r>
            <w:r w:rsidR="002E0851">
              <w:t>s.</w:t>
            </w:r>
            <w:r>
              <w:t xml:space="preserve"> (</w:t>
            </w:r>
            <w:r w:rsidR="000C13A5">
              <w:t>OR</w:t>
            </w:r>
            <w:r>
              <w:t>)</w:t>
            </w:r>
          </w:p>
        </w:tc>
      </w:tr>
      <w:tr w:rsidR="00C419DC" w:rsidRPr="00CD254C" w14:paraId="194044D8"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shd w:val="clear" w:color="auto" w:fill="D9E2F3"/>
          </w:tcPr>
          <w:p w14:paraId="03C0F9F9" w14:textId="77777777" w:rsidR="00C419DC" w:rsidRDefault="00C419DC" w:rsidP="0001443A">
            <w:pPr>
              <w:rPr>
                <w:rFonts w:cstheme="minorHAnsi"/>
              </w:rPr>
            </w:pPr>
          </w:p>
        </w:tc>
        <w:tc>
          <w:tcPr>
            <w:tcW w:w="7290" w:type="dxa"/>
            <w:shd w:val="clear" w:color="auto" w:fill="D9E2F3"/>
          </w:tcPr>
          <w:p w14:paraId="1D4272F1" w14:textId="6D373F83" w:rsidR="00C419DC" w:rsidRPr="0072145F" w:rsidRDefault="00C419DC" w:rsidP="0001443A">
            <w:pPr>
              <w:cnfStyle w:val="000000100000" w:firstRow="0" w:lastRow="0" w:firstColumn="0" w:lastColumn="0" w:oddVBand="0" w:evenVBand="0" w:oddHBand="1" w:evenHBand="0" w:firstRowFirstColumn="0" w:firstRowLastColumn="0" w:lastRowFirstColumn="0" w:lastRowLastColumn="0"/>
            </w:pPr>
            <w:r w:rsidRPr="0072145F">
              <w:t xml:space="preserve">When students with print disabilities have their materials available when </w:t>
            </w:r>
            <w:r w:rsidR="002E0851" w:rsidRPr="0072145F">
              <w:t>their</w:t>
            </w:r>
            <w:r w:rsidRPr="0072145F">
              <w:t xml:space="preserve"> peers have textbooks</w:t>
            </w:r>
            <w:r w:rsidR="00AE1FAF">
              <w:t xml:space="preserve">, </w:t>
            </w:r>
            <w:r w:rsidRPr="0072145F">
              <w:t>they can work together and not be isolated or get behind.</w:t>
            </w:r>
            <w:r>
              <w:t xml:space="preserve"> (</w:t>
            </w:r>
            <w:r w:rsidR="000C13A5">
              <w:t>UT</w:t>
            </w:r>
            <w:r>
              <w:t>)</w:t>
            </w:r>
          </w:p>
        </w:tc>
      </w:tr>
      <w:tr w:rsidR="00C419DC" w:rsidRPr="00CD254C" w14:paraId="5B41FB3A" w14:textId="77777777" w:rsidTr="006E790C">
        <w:tc>
          <w:tcPr>
            <w:cnfStyle w:val="001000000000" w:firstRow="0" w:lastRow="0" w:firstColumn="1" w:lastColumn="0" w:oddVBand="0" w:evenVBand="0" w:oddHBand="0" w:evenHBand="0" w:firstRowFirstColumn="0" w:firstRowLastColumn="0" w:lastRowFirstColumn="0" w:lastRowLastColumn="0"/>
            <w:tcW w:w="2065" w:type="dxa"/>
          </w:tcPr>
          <w:p w14:paraId="2D5DE54D" w14:textId="77777777" w:rsidR="00C419DC" w:rsidRDefault="00C419DC" w:rsidP="0001443A">
            <w:pPr>
              <w:rPr>
                <w:rFonts w:cstheme="minorHAnsi"/>
              </w:rPr>
            </w:pPr>
          </w:p>
        </w:tc>
        <w:tc>
          <w:tcPr>
            <w:tcW w:w="7290" w:type="dxa"/>
          </w:tcPr>
          <w:p w14:paraId="063285C1" w14:textId="6F8B1AD6" w:rsidR="00C419DC" w:rsidRPr="0072145F" w:rsidRDefault="00C419DC" w:rsidP="0001443A">
            <w:pPr>
              <w:cnfStyle w:val="000000000000" w:firstRow="0" w:lastRow="0" w:firstColumn="0" w:lastColumn="0" w:oddVBand="0" w:evenVBand="0" w:oddHBand="0" w:evenHBand="0" w:firstRowFirstColumn="0" w:firstRowLastColumn="0" w:lastRowFirstColumn="0" w:lastRowLastColumn="0"/>
            </w:pPr>
            <w:r w:rsidRPr="0072145F">
              <w:t>It also can help facilitate peers' view of those with visual impairments by realizing things can still be done at the same time, in the same way, and without another adult facilitating it.</w:t>
            </w:r>
            <w:r>
              <w:t xml:space="preserve"> (</w:t>
            </w:r>
            <w:r w:rsidR="000C13A5">
              <w:t>VA</w:t>
            </w:r>
            <w:r>
              <w:t>)</w:t>
            </w:r>
          </w:p>
        </w:tc>
      </w:tr>
      <w:tr w:rsidR="00B9406C" w:rsidRPr="00CD254C" w14:paraId="4602A7D5"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shd w:val="clear" w:color="auto" w:fill="D9E2F3"/>
          </w:tcPr>
          <w:p w14:paraId="434D7DFA" w14:textId="375717B0" w:rsidR="00B9406C" w:rsidRDefault="00B9406C" w:rsidP="0001443A">
            <w:pPr>
              <w:rPr>
                <w:rFonts w:cstheme="minorHAnsi"/>
              </w:rPr>
            </w:pPr>
            <w:r>
              <w:rPr>
                <w:rFonts w:cstheme="minorHAnsi"/>
              </w:rPr>
              <w:t>Meets legal requirements (13)</w:t>
            </w:r>
          </w:p>
        </w:tc>
        <w:tc>
          <w:tcPr>
            <w:tcW w:w="7290" w:type="dxa"/>
            <w:shd w:val="clear" w:color="auto" w:fill="D9E2F3"/>
          </w:tcPr>
          <w:p w14:paraId="0EE6C43A" w14:textId="0C5D5938" w:rsidR="00B9406C" w:rsidRDefault="00B9406C" w:rsidP="0001443A">
            <w:pPr>
              <w:cnfStyle w:val="000000100000" w:firstRow="0" w:lastRow="0" w:firstColumn="0" w:lastColumn="0" w:oddVBand="0" w:evenVBand="0" w:oddHBand="1" w:evenHBand="0" w:firstRowFirstColumn="0" w:firstRowLastColumn="0" w:lastRowFirstColumn="0" w:lastRowLastColumn="0"/>
            </w:pPr>
            <w:r w:rsidRPr="00D23353">
              <w:t>Timely delivery ensures the school can deliver FAPE</w:t>
            </w:r>
            <w:r>
              <w:t xml:space="preserve"> [Free Appropriate Public Education]. (</w:t>
            </w:r>
            <w:r w:rsidR="000C13A5">
              <w:t>OH</w:t>
            </w:r>
            <w:r>
              <w:t>)</w:t>
            </w:r>
          </w:p>
        </w:tc>
      </w:tr>
      <w:tr w:rsidR="00B9406C" w:rsidRPr="00CD254C" w14:paraId="18AF99AC" w14:textId="77777777" w:rsidTr="006E790C">
        <w:tc>
          <w:tcPr>
            <w:cnfStyle w:val="001000000000" w:firstRow="0" w:lastRow="0" w:firstColumn="1" w:lastColumn="0" w:oddVBand="0" w:evenVBand="0" w:oddHBand="0" w:evenHBand="0" w:firstRowFirstColumn="0" w:firstRowLastColumn="0" w:lastRowFirstColumn="0" w:lastRowLastColumn="0"/>
            <w:tcW w:w="2065" w:type="dxa"/>
          </w:tcPr>
          <w:p w14:paraId="3337C4CF" w14:textId="77777777" w:rsidR="00B9406C" w:rsidRDefault="00B9406C" w:rsidP="0001443A">
            <w:pPr>
              <w:rPr>
                <w:rFonts w:cstheme="minorHAnsi"/>
              </w:rPr>
            </w:pPr>
          </w:p>
        </w:tc>
        <w:tc>
          <w:tcPr>
            <w:tcW w:w="7290" w:type="dxa"/>
          </w:tcPr>
          <w:p w14:paraId="7D85FFB4" w14:textId="0D00F78A" w:rsidR="00B9406C" w:rsidRDefault="00B9406C" w:rsidP="0001443A">
            <w:pPr>
              <w:cnfStyle w:val="000000000000" w:firstRow="0" w:lastRow="0" w:firstColumn="0" w:lastColumn="0" w:oddVBand="0" w:evenVBand="0" w:oddHBand="0" w:evenHBand="0" w:firstRowFirstColumn="0" w:firstRowLastColumn="0" w:lastRowFirstColumn="0" w:lastRowLastColumn="0"/>
            </w:pPr>
            <w:r w:rsidRPr="00626B62">
              <w:t>Students with print disabilities deserve access to timely materials. It is a right</w:t>
            </w:r>
            <w:r w:rsidR="00ED3676">
              <w:t>,</w:t>
            </w:r>
            <w:r w:rsidRPr="00626B62">
              <w:t xml:space="preserve"> and any delay or challenge in getting materials at the same time as their peers is a civil rights violation</w:t>
            </w:r>
            <w:r>
              <w:t>. (</w:t>
            </w:r>
            <w:r w:rsidR="000C13A5">
              <w:t>OR</w:t>
            </w:r>
            <w:r>
              <w:t>)</w:t>
            </w:r>
          </w:p>
        </w:tc>
      </w:tr>
      <w:tr w:rsidR="00B9406C" w:rsidRPr="00CD254C" w14:paraId="05D4758A"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shd w:val="clear" w:color="auto" w:fill="D9E2F3"/>
          </w:tcPr>
          <w:p w14:paraId="270C72A9" w14:textId="77777777" w:rsidR="00B9406C" w:rsidRDefault="00B9406C" w:rsidP="0001443A">
            <w:pPr>
              <w:rPr>
                <w:rFonts w:cstheme="minorHAnsi"/>
              </w:rPr>
            </w:pPr>
          </w:p>
        </w:tc>
        <w:tc>
          <w:tcPr>
            <w:tcW w:w="7290" w:type="dxa"/>
            <w:shd w:val="clear" w:color="auto" w:fill="D9E2F3"/>
          </w:tcPr>
          <w:p w14:paraId="23977E49" w14:textId="7925120A" w:rsidR="00B9406C" w:rsidRDefault="00B9406C" w:rsidP="0001443A">
            <w:pPr>
              <w:cnfStyle w:val="000000100000" w:firstRow="0" w:lastRow="0" w:firstColumn="0" w:lastColumn="0" w:oddVBand="0" w:evenVBand="0" w:oddHBand="1" w:evenHBand="0" w:firstRowFirstColumn="0" w:firstRowLastColumn="0" w:lastRowFirstColumn="0" w:lastRowLastColumn="0"/>
            </w:pPr>
            <w:r w:rsidRPr="00D23353">
              <w:t>I believe we need to rely more on the fact that this is a legal requirement rather than</w:t>
            </w:r>
            <w:r w:rsidR="002E0851">
              <w:t xml:space="preserve"> </w:t>
            </w:r>
            <w:r w:rsidRPr="00D23353">
              <w:t>convincing folks why it's a good idea.</w:t>
            </w:r>
            <w:r>
              <w:t xml:space="preserve"> (</w:t>
            </w:r>
            <w:r w:rsidR="000C13A5">
              <w:t>OR</w:t>
            </w:r>
            <w:r>
              <w:t>)</w:t>
            </w:r>
          </w:p>
        </w:tc>
      </w:tr>
      <w:tr w:rsidR="00B9406C" w:rsidRPr="00CD254C" w14:paraId="33D4F2C7" w14:textId="77777777" w:rsidTr="006E790C">
        <w:tc>
          <w:tcPr>
            <w:cnfStyle w:val="001000000000" w:firstRow="0" w:lastRow="0" w:firstColumn="1" w:lastColumn="0" w:oddVBand="0" w:evenVBand="0" w:oddHBand="0" w:evenHBand="0" w:firstRowFirstColumn="0" w:firstRowLastColumn="0" w:lastRowFirstColumn="0" w:lastRowLastColumn="0"/>
            <w:tcW w:w="2065" w:type="dxa"/>
          </w:tcPr>
          <w:p w14:paraId="55338309" w14:textId="77777777" w:rsidR="00B9406C" w:rsidRDefault="00B9406C" w:rsidP="0001443A">
            <w:pPr>
              <w:rPr>
                <w:rFonts w:cstheme="minorHAnsi"/>
              </w:rPr>
            </w:pPr>
          </w:p>
        </w:tc>
        <w:tc>
          <w:tcPr>
            <w:tcW w:w="7290" w:type="dxa"/>
          </w:tcPr>
          <w:p w14:paraId="3436C29E" w14:textId="02896DCA" w:rsidR="00B9406C" w:rsidRDefault="00B9406C" w:rsidP="0001443A">
            <w:pPr>
              <w:cnfStyle w:val="000000000000" w:firstRow="0" w:lastRow="0" w:firstColumn="0" w:lastColumn="0" w:oddVBand="0" w:evenVBand="0" w:oddHBand="0" w:evenHBand="0" w:firstRowFirstColumn="0" w:firstRowLastColumn="0" w:lastRowFirstColumn="0" w:lastRowLastColumn="0"/>
            </w:pPr>
            <w:r w:rsidRPr="00D23353">
              <w:t>By law, students need to have materials at the same time as their peers.</w:t>
            </w:r>
            <w:r>
              <w:t xml:space="preserve"> (</w:t>
            </w:r>
            <w:r w:rsidR="000C13A5">
              <w:t>IA</w:t>
            </w:r>
            <w:r>
              <w:t>)</w:t>
            </w:r>
          </w:p>
        </w:tc>
      </w:tr>
      <w:tr w:rsidR="00B9406C" w:rsidRPr="00CD254C" w14:paraId="57C27DB6"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shd w:val="clear" w:color="auto" w:fill="D9E2F3"/>
          </w:tcPr>
          <w:p w14:paraId="63C5D7D1" w14:textId="77777777" w:rsidR="00B9406C" w:rsidRDefault="00B9406C" w:rsidP="0001443A">
            <w:pPr>
              <w:rPr>
                <w:rFonts w:cstheme="minorHAnsi"/>
              </w:rPr>
            </w:pPr>
          </w:p>
        </w:tc>
        <w:tc>
          <w:tcPr>
            <w:tcW w:w="7290" w:type="dxa"/>
            <w:shd w:val="clear" w:color="auto" w:fill="D9E2F3"/>
          </w:tcPr>
          <w:p w14:paraId="37F54771" w14:textId="75EF6DDD" w:rsidR="00B9406C" w:rsidRDefault="00B9406C" w:rsidP="0001443A">
            <w:pPr>
              <w:cnfStyle w:val="000000100000" w:firstRow="0" w:lastRow="0" w:firstColumn="0" w:lastColumn="0" w:oddVBand="0" w:evenVBand="0" w:oddHBand="1" w:evenHBand="0" w:firstRowFirstColumn="0" w:firstRowLastColumn="0" w:lastRowFirstColumn="0" w:lastRowLastColumn="0"/>
            </w:pPr>
            <w:r w:rsidRPr="00D23353">
              <w:t xml:space="preserve">Students with disabilities (print, visual) are legally entitled to FAPE </w:t>
            </w:r>
            <w:r w:rsidR="002E0851">
              <w:t xml:space="preserve">[Free Appropriate Public Education] </w:t>
            </w:r>
            <w:r w:rsidRPr="00D23353">
              <w:t xml:space="preserve">and accessible materials. There is no other justification needed beyond this. </w:t>
            </w:r>
            <w:r>
              <w:t>(</w:t>
            </w:r>
            <w:r w:rsidR="000C13A5">
              <w:t>VA</w:t>
            </w:r>
            <w:r>
              <w:t>)</w:t>
            </w:r>
          </w:p>
        </w:tc>
      </w:tr>
      <w:tr w:rsidR="00B9406C" w:rsidRPr="00CD254C" w14:paraId="11058244" w14:textId="77777777" w:rsidTr="006E790C">
        <w:tc>
          <w:tcPr>
            <w:cnfStyle w:val="001000000000" w:firstRow="0" w:lastRow="0" w:firstColumn="1" w:lastColumn="0" w:oddVBand="0" w:evenVBand="0" w:oddHBand="0" w:evenHBand="0" w:firstRowFirstColumn="0" w:firstRowLastColumn="0" w:lastRowFirstColumn="0" w:lastRowLastColumn="0"/>
            <w:tcW w:w="2065" w:type="dxa"/>
          </w:tcPr>
          <w:p w14:paraId="25E7C76A" w14:textId="77777777" w:rsidR="00B9406C" w:rsidRDefault="00B9406C" w:rsidP="0001443A">
            <w:pPr>
              <w:rPr>
                <w:rFonts w:cstheme="minorHAnsi"/>
              </w:rPr>
            </w:pPr>
          </w:p>
        </w:tc>
        <w:tc>
          <w:tcPr>
            <w:tcW w:w="7290" w:type="dxa"/>
          </w:tcPr>
          <w:p w14:paraId="47D9FE81" w14:textId="21AD8057" w:rsidR="00B9406C" w:rsidRDefault="00B9406C" w:rsidP="0001443A">
            <w:pPr>
              <w:cnfStyle w:val="000000000000" w:firstRow="0" w:lastRow="0" w:firstColumn="0" w:lastColumn="0" w:oddVBand="0" w:evenVBand="0" w:oddHBand="0" w:evenHBand="0" w:firstRowFirstColumn="0" w:firstRowLastColumn="0" w:lastRowFirstColumn="0" w:lastRowLastColumn="0"/>
            </w:pPr>
            <w:r w:rsidRPr="00D23353">
              <w:t xml:space="preserve">IDEA </w:t>
            </w:r>
            <w:r>
              <w:t>[</w:t>
            </w:r>
            <w:r w:rsidRPr="00D23353">
              <w:t>Individuals with Disabilities Education Act</w:t>
            </w:r>
            <w:r>
              <w:t xml:space="preserve">] </w:t>
            </w:r>
            <w:r w:rsidRPr="00D23353">
              <w:t>2004 requires that accessible materials be provided in an accessible format and a timely manner.</w:t>
            </w:r>
            <w:r>
              <w:t xml:space="preserve"> (</w:t>
            </w:r>
            <w:r w:rsidR="000C13A5">
              <w:t>SC</w:t>
            </w:r>
            <w:r>
              <w:t>)</w:t>
            </w:r>
          </w:p>
        </w:tc>
      </w:tr>
      <w:tr w:rsidR="00B9406C" w:rsidRPr="00CD254C" w14:paraId="2F0E44E2"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shd w:val="clear" w:color="auto" w:fill="D9E2F3"/>
          </w:tcPr>
          <w:p w14:paraId="1EF3960E" w14:textId="74A85182" w:rsidR="00B9406C" w:rsidRDefault="00B9406C" w:rsidP="0001443A">
            <w:pPr>
              <w:rPr>
                <w:rFonts w:cstheme="minorHAnsi"/>
              </w:rPr>
            </w:pPr>
            <w:r>
              <w:rPr>
                <w:rFonts w:cstheme="minorHAnsi"/>
              </w:rPr>
              <w:t>Supports teacher effectiveness (9)</w:t>
            </w:r>
          </w:p>
        </w:tc>
        <w:tc>
          <w:tcPr>
            <w:tcW w:w="7290" w:type="dxa"/>
            <w:shd w:val="clear" w:color="auto" w:fill="D9E2F3"/>
          </w:tcPr>
          <w:p w14:paraId="01D04C5D" w14:textId="492FBF71" w:rsidR="00B9406C" w:rsidRDefault="00B9406C" w:rsidP="0001443A">
            <w:pPr>
              <w:cnfStyle w:val="000000100000" w:firstRow="0" w:lastRow="0" w:firstColumn="0" w:lastColumn="0" w:oddVBand="0" w:evenVBand="0" w:oddHBand="1" w:evenHBand="0" w:firstRowFirstColumn="0" w:firstRowLastColumn="0" w:lastRowFirstColumn="0" w:lastRowLastColumn="0"/>
            </w:pPr>
            <w:r w:rsidRPr="00D23353">
              <w:t xml:space="preserve">It allows for the teacher to easily include </w:t>
            </w:r>
            <w:r>
              <w:t>all students</w:t>
            </w:r>
            <w:r w:rsidRPr="00D23353">
              <w:t xml:space="preserve"> in the educational expectations and experiences at the same time and level as their peers.</w:t>
            </w:r>
            <w:r>
              <w:t xml:space="preserve"> (</w:t>
            </w:r>
            <w:r w:rsidR="000C13A5">
              <w:t>OH</w:t>
            </w:r>
            <w:r>
              <w:t>)</w:t>
            </w:r>
          </w:p>
        </w:tc>
      </w:tr>
      <w:tr w:rsidR="00B9406C" w:rsidRPr="00CD254C" w14:paraId="387CB594" w14:textId="77777777" w:rsidTr="006E790C">
        <w:tc>
          <w:tcPr>
            <w:cnfStyle w:val="001000000000" w:firstRow="0" w:lastRow="0" w:firstColumn="1" w:lastColumn="0" w:oddVBand="0" w:evenVBand="0" w:oddHBand="0" w:evenHBand="0" w:firstRowFirstColumn="0" w:firstRowLastColumn="0" w:lastRowFirstColumn="0" w:lastRowLastColumn="0"/>
            <w:tcW w:w="2065" w:type="dxa"/>
          </w:tcPr>
          <w:p w14:paraId="5FD7709C" w14:textId="77777777" w:rsidR="00B9406C" w:rsidRDefault="00B9406C" w:rsidP="0001443A">
            <w:pPr>
              <w:rPr>
                <w:rFonts w:cstheme="minorHAnsi"/>
              </w:rPr>
            </w:pPr>
          </w:p>
        </w:tc>
        <w:tc>
          <w:tcPr>
            <w:tcW w:w="7290" w:type="dxa"/>
          </w:tcPr>
          <w:p w14:paraId="6707FCDE" w14:textId="0F8B9743" w:rsidR="00B9406C" w:rsidRDefault="00B9406C" w:rsidP="0001443A">
            <w:pPr>
              <w:cnfStyle w:val="000000000000" w:firstRow="0" w:lastRow="0" w:firstColumn="0" w:lastColumn="0" w:oddVBand="0" w:evenVBand="0" w:oddHBand="0" w:evenHBand="0" w:firstRowFirstColumn="0" w:firstRowLastColumn="0" w:lastRowFirstColumn="0" w:lastRowLastColumn="0"/>
            </w:pPr>
            <w:r>
              <w:t>A</w:t>
            </w:r>
            <w:r w:rsidRPr="00D23353">
              <w:t>nother positive is that for students who are in general education classes</w:t>
            </w:r>
            <w:r w:rsidR="00ED3676">
              <w:t>,</w:t>
            </w:r>
            <w:r>
              <w:t xml:space="preserve"> </w:t>
            </w:r>
            <w:r w:rsidRPr="00D23353">
              <w:t>it doesn't interrupt the instruction</w:t>
            </w:r>
            <w:r w:rsidR="00ED3676">
              <w:t xml:space="preserve"> and is </w:t>
            </w:r>
            <w:r w:rsidRPr="00D23353">
              <w:t>less worr</w:t>
            </w:r>
            <w:r w:rsidR="00AE738B">
              <w:t>isome</w:t>
            </w:r>
            <w:r w:rsidRPr="00D23353">
              <w:t xml:space="preserve"> for the teache</w:t>
            </w:r>
            <w:r>
              <w:t xml:space="preserve">r </w:t>
            </w:r>
            <w:r w:rsidRPr="00D23353">
              <w:t xml:space="preserve">because </w:t>
            </w:r>
            <w:r w:rsidR="002E0851">
              <w:t>the students are</w:t>
            </w:r>
            <w:r w:rsidRPr="00D23353">
              <w:t xml:space="preserve"> coming to class prepared.</w:t>
            </w:r>
            <w:r>
              <w:t xml:space="preserve"> (</w:t>
            </w:r>
            <w:r w:rsidR="000C13A5">
              <w:t>OH</w:t>
            </w:r>
            <w:r>
              <w:t>)</w:t>
            </w:r>
          </w:p>
        </w:tc>
      </w:tr>
      <w:tr w:rsidR="00B9406C" w:rsidRPr="00CD254C" w14:paraId="5EDC79FA"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shd w:val="clear" w:color="auto" w:fill="D9E2F3"/>
          </w:tcPr>
          <w:p w14:paraId="23E7BADF" w14:textId="77777777" w:rsidR="00B9406C" w:rsidRDefault="00B9406C" w:rsidP="0001443A">
            <w:pPr>
              <w:rPr>
                <w:rFonts w:cstheme="minorHAnsi"/>
              </w:rPr>
            </w:pPr>
          </w:p>
        </w:tc>
        <w:tc>
          <w:tcPr>
            <w:tcW w:w="7290" w:type="dxa"/>
            <w:shd w:val="clear" w:color="auto" w:fill="D9E2F3"/>
          </w:tcPr>
          <w:p w14:paraId="0BF8B24A" w14:textId="00EDE661" w:rsidR="00B9406C" w:rsidRDefault="00B9406C" w:rsidP="0001443A">
            <w:pPr>
              <w:cnfStyle w:val="000000100000" w:firstRow="0" w:lastRow="0" w:firstColumn="0" w:lastColumn="0" w:oddVBand="0" w:evenVBand="0" w:oddHBand="1" w:evenHBand="0" w:firstRowFirstColumn="0" w:firstRowLastColumn="0" w:lastRowFirstColumn="0" w:lastRowLastColumn="0"/>
            </w:pPr>
            <w:r w:rsidRPr="00D23353">
              <w:t>I</w:t>
            </w:r>
            <w:r>
              <w:t xml:space="preserve">f students </w:t>
            </w:r>
            <w:r w:rsidRPr="00D23353">
              <w:t xml:space="preserve">can get access to </w:t>
            </w:r>
            <w:r>
              <w:t xml:space="preserve">accessible formats </w:t>
            </w:r>
            <w:r w:rsidRPr="00D23353">
              <w:t>at the same time as their peer</w:t>
            </w:r>
            <w:r w:rsidR="00AE738B">
              <w:t xml:space="preserve">s, </w:t>
            </w:r>
            <w:r w:rsidRPr="00D23353">
              <w:t xml:space="preserve">the teachers </w:t>
            </w:r>
            <w:r>
              <w:t>aren’t</w:t>
            </w:r>
            <w:r w:rsidRPr="00D23353">
              <w:t xml:space="preserve"> scrambling trying to find that same book or something in a different format.</w:t>
            </w:r>
            <w:r>
              <w:t xml:space="preserve"> (</w:t>
            </w:r>
            <w:r w:rsidR="000C13A5">
              <w:t>OH</w:t>
            </w:r>
            <w:r>
              <w:t>)</w:t>
            </w:r>
          </w:p>
        </w:tc>
      </w:tr>
      <w:tr w:rsidR="00B9406C" w:rsidRPr="00CD254C" w14:paraId="6E154401" w14:textId="77777777" w:rsidTr="006E790C">
        <w:tc>
          <w:tcPr>
            <w:cnfStyle w:val="001000000000" w:firstRow="0" w:lastRow="0" w:firstColumn="1" w:lastColumn="0" w:oddVBand="0" w:evenVBand="0" w:oddHBand="0" w:evenHBand="0" w:firstRowFirstColumn="0" w:firstRowLastColumn="0" w:lastRowFirstColumn="0" w:lastRowLastColumn="0"/>
            <w:tcW w:w="2065" w:type="dxa"/>
          </w:tcPr>
          <w:p w14:paraId="5DB33EAF" w14:textId="77777777" w:rsidR="00B9406C" w:rsidRDefault="00B9406C" w:rsidP="0001443A">
            <w:pPr>
              <w:rPr>
                <w:rFonts w:cstheme="minorHAnsi"/>
              </w:rPr>
            </w:pPr>
          </w:p>
        </w:tc>
        <w:tc>
          <w:tcPr>
            <w:tcW w:w="7290" w:type="dxa"/>
          </w:tcPr>
          <w:p w14:paraId="40789C69" w14:textId="6AB0C174" w:rsidR="00B9406C" w:rsidRDefault="00B9406C" w:rsidP="0001443A">
            <w:pPr>
              <w:cnfStyle w:val="000000000000" w:firstRow="0" w:lastRow="0" w:firstColumn="0" w:lastColumn="0" w:oddVBand="0" w:evenVBand="0" w:oddHBand="0" w:evenHBand="0" w:firstRowFirstColumn="0" w:firstRowLastColumn="0" w:lastRowFirstColumn="0" w:lastRowLastColumn="0"/>
            </w:pPr>
            <w:r w:rsidRPr="00D23353">
              <w:t>Anything that can be done ahead takes away the stress and time put on the vision teacher to find the material and a way to make it accessible</w:t>
            </w:r>
            <w:r w:rsidR="000A734C">
              <w:t>; this</w:t>
            </w:r>
            <w:r w:rsidRPr="00D23353">
              <w:t xml:space="preserve"> means more direct support between </w:t>
            </w:r>
            <w:r w:rsidR="000A734C">
              <w:t xml:space="preserve">the </w:t>
            </w:r>
            <w:r w:rsidRPr="00D23353">
              <w:t>vision teacher and student.</w:t>
            </w:r>
            <w:r>
              <w:t xml:space="preserve"> (</w:t>
            </w:r>
            <w:r w:rsidR="000C13A5">
              <w:t>CA</w:t>
            </w:r>
            <w:r>
              <w:t>)</w:t>
            </w:r>
          </w:p>
        </w:tc>
      </w:tr>
      <w:tr w:rsidR="00B9406C" w:rsidRPr="00CD254C" w14:paraId="1F28B492"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shd w:val="clear" w:color="auto" w:fill="D9E2F3"/>
          </w:tcPr>
          <w:p w14:paraId="172BC70E" w14:textId="77777777" w:rsidR="00B9406C" w:rsidRDefault="00B9406C" w:rsidP="0001443A">
            <w:pPr>
              <w:rPr>
                <w:rFonts w:cstheme="minorHAnsi"/>
              </w:rPr>
            </w:pPr>
          </w:p>
        </w:tc>
        <w:tc>
          <w:tcPr>
            <w:tcW w:w="7290" w:type="dxa"/>
            <w:shd w:val="clear" w:color="auto" w:fill="D9E2F3"/>
          </w:tcPr>
          <w:p w14:paraId="05801EC2" w14:textId="7D8A42FB" w:rsidR="00B9406C" w:rsidRDefault="00B9406C" w:rsidP="0001443A">
            <w:pPr>
              <w:cnfStyle w:val="000000100000" w:firstRow="0" w:lastRow="0" w:firstColumn="0" w:lastColumn="0" w:oddVBand="0" w:evenVBand="0" w:oddHBand="1" w:evenHBand="0" w:firstRowFirstColumn="0" w:firstRowLastColumn="0" w:lastRowFirstColumn="0" w:lastRowLastColumn="0"/>
            </w:pPr>
            <w:r w:rsidRPr="006F60F6">
              <w:t>Prevents staff labor related to providing an alternative resource</w:t>
            </w:r>
            <w:r w:rsidR="0022154D">
              <w:t xml:space="preserve">, </w:t>
            </w:r>
            <w:r w:rsidRPr="006F60F6">
              <w:t>unnecessarily burdening staff responsible for the student's education program.</w:t>
            </w:r>
            <w:r>
              <w:t xml:space="preserve"> (National Technical Assistance Center)</w:t>
            </w:r>
          </w:p>
        </w:tc>
      </w:tr>
      <w:tr w:rsidR="00B9406C" w:rsidRPr="00CD254C" w14:paraId="5EF93240" w14:textId="77777777" w:rsidTr="006E790C">
        <w:tc>
          <w:tcPr>
            <w:cnfStyle w:val="001000000000" w:firstRow="0" w:lastRow="0" w:firstColumn="1" w:lastColumn="0" w:oddVBand="0" w:evenVBand="0" w:oddHBand="0" w:evenHBand="0" w:firstRowFirstColumn="0" w:firstRowLastColumn="0" w:lastRowFirstColumn="0" w:lastRowLastColumn="0"/>
            <w:tcW w:w="2065" w:type="dxa"/>
          </w:tcPr>
          <w:p w14:paraId="72CD48CD" w14:textId="77777777" w:rsidR="00B9406C" w:rsidRDefault="00B9406C" w:rsidP="0001443A">
            <w:pPr>
              <w:rPr>
                <w:rFonts w:cstheme="minorHAnsi"/>
              </w:rPr>
            </w:pPr>
          </w:p>
        </w:tc>
        <w:tc>
          <w:tcPr>
            <w:tcW w:w="7290" w:type="dxa"/>
          </w:tcPr>
          <w:p w14:paraId="486ED549" w14:textId="1B2A414E" w:rsidR="00B9406C" w:rsidRDefault="00B9406C" w:rsidP="0001443A">
            <w:pPr>
              <w:cnfStyle w:val="000000000000" w:firstRow="0" w:lastRow="0" w:firstColumn="0" w:lastColumn="0" w:oddVBand="0" w:evenVBand="0" w:oddHBand="0" w:evenHBand="0" w:firstRowFirstColumn="0" w:firstRowLastColumn="0" w:lastRowFirstColumn="0" w:lastRowLastColumn="0"/>
            </w:pPr>
            <w:r w:rsidRPr="00D23353">
              <w:t xml:space="preserve">Timely delivery of accessible materials for students with visual impairments allows Teachers of Students with Visual Impairments </w:t>
            </w:r>
            <w:r w:rsidR="002E0851">
              <w:t xml:space="preserve">[TSVIs] </w:t>
            </w:r>
            <w:r w:rsidRPr="00D23353">
              <w:t>to focus on other necessary instruction and support</w:t>
            </w:r>
            <w:r w:rsidR="003A2221">
              <w:t>s</w:t>
            </w:r>
            <w:r w:rsidRPr="00D23353">
              <w:t>. It especially reduces the amount of time TSVI's spend accommodating print materials for students who need</w:t>
            </w:r>
            <w:r w:rsidR="003E03EF">
              <w:t xml:space="preserve"> braille</w:t>
            </w:r>
            <w:r w:rsidRPr="00D23353">
              <w:t>.</w:t>
            </w:r>
            <w:r>
              <w:t xml:space="preserve"> (</w:t>
            </w:r>
            <w:r w:rsidR="000C13A5">
              <w:t>TX</w:t>
            </w:r>
            <w:r>
              <w:t>)</w:t>
            </w:r>
          </w:p>
        </w:tc>
      </w:tr>
      <w:tr w:rsidR="00B9406C" w:rsidRPr="00CD254C" w14:paraId="35F7027A"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shd w:val="clear" w:color="auto" w:fill="D9E2F3"/>
          </w:tcPr>
          <w:p w14:paraId="70AC1EF2" w14:textId="77777777" w:rsidR="00B9406C" w:rsidRDefault="00B9406C" w:rsidP="0001443A">
            <w:pPr>
              <w:rPr>
                <w:rFonts w:cstheme="minorHAnsi"/>
              </w:rPr>
            </w:pPr>
          </w:p>
        </w:tc>
        <w:tc>
          <w:tcPr>
            <w:tcW w:w="7290" w:type="dxa"/>
            <w:shd w:val="clear" w:color="auto" w:fill="D9E2F3"/>
          </w:tcPr>
          <w:p w14:paraId="162C20E7" w14:textId="50A42417" w:rsidR="00B9406C" w:rsidRDefault="00B9406C" w:rsidP="0001443A">
            <w:pPr>
              <w:cnfStyle w:val="000000100000" w:firstRow="0" w:lastRow="0" w:firstColumn="0" w:lastColumn="0" w:oddVBand="0" w:evenVBand="0" w:oddHBand="1" w:evenHBand="0" w:firstRowFirstColumn="0" w:firstRowLastColumn="0" w:lastRowFirstColumn="0" w:lastRowLastColumn="0"/>
            </w:pPr>
            <w:r>
              <w:t>I</w:t>
            </w:r>
            <w:r w:rsidRPr="00D23353">
              <w:t>t supports meaningful access by giving all students the opportunity to succeed</w:t>
            </w:r>
            <w:r>
              <w:t xml:space="preserve"> [and]</w:t>
            </w:r>
            <w:r w:rsidRPr="00D23353">
              <w:t xml:space="preserve"> helps teachers plan and differentiate instruction effectively</w:t>
            </w:r>
            <w:r>
              <w:t>. (</w:t>
            </w:r>
            <w:r w:rsidR="000C13A5">
              <w:t>TX</w:t>
            </w:r>
            <w:r>
              <w:t>)</w:t>
            </w:r>
          </w:p>
        </w:tc>
      </w:tr>
      <w:tr w:rsidR="00B9406C" w:rsidRPr="00CD254C" w14:paraId="4C71B183" w14:textId="77777777" w:rsidTr="006E790C">
        <w:tc>
          <w:tcPr>
            <w:cnfStyle w:val="001000000000" w:firstRow="0" w:lastRow="0" w:firstColumn="1" w:lastColumn="0" w:oddVBand="0" w:evenVBand="0" w:oddHBand="0" w:evenHBand="0" w:firstRowFirstColumn="0" w:firstRowLastColumn="0" w:lastRowFirstColumn="0" w:lastRowLastColumn="0"/>
            <w:tcW w:w="2065" w:type="dxa"/>
          </w:tcPr>
          <w:p w14:paraId="57366357" w14:textId="233485DE" w:rsidR="00B9406C" w:rsidRDefault="00B9406C" w:rsidP="0001443A">
            <w:pPr>
              <w:rPr>
                <w:rFonts w:cstheme="minorHAnsi"/>
              </w:rPr>
            </w:pPr>
            <w:r>
              <w:rPr>
                <w:rFonts w:cstheme="minorHAnsi"/>
              </w:rPr>
              <w:lastRenderedPageBreak/>
              <w:t>Reduces stigma associated with print disabilities (8)</w:t>
            </w:r>
          </w:p>
        </w:tc>
        <w:tc>
          <w:tcPr>
            <w:tcW w:w="7290" w:type="dxa"/>
          </w:tcPr>
          <w:p w14:paraId="5C8DF15F" w14:textId="47E1AF92" w:rsidR="00B9406C" w:rsidRPr="0072145F" w:rsidRDefault="00B9406C" w:rsidP="0001443A">
            <w:pPr>
              <w:cnfStyle w:val="000000000000" w:firstRow="0" w:lastRow="0" w:firstColumn="0" w:lastColumn="0" w:oddVBand="0" w:evenVBand="0" w:oddHBand="0" w:evenHBand="0" w:firstRowFirstColumn="0" w:firstRowLastColumn="0" w:lastRowFirstColumn="0" w:lastRowLastColumn="0"/>
            </w:pPr>
            <w:r>
              <w:t>I</w:t>
            </w:r>
            <w:r w:rsidRPr="008341BE">
              <w:t>t helps to reduce that sense of otherness with the kids if they're immersed in the same materials</w:t>
            </w:r>
            <w:r>
              <w:t>. E</w:t>
            </w:r>
            <w:r w:rsidRPr="008341BE">
              <w:t xml:space="preserve">ven if it looks a little bit different, other </w:t>
            </w:r>
            <w:proofErr w:type="gramStart"/>
            <w:r w:rsidRPr="008341BE">
              <w:t>kids</w:t>
            </w:r>
            <w:proofErr w:type="gramEnd"/>
            <w:r w:rsidRPr="008341BE">
              <w:t xml:space="preserve"> kind of understand that they're just like us, just doing it a slightly different way</w:t>
            </w:r>
            <w:r w:rsidR="000B454C">
              <w:t>. This</w:t>
            </w:r>
            <w:r w:rsidRPr="008341BE">
              <w:t xml:space="preserve"> obviously promotes a little bit more collegiality and understanding.</w:t>
            </w:r>
            <w:r>
              <w:t xml:space="preserve"> (</w:t>
            </w:r>
            <w:r w:rsidR="000C13A5">
              <w:t>OH</w:t>
            </w:r>
            <w:r>
              <w:t>)</w:t>
            </w:r>
          </w:p>
        </w:tc>
      </w:tr>
      <w:tr w:rsidR="00B9406C" w:rsidRPr="00CD254C" w14:paraId="11876F3E"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shd w:val="clear" w:color="auto" w:fill="D9E2F3"/>
          </w:tcPr>
          <w:p w14:paraId="148FD316" w14:textId="77777777" w:rsidR="00B9406C" w:rsidRDefault="00B9406C" w:rsidP="0001443A">
            <w:pPr>
              <w:rPr>
                <w:rFonts w:cstheme="minorHAnsi"/>
              </w:rPr>
            </w:pPr>
          </w:p>
        </w:tc>
        <w:tc>
          <w:tcPr>
            <w:tcW w:w="7290" w:type="dxa"/>
            <w:shd w:val="clear" w:color="auto" w:fill="D9E2F3"/>
          </w:tcPr>
          <w:p w14:paraId="6CA1AD6F" w14:textId="180C5810" w:rsidR="00B9406C" w:rsidRPr="008341BE" w:rsidRDefault="00B9406C" w:rsidP="0001443A">
            <w:pPr>
              <w:cnfStyle w:val="000000100000" w:firstRow="0" w:lastRow="0" w:firstColumn="0" w:lastColumn="0" w:oddVBand="0" w:evenVBand="0" w:oddHBand="1" w:evenHBand="0" w:firstRowFirstColumn="0" w:firstRowLastColumn="0" w:lastRowFirstColumn="0" w:lastRowLastColumn="0"/>
            </w:pPr>
            <w:r w:rsidRPr="008341BE">
              <w:t xml:space="preserve">When students don’t have the </w:t>
            </w:r>
            <w:proofErr w:type="gramStart"/>
            <w:r w:rsidRPr="008341BE">
              <w:t>materials</w:t>
            </w:r>
            <w:proofErr w:type="gramEnd"/>
            <w:r w:rsidRPr="008341BE">
              <w:t xml:space="preserve"> they need to participate with their peers, they </w:t>
            </w:r>
            <w:r w:rsidR="000B40EC">
              <w:t>become</w:t>
            </w:r>
            <w:r w:rsidR="000B40EC" w:rsidRPr="008341BE">
              <w:t xml:space="preserve"> </w:t>
            </w:r>
            <w:r w:rsidRPr="008341BE">
              <w:t>outcasts immediately even if peers do not mean to do this.</w:t>
            </w:r>
            <w:r>
              <w:t xml:space="preserve"> (</w:t>
            </w:r>
            <w:r w:rsidR="000C13A5">
              <w:t>OH</w:t>
            </w:r>
            <w:r>
              <w:t>)</w:t>
            </w:r>
          </w:p>
        </w:tc>
      </w:tr>
      <w:tr w:rsidR="00B9406C" w:rsidRPr="00CD254C" w14:paraId="558A9201" w14:textId="77777777" w:rsidTr="006E790C">
        <w:tc>
          <w:tcPr>
            <w:cnfStyle w:val="001000000000" w:firstRow="0" w:lastRow="0" w:firstColumn="1" w:lastColumn="0" w:oddVBand="0" w:evenVBand="0" w:oddHBand="0" w:evenHBand="0" w:firstRowFirstColumn="0" w:firstRowLastColumn="0" w:lastRowFirstColumn="0" w:lastRowLastColumn="0"/>
            <w:tcW w:w="2065" w:type="dxa"/>
          </w:tcPr>
          <w:p w14:paraId="157F7D64" w14:textId="77777777" w:rsidR="00B9406C" w:rsidRDefault="00B9406C" w:rsidP="0001443A">
            <w:pPr>
              <w:rPr>
                <w:rFonts w:cstheme="minorHAnsi"/>
              </w:rPr>
            </w:pPr>
          </w:p>
        </w:tc>
        <w:tc>
          <w:tcPr>
            <w:tcW w:w="7290" w:type="dxa"/>
          </w:tcPr>
          <w:p w14:paraId="56FA25D7" w14:textId="6200049A" w:rsidR="00B9406C" w:rsidRPr="008341BE" w:rsidRDefault="00B9406C" w:rsidP="0001443A">
            <w:pPr>
              <w:cnfStyle w:val="000000000000" w:firstRow="0" w:lastRow="0" w:firstColumn="0" w:lastColumn="0" w:oddVBand="0" w:evenVBand="0" w:oddHBand="0" w:evenHBand="0" w:firstRowFirstColumn="0" w:firstRowLastColumn="0" w:lastRowFirstColumn="0" w:lastRowLastColumn="0"/>
            </w:pPr>
            <w:r w:rsidRPr="008341BE">
              <w:t>Timely delivery is especially important because it allows the student to be involved as their peers with the content and their environment. If it became a "norm" to have timely delivery of accessible formats, the stigma would be reduced.</w:t>
            </w:r>
            <w:r>
              <w:t xml:space="preserve"> (</w:t>
            </w:r>
            <w:r w:rsidR="000C13A5">
              <w:t>OH</w:t>
            </w:r>
            <w:r>
              <w:t>)</w:t>
            </w:r>
          </w:p>
        </w:tc>
      </w:tr>
      <w:tr w:rsidR="00B9406C" w:rsidRPr="00CD254C" w14:paraId="6BAC303B"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shd w:val="clear" w:color="auto" w:fill="D9E2F3"/>
          </w:tcPr>
          <w:p w14:paraId="57A40608" w14:textId="77777777" w:rsidR="00B9406C" w:rsidRDefault="00B9406C" w:rsidP="0001443A">
            <w:pPr>
              <w:rPr>
                <w:rFonts w:cstheme="minorHAnsi"/>
              </w:rPr>
            </w:pPr>
          </w:p>
        </w:tc>
        <w:tc>
          <w:tcPr>
            <w:tcW w:w="7290" w:type="dxa"/>
            <w:shd w:val="clear" w:color="auto" w:fill="D9E2F3"/>
          </w:tcPr>
          <w:p w14:paraId="4A885831" w14:textId="2309A88D" w:rsidR="00B9406C" w:rsidRPr="008341BE" w:rsidRDefault="00B9406C" w:rsidP="0001443A">
            <w:pPr>
              <w:cnfStyle w:val="000000100000" w:firstRow="0" w:lastRow="0" w:firstColumn="0" w:lastColumn="0" w:oddVBand="0" w:evenVBand="0" w:oddHBand="1" w:evenHBand="0" w:firstRowFirstColumn="0" w:firstRowLastColumn="0" w:lastRowFirstColumn="0" w:lastRowLastColumn="0"/>
            </w:pPr>
            <w:r w:rsidRPr="008341BE">
              <w:t>Without equitable and timely access to the same educational materials, our students with print disabilities are further isolated or "othered</w:t>
            </w:r>
            <w:r>
              <w:t>.” (</w:t>
            </w:r>
            <w:r w:rsidR="000C13A5">
              <w:t>OR</w:t>
            </w:r>
            <w:r>
              <w:t>)</w:t>
            </w:r>
          </w:p>
        </w:tc>
      </w:tr>
      <w:tr w:rsidR="00B9406C" w:rsidRPr="00CD254C" w14:paraId="02B4C1A9" w14:textId="77777777" w:rsidTr="006E790C">
        <w:tc>
          <w:tcPr>
            <w:cnfStyle w:val="001000000000" w:firstRow="0" w:lastRow="0" w:firstColumn="1" w:lastColumn="0" w:oddVBand="0" w:evenVBand="0" w:oddHBand="0" w:evenHBand="0" w:firstRowFirstColumn="0" w:firstRowLastColumn="0" w:lastRowFirstColumn="0" w:lastRowLastColumn="0"/>
            <w:tcW w:w="2065" w:type="dxa"/>
          </w:tcPr>
          <w:p w14:paraId="348DE071" w14:textId="310061B4" w:rsidR="00B9406C" w:rsidRDefault="00B9406C" w:rsidP="0001443A">
            <w:pPr>
              <w:rPr>
                <w:rFonts w:cstheme="minorHAnsi"/>
              </w:rPr>
            </w:pPr>
            <w:r>
              <w:rPr>
                <w:rFonts w:cstheme="minorHAnsi"/>
              </w:rPr>
              <w:t xml:space="preserve">Facilitates ownership of learning (6) </w:t>
            </w:r>
          </w:p>
        </w:tc>
        <w:tc>
          <w:tcPr>
            <w:tcW w:w="7290" w:type="dxa"/>
          </w:tcPr>
          <w:p w14:paraId="41E82A8A" w14:textId="615ADF2E" w:rsidR="00B9406C" w:rsidRPr="008341BE" w:rsidRDefault="00B9406C" w:rsidP="0001443A">
            <w:pPr>
              <w:cnfStyle w:val="000000000000" w:firstRow="0" w:lastRow="0" w:firstColumn="0" w:lastColumn="0" w:oddVBand="0" w:evenVBand="0" w:oddHBand="0" w:evenHBand="0" w:firstRowFirstColumn="0" w:firstRowLastColumn="0" w:lastRowFirstColumn="0" w:lastRowLastColumn="0"/>
            </w:pPr>
            <w:r w:rsidRPr="00EC6099">
              <w:t>I expect that when all my other peers get something, I'm going to get it too. So</w:t>
            </w:r>
            <w:r>
              <w:t>,</w:t>
            </w:r>
            <w:r w:rsidRPr="00EC6099">
              <w:t xml:space="preserve"> when that doesn't happen, I feel confident to speak up and say, </w:t>
            </w:r>
            <w:r>
              <w:t>“</w:t>
            </w:r>
            <w:r w:rsidRPr="00EC6099">
              <w:t>Hey, what happened here? This shouldn't happen in the future.</w:t>
            </w:r>
            <w:r>
              <w:t>”</w:t>
            </w:r>
            <w:r w:rsidRPr="00EC6099">
              <w:t xml:space="preserve"> Whereas as </w:t>
            </w:r>
            <w:r>
              <w:t xml:space="preserve">if </w:t>
            </w:r>
            <w:r w:rsidRPr="00EC6099">
              <w:t xml:space="preserve">our expectation is always less </w:t>
            </w:r>
            <w:proofErr w:type="gramStart"/>
            <w:r w:rsidRPr="00EC6099">
              <w:t>than</w:t>
            </w:r>
            <w:proofErr w:type="gramEnd"/>
            <w:r w:rsidRPr="00EC6099">
              <w:t xml:space="preserve">, then we're not speaking up, we don't feel comfortable </w:t>
            </w:r>
            <w:r w:rsidR="0025152F" w:rsidRPr="00EC6099">
              <w:t>advocating</w:t>
            </w:r>
            <w:r w:rsidRPr="00EC6099">
              <w:t xml:space="preserve"> for ourselves, and it just snowballs and perpetuates into the future.</w:t>
            </w:r>
            <w:r>
              <w:t xml:space="preserve"> (</w:t>
            </w:r>
            <w:r w:rsidR="000C13A5">
              <w:t>OH</w:t>
            </w:r>
            <w:r>
              <w:t>)</w:t>
            </w:r>
          </w:p>
        </w:tc>
      </w:tr>
      <w:tr w:rsidR="00B9406C" w:rsidRPr="00CD254C" w14:paraId="1F42FCA8"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shd w:val="clear" w:color="auto" w:fill="D9E2F3"/>
          </w:tcPr>
          <w:p w14:paraId="75563514" w14:textId="77777777" w:rsidR="00B9406C" w:rsidRDefault="00B9406C" w:rsidP="0001443A">
            <w:pPr>
              <w:rPr>
                <w:rFonts w:cstheme="minorHAnsi"/>
              </w:rPr>
            </w:pPr>
          </w:p>
        </w:tc>
        <w:tc>
          <w:tcPr>
            <w:tcW w:w="7290" w:type="dxa"/>
            <w:shd w:val="clear" w:color="auto" w:fill="D9E2F3"/>
          </w:tcPr>
          <w:p w14:paraId="073F378E" w14:textId="5947CAD2" w:rsidR="00B9406C" w:rsidRPr="00EC6099" w:rsidRDefault="00B9406C" w:rsidP="0001443A">
            <w:pPr>
              <w:cnfStyle w:val="000000100000" w:firstRow="0" w:lastRow="0" w:firstColumn="0" w:lastColumn="0" w:oddVBand="0" w:evenVBand="0" w:oddHBand="1" w:evenHBand="0" w:firstRowFirstColumn="0" w:firstRowLastColumn="0" w:lastRowFirstColumn="0" w:lastRowLastColumn="0"/>
            </w:pPr>
            <w:r w:rsidRPr="00EC6099">
              <w:t>Equitable access to materials supports active classroom participation, independence</w:t>
            </w:r>
            <w:r w:rsidR="0025152F">
              <w:t>,</w:t>
            </w:r>
            <w:r w:rsidRPr="00EC6099">
              <w:t xml:space="preserve"> and ownership of the learning process.</w:t>
            </w:r>
            <w:r>
              <w:t xml:space="preserve"> (</w:t>
            </w:r>
            <w:r w:rsidR="000C13A5">
              <w:t>MA</w:t>
            </w:r>
            <w:r>
              <w:t>)</w:t>
            </w:r>
          </w:p>
        </w:tc>
      </w:tr>
      <w:tr w:rsidR="00B9406C" w:rsidRPr="00CD254C" w14:paraId="503BD084" w14:textId="77777777" w:rsidTr="006E790C">
        <w:tc>
          <w:tcPr>
            <w:cnfStyle w:val="001000000000" w:firstRow="0" w:lastRow="0" w:firstColumn="1" w:lastColumn="0" w:oddVBand="0" w:evenVBand="0" w:oddHBand="0" w:evenHBand="0" w:firstRowFirstColumn="0" w:firstRowLastColumn="0" w:lastRowFirstColumn="0" w:lastRowLastColumn="0"/>
            <w:tcW w:w="2065" w:type="dxa"/>
          </w:tcPr>
          <w:p w14:paraId="5E89F504" w14:textId="77777777" w:rsidR="00B9406C" w:rsidRDefault="00B9406C" w:rsidP="0001443A">
            <w:pPr>
              <w:rPr>
                <w:rFonts w:cstheme="minorHAnsi"/>
              </w:rPr>
            </w:pPr>
          </w:p>
        </w:tc>
        <w:tc>
          <w:tcPr>
            <w:tcW w:w="7290" w:type="dxa"/>
          </w:tcPr>
          <w:p w14:paraId="6D898838" w14:textId="55AC5255" w:rsidR="00B9406C" w:rsidRPr="00EC6099" w:rsidRDefault="00B9406C" w:rsidP="0001443A">
            <w:pPr>
              <w:cnfStyle w:val="000000000000" w:firstRow="0" w:lastRow="0" w:firstColumn="0" w:lastColumn="0" w:oddVBand="0" w:evenVBand="0" w:oddHBand="0" w:evenHBand="0" w:firstRowFirstColumn="0" w:firstRowLastColumn="0" w:lastRowFirstColumn="0" w:lastRowLastColumn="0"/>
            </w:pPr>
            <w:r w:rsidRPr="00EC6099">
              <w:t xml:space="preserve">The most important </w:t>
            </w:r>
            <w:r>
              <w:t>benefit of timely delivery</w:t>
            </w:r>
            <w:r w:rsidRPr="00EC6099">
              <w:t xml:space="preserve"> is so the students can be independent and take ownership for their learning. Without access to accessible materials, the students learn to have lower expectations of themselves. Ultimately, this affects their success after high school.</w:t>
            </w:r>
            <w:r>
              <w:t xml:space="preserve"> (</w:t>
            </w:r>
            <w:r w:rsidR="000C13A5">
              <w:t>VA</w:t>
            </w:r>
            <w:r>
              <w:t>)</w:t>
            </w:r>
          </w:p>
        </w:tc>
      </w:tr>
      <w:bookmarkEnd w:id="18"/>
    </w:tbl>
    <w:p w14:paraId="645E291A" w14:textId="77777777" w:rsidR="00B956B1" w:rsidRDefault="00B956B1" w:rsidP="00D9633A">
      <w:pPr>
        <w:spacing w:after="0" w:line="276" w:lineRule="auto"/>
        <w:rPr>
          <w:rFonts w:cstheme="minorHAnsi"/>
          <w:sz w:val="24"/>
          <w:szCs w:val="24"/>
        </w:rPr>
      </w:pPr>
    </w:p>
    <w:p w14:paraId="30A7283E" w14:textId="77777777" w:rsidR="0066500A" w:rsidRPr="00BF779D" w:rsidRDefault="0066500A" w:rsidP="00D9633A">
      <w:pPr>
        <w:spacing w:after="0" w:line="276" w:lineRule="auto"/>
        <w:rPr>
          <w:rFonts w:cstheme="minorHAnsi"/>
          <w:sz w:val="24"/>
          <w:szCs w:val="24"/>
        </w:rPr>
      </w:pPr>
    </w:p>
    <w:p w14:paraId="14A9CBE2" w14:textId="2433C688" w:rsidR="00C00E5D" w:rsidRDefault="00F745AF" w:rsidP="00B4146C">
      <w:pPr>
        <w:pStyle w:val="Heading3"/>
      </w:pPr>
      <w:bookmarkStart w:id="19" w:name="_Toc222903989"/>
      <w:r>
        <w:t>Timeline for Delivery of Accessible Educational Materials (AEM)</w:t>
      </w:r>
      <w:bookmarkEnd w:id="19"/>
    </w:p>
    <w:p w14:paraId="69734A53" w14:textId="77777777" w:rsidR="00BA77AD" w:rsidRPr="00BA77AD" w:rsidRDefault="00BA77AD" w:rsidP="00BA77AD">
      <w:pPr>
        <w:spacing w:after="0"/>
      </w:pPr>
    </w:p>
    <w:p w14:paraId="79931D1B" w14:textId="2C6FFAAD" w:rsidR="00DC5839" w:rsidRDefault="00B55C67" w:rsidP="0078456F">
      <w:pPr>
        <w:spacing w:after="0" w:line="276" w:lineRule="auto"/>
        <w:rPr>
          <w:rFonts w:ascii="Calibri" w:hAnsi="Calibri" w:cs="Calibri"/>
          <w:sz w:val="24"/>
          <w:szCs w:val="24"/>
        </w:rPr>
      </w:pPr>
      <w:r>
        <w:rPr>
          <w:rFonts w:ascii="ZWAdobeF" w:hAnsi="ZWAdobeF" w:cs="ZWAdobeF"/>
          <w:sz w:val="2"/>
          <w:szCs w:val="2"/>
        </w:rPr>
        <w:t>106B</w:t>
      </w:r>
      <w:r w:rsidR="0078456F">
        <w:rPr>
          <w:rFonts w:ascii="Calibri" w:hAnsi="Calibri" w:cs="Calibri"/>
          <w:sz w:val="24"/>
          <w:szCs w:val="24"/>
        </w:rPr>
        <w:t>Select survey respondents</w:t>
      </w:r>
      <w:r w:rsidR="0099473F">
        <w:rPr>
          <w:rFonts w:ascii="Calibri" w:hAnsi="Calibri" w:cs="Calibri"/>
          <w:sz w:val="24"/>
          <w:szCs w:val="24"/>
        </w:rPr>
        <w:t xml:space="preserve"> (i.e., NIMAC Users</w:t>
      </w:r>
      <w:r w:rsidR="008F5DAB">
        <w:rPr>
          <w:rFonts w:ascii="Calibri" w:hAnsi="Calibri" w:cs="Calibri"/>
          <w:sz w:val="24"/>
          <w:szCs w:val="24"/>
        </w:rPr>
        <w:t>, AMPs</w:t>
      </w:r>
      <w:r w:rsidR="008F5DAB">
        <w:rPr>
          <w:rFonts w:ascii="Calibri" w:hAnsi="Calibri" w:cs="Calibri"/>
          <w:bCs/>
          <w:sz w:val="24"/>
          <w:szCs w:val="24"/>
        </w:rPr>
        <w:t>)</w:t>
      </w:r>
      <w:r w:rsidR="0078456F">
        <w:rPr>
          <w:rFonts w:ascii="Calibri" w:hAnsi="Calibri" w:cs="Calibri"/>
          <w:sz w:val="24"/>
          <w:szCs w:val="24"/>
        </w:rPr>
        <w:t xml:space="preserve"> were asked, “</w:t>
      </w:r>
      <w:r w:rsidR="0078456F" w:rsidRPr="0078456F">
        <w:rPr>
          <w:rFonts w:ascii="Calibri" w:hAnsi="Calibri" w:cs="Calibri"/>
          <w:sz w:val="24"/>
          <w:szCs w:val="24"/>
        </w:rPr>
        <w:t>How familiar are you with general timelines for delivery of newly created accessible formats?</w:t>
      </w:r>
      <w:r w:rsidR="0078456F">
        <w:rPr>
          <w:rFonts w:ascii="Calibri" w:hAnsi="Calibri" w:cs="Calibri"/>
          <w:sz w:val="24"/>
          <w:szCs w:val="24"/>
        </w:rPr>
        <w:t xml:space="preserve">” </w:t>
      </w:r>
      <w:r w:rsidR="00181EF6">
        <w:rPr>
          <w:rFonts w:ascii="Calibri" w:hAnsi="Calibri" w:cs="Calibri"/>
          <w:sz w:val="24"/>
          <w:szCs w:val="24"/>
        </w:rPr>
        <w:t xml:space="preserve">As indicated in </w:t>
      </w:r>
      <w:r w:rsidR="00DC5839">
        <w:rPr>
          <w:rFonts w:ascii="Calibri" w:hAnsi="Calibri" w:cs="Calibri"/>
          <w:sz w:val="24"/>
          <w:szCs w:val="24"/>
        </w:rPr>
        <w:t xml:space="preserve">Figure </w:t>
      </w:r>
      <w:r w:rsidR="00EE4A78">
        <w:rPr>
          <w:rFonts w:ascii="Calibri" w:hAnsi="Calibri" w:cs="Calibri"/>
          <w:sz w:val="24"/>
          <w:szCs w:val="24"/>
        </w:rPr>
        <w:t>5</w:t>
      </w:r>
      <w:r w:rsidR="00181EF6">
        <w:rPr>
          <w:rFonts w:ascii="Calibri" w:hAnsi="Calibri" w:cs="Calibri"/>
          <w:sz w:val="24"/>
          <w:szCs w:val="24"/>
        </w:rPr>
        <w:t>,</w:t>
      </w:r>
      <w:r w:rsidR="00EA653A">
        <w:rPr>
          <w:rFonts w:ascii="Calibri" w:hAnsi="Calibri" w:cs="Calibri"/>
          <w:sz w:val="24"/>
          <w:szCs w:val="24"/>
        </w:rPr>
        <w:t xml:space="preserve"> </w:t>
      </w:r>
      <w:r w:rsidR="00654F33">
        <w:rPr>
          <w:rFonts w:ascii="Calibri" w:hAnsi="Calibri" w:cs="Calibri"/>
          <w:sz w:val="24"/>
          <w:szCs w:val="24"/>
        </w:rPr>
        <w:t>nearly two-thirds</w:t>
      </w:r>
      <w:r w:rsidR="008A0B11">
        <w:rPr>
          <w:rFonts w:ascii="Calibri" w:hAnsi="Calibri" w:cs="Calibri"/>
          <w:sz w:val="24"/>
          <w:szCs w:val="24"/>
        </w:rPr>
        <w:t xml:space="preserve"> of respondents were </w:t>
      </w:r>
      <w:r w:rsidR="00654F33">
        <w:rPr>
          <w:rFonts w:ascii="Calibri" w:hAnsi="Calibri" w:cs="Calibri"/>
          <w:sz w:val="24"/>
          <w:szCs w:val="24"/>
        </w:rPr>
        <w:t xml:space="preserve">familiar with general delivery timelines (32% were </w:t>
      </w:r>
      <w:r w:rsidR="008A0B11">
        <w:rPr>
          <w:rFonts w:ascii="Calibri" w:hAnsi="Calibri" w:cs="Calibri"/>
          <w:sz w:val="24"/>
          <w:szCs w:val="24"/>
        </w:rPr>
        <w:t xml:space="preserve">“very familiar,” </w:t>
      </w:r>
      <w:r w:rsidR="00654F33">
        <w:rPr>
          <w:rFonts w:ascii="Calibri" w:hAnsi="Calibri" w:cs="Calibri"/>
          <w:sz w:val="24"/>
          <w:szCs w:val="24"/>
        </w:rPr>
        <w:t xml:space="preserve">and </w:t>
      </w:r>
      <w:r w:rsidR="008A0B11">
        <w:rPr>
          <w:rFonts w:ascii="Calibri" w:hAnsi="Calibri" w:cs="Calibri"/>
          <w:sz w:val="24"/>
          <w:szCs w:val="24"/>
        </w:rPr>
        <w:t>29% were “moderately familiar”</w:t>
      </w:r>
      <w:r w:rsidR="00654F33">
        <w:rPr>
          <w:rFonts w:ascii="Calibri" w:hAnsi="Calibri" w:cs="Calibri"/>
          <w:sz w:val="24"/>
          <w:szCs w:val="24"/>
        </w:rPr>
        <w:t>).</w:t>
      </w:r>
    </w:p>
    <w:p w14:paraId="45DAF04A" w14:textId="77777777" w:rsidR="007921A0" w:rsidRDefault="007921A0" w:rsidP="0078456F">
      <w:pPr>
        <w:spacing w:after="0" w:line="276" w:lineRule="auto"/>
        <w:rPr>
          <w:rFonts w:ascii="Calibri" w:hAnsi="Calibri" w:cs="Calibri"/>
          <w:sz w:val="24"/>
          <w:szCs w:val="24"/>
        </w:rPr>
      </w:pPr>
    </w:p>
    <w:p w14:paraId="35C4F1AE" w14:textId="77777777" w:rsidR="00673523" w:rsidRDefault="00673523">
      <w:pPr>
        <w:rPr>
          <w:rFonts w:ascii="Calibri" w:eastAsiaTheme="majorEastAsia" w:hAnsi="Calibri" w:cs="Calibri"/>
          <w:smallCaps/>
          <w:color w:val="44546A" w:themeColor="text2"/>
          <w:sz w:val="24"/>
          <w:szCs w:val="24"/>
        </w:rPr>
      </w:pPr>
      <w:r>
        <w:rPr>
          <w:rFonts w:ascii="Calibri" w:hAnsi="Calibri" w:cs="Calibri"/>
          <w:smallCaps/>
          <w:color w:val="44546A" w:themeColor="text2"/>
        </w:rPr>
        <w:br w:type="page"/>
      </w:r>
    </w:p>
    <w:p w14:paraId="6598E817" w14:textId="4BAD46F5" w:rsidR="007921A0" w:rsidRDefault="007921A0" w:rsidP="004946C3">
      <w:pPr>
        <w:pStyle w:val="Heading4"/>
      </w:pPr>
      <w:bookmarkStart w:id="20" w:name="_Toc222903990"/>
      <w:r w:rsidRPr="005919AC">
        <w:lastRenderedPageBreak/>
        <w:t xml:space="preserve">Figure </w:t>
      </w:r>
      <w:r w:rsidR="00EE4A78">
        <w:t>5</w:t>
      </w:r>
      <w:r w:rsidRPr="005919AC">
        <w:t xml:space="preserve">. </w:t>
      </w:r>
      <w:r>
        <w:t>Familiarity with General Timelines for Delivery of Newly Created Accessible Formats</w:t>
      </w:r>
      <w:bookmarkEnd w:id="20"/>
    </w:p>
    <w:p w14:paraId="5D092D01" w14:textId="4592D130" w:rsidR="00DC5839" w:rsidRPr="007921A0" w:rsidRDefault="00B55C67" w:rsidP="007921A0">
      <w:pPr>
        <w:jc w:val="center"/>
      </w:pPr>
      <w:r>
        <w:rPr>
          <w:rFonts w:ascii="ZWAdobeF" w:hAnsi="ZWAdobeF" w:cs="ZWAdobeF"/>
          <w:sz w:val="2"/>
          <w:szCs w:val="2"/>
        </w:rPr>
        <w:t>107</w:t>
      </w:r>
      <w:proofErr w:type="gramStart"/>
      <w:r>
        <w:rPr>
          <w:rFonts w:ascii="ZWAdobeF" w:hAnsi="ZWAdobeF" w:cs="ZWAdobeF"/>
          <w:sz w:val="2"/>
          <w:szCs w:val="2"/>
        </w:rPr>
        <w:t>B</w:t>
      </w:r>
      <w:r w:rsidR="007921A0">
        <w:t>(</w:t>
      </w:r>
      <w:proofErr w:type="gramEnd"/>
      <w:r w:rsidR="007921A0" w:rsidRPr="009F1957">
        <w:rPr>
          <w:i/>
          <w:iCs/>
        </w:rPr>
        <w:t>n</w:t>
      </w:r>
      <w:r w:rsidR="007921A0">
        <w:t xml:space="preserve"> = 100)</w:t>
      </w:r>
    </w:p>
    <w:p w14:paraId="51F692CD" w14:textId="771040CC" w:rsidR="004935BF" w:rsidRDefault="00B55C67" w:rsidP="004935BF">
      <w:pPr>
        <w:spacing w:after="0" w:line="276" w:lineRule="auto"/>
        <w:jc w:val="center"/>
        <w:rPr>
          <w:rFonts w:ascii="Calibri" w:hAnsi="Calibri" w:cs="Calibri"/>
          <w:sz w:val="24"/>
          <w:szCs w:val="24"/>
        </w:rPr>
      </w:pPr>
      <w:r>
        <w:rPr>
          <w:rFonts w:ascii="ZWAdobeF" w:hAnsi="ZWAdobeF" w:cs="ZWAdobeF"/>
          <w:sz w:val="2"/>
          <w:szCs w:val="2"/>
        </w:rPr>
        <w:t>108B</w:t>
      </w:r>
      <w:r w:rsidR="00DC5839" w:rsidRPr="007E3E0B">
        <w:rPr>
          <w:rFonts w:ascii="Calibri" w:hAnsi="Calibri" w:cs="Calibri"/>
          <w:noProof/>
          <w:color w:val="000000"/>
        </w:rPr>
        <w:drawing>
          <wp:inline distT="0" distB="0" distL="0" distR="0" wp14:anchorId="463A4386" wp14:editId="620FFC0D">
            <wp:extent cx="5015865" cy="1847850"/>
            <wp:effectExtent l="0" t="0" r="0" b="0"/>
            <wp:docPr id="915711796" name="Chart 915711796" descr="Figure 5 is a pie chart showing familiarity with general timelines for delivery of newly created accessible formats (n = 100). Thirty-two percent of respondents indicated they were very familiar, 29% moderately familiar, 24% slightly familiar, and 15% not familia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1581FE6B" w14:textId="69226C61" w:rsidR="006C7F46" w:rsidRDefault="00B55C67" w:rsidP="004935BF">
      <w:pPr>
        <w:spacing w:after="0" w:line="276" w:lineRule="auto"/>
        <w:rPr>
          <w:rFonts w:ascii="Calibri" w:hAnsi="Calibri" w:cs="Calibri"/>
          <w:sz w:val="24"/>
          <w:szCs w:val="24"/>
        </w:rPr>
      </w:pPr>
      <w:r>
        <w:rPr>
          <w:rFonts w:ascii="ZWAdobeF" w:hAnsi="ZWAdobeF" w:cs="ZWAdobeF"/>
          <w:sz w:val="2"/>
          <w:szCs w:val="2"/>
        </w:rPr>
        <w:t>109B</w:t>
      </w:r>
      <w:r w:rsidR="008A0B11">
        <w:rPr>
          <w:rFonts w:ascii="Calibri" w:hAnsi="Calibri" w:cs="Calibri"/>
          <w:sz w:val="24"/>
          <w:szCs w:val="24"/>
        </w:rPr>
        <w:t>R</w:t>
      </w:r>
      <w:r w:rsidR="00304240">
        <w:rPr>
          <w:rFonts w:ascii="Calibri" w:hAnsi="Calibri" w:cs="Calibri"/>
          <w:sz w:val="24"/>
          <w:szCs w:val="24"/>
        </w:rPr>
        <w:t>espondents who were at least “slightly familiar” with general timelines for delivery (</w:t>
      </w:r>
      <w:r w:rsidR="00304240">
        <w:rPr>
          <w:rFonts w:ascii="Calibri" w:hAnsi="Calibri" w:cs="Calibri"/>
          <w:i/>
          <w:iCs/>
          <w:sz w:val="24"/>
          <w:szCs w:val="24"/>
        </w:rPr>
        <w:t>n</w:t>
      </w:r>
      <w:r w:rsidR="00304240">
        <w:rPr>
          <w:rFonts w:ascii="Calibri" w:hAnsi="Calibri" w:cs="Calibri"/>
          <w:sz w:val="24"/>
          <w:szCs w:val="24"/>
        </w:rPr>
        <w:t xml:space="preserve"> = 85)</w:t>
      </w:r>
      <w:r w:rsidR="00E1199C">
        <w:rPr>
          <w:rFonts w:ascii="Calibri" w:hAnsi="Calibri" w:cs="Calibri"/>
          <w:sz w:val="24"/>
          <w:szCs w:val="24"/>
        </w:rPr>
        <w:t xml:space="preserve"> </w:t>
      </w:r>
      <w:r w:rsidR="00B00A4A">
        <w:rPr>
          <w:rFonts w:ascii="Calibri" w:hAnsi="Calibri" w:cs="Calibri"/>
          <w:sz w:val="24"/>
          <w:szCs w:val="24"/>
        </w:rPr>
        <w:t>were</w:t>
      </w:r>
      <w:r w:rsidR="00D06533">
        <w:rPr>
          <w:rFonts w:ascii="Calibri" w:hAnsi="Calibri" w:cs="Calibri"/>
          <w:sz w:val="24"/>
          <w:szCs w:val="24"/>
        </w:rPr>
        <w:t xml:space="preserve"> asked </w:t>
      </w:r>
      <w:r w:rsidR="00A52F34">
        <w:rPr>
          <w:rFonts w:ascii="Calibri" w:hAnsi="Calibri" w:cs="Calibri"/>
          <w:sz w:val="24"/>
          <w:szCs w:val="24"/>
        </w:rPr>
        <w:t>to indicate</w:t>
      </w:r>
      <w:r w:rsidR="00D06533">
        <w:rPr>
          <w:rFonts w:ascii="Calibri" w:hAnsi="Calibri" w:cs="Calibri"/>
          <w:sz w:val="24"/>
          <w:szCs w:val="24"/>
        </w:rPr>
        <w:t xml:space="preserve"> the</w:t>
      </w:r>
      <w:r w:rsidR="00A52F34">
        <w:rPr>
          <w:rFonts w:ascii="Calibri" w:hAnsi="Calibri" w:cs="Calibri"/>
          <w:sz w:val="24"/>
          <w:szCs w:val="24"/>
        </w:rPr>
        <w:t xml:space="preserve"> average</w:t>
      </w:r>
      <w:r w:rsidR="00D06533">
        <w:rPr>
          <w:rFonts w:ascii="Calibri" w:hAnsi="Calibri" w:cs="Calibri"/>
          <w:sz w:val="24"/>
          <w:szCs w:val="24"/>
        </w:rPr>
        <w:t xml:space="preserve"> timeline for delivery of four accessible formats</w:t>
      </w:r>
      <w:r w:rsidR="00A52F34">
        <w:rPr>
          <w:rFonts w:ascii="Calibri" w:hAnsi="Calibri" w:cs="Calibri"/>
          <w:sz w:val="24"/>
          <w:szCs w:val="24"/>
        </w:rPr>
        <w:t xml:space="preserve"> (</w:t>
      </w:r>
      <w:r w:rsidR="00EA653A">
        <w:rPr>
          <w:rFonts w:ascii="Calibri" w:hAnsi="Calibri" w:cs="Calibri"/>
          <w:sz w:val="24"/>
          <w:szCs w:val="24"/>
        </w:rPr>
        <w:t>b</w:t>
      </w:r>
      <w:r w:rsidR="00D06533">
        <w:rPr>
          <w:rFonts w:ascii="Calibri" w:hAnsi="Calibri" w:cs="Calibri"/>
          <w:sz w:val="24"/>
          <w:szCs w:val="24"/>
        </w:rPr>
        <w:t xml:space="preserve">raille for STEM materials, </w:t>
      </w:r>
      <w:r w:rsidR="00EA653A">
        <w:rPr>
          <w:rFonts w:ascii="Calibri" w:hAnsi="Calibri" w:cs="Calibri"/>
          <w:sz w:val="24"/>
          <w:szCs w:val="24"/>
        </w:rPr>
        <w:t>b</w:t>
      </w:r>
      <w:r w:rsidR="00D06533">
        <w:rPr>
          <w:rFonts w:ascii="Calibri" w:hAnsi="Calibri" w:cs="Calibri"/>
          <w:sz w:val="24"/>
          <w:szCs w:val="24"/>
        </w:rPr>
        <w:t>raille for non-STEM materials, large print materials, and accessible digital text</w:t>
      </w:r>
      <w:r w:rsidR="00CD1BD1">
        <w:rPr>
          <w:rFonts w:ascii="Calibri" w:hAnsi="Calibri" w:cs="Calibri"/>
          <w:sz w:val="24"/>
          <w:szCs w:val="24"/>
        </w:rPr>
        <w:t xml:space="preserve"> materials</w:t>
      </w:r>
      <w:r w:rsidR="00D06533">
        <w:rPr>
          <w:rFonts w:ascii="Calibri" w:hAnsi="Calibri" w:cs="Calibri"/>
          <w:sz w:val="24"/>
          <w:szCs w:val="24"/>
        </w:rPr>
        <w:t xml:space="preserve"> (e.g., DAISY, EPUB)</w:t>
      </w:r>
      <w:r w:rsidR="00A52F34">
        <w:rPr>
          <w:rFonts w:ascii="Calibri" w:hAnsi="Calibri" w:cs="Calibri"/>
          <w:sz w:val="24"/>
          <w:szCs w:val="24"/>
        </w:rPr>
        <w:t xml:space="preserve">) under two different circumstances: </w:t>
      </w:r>
      <w:r w:rsidR="00AF762E">
        <w:rPr>
          <w:rFonts w:ascii="Calibri" w:hAnsi="Calibri" w:cs="Calibri"/>
          <w:sz w:val="24"/>
          <w:szCs w:val="24"/>
        </w:rPr>
        <w:t xml:space="preserve">1) </w:t>
      </w:r>
      <w:r w:rsidR="00A52F34">
        <w:rPr>
          <w:rFonts w:ascii="Calibri" w:hAnsi="Calibri" w:cs="Calibri"/>
          <w:sz w:val="24"/>
          <w:szCs w:val="24"/>
        </w:rPr>
        <w:t xml:space="preserve">when </w:t>
      </w:r>
      <w:r w:rsidR="00AF762E">
        <w:rPr>
          <w:rFonts w:ascii="Calibri" w:hAnsi="Calibri" w:cs="Calibri"/>
          <w:sz w:val="24"/>
          <w:szCs w:val="24"/>
        </w:rPr>
        <w:t>the NIMAS files are already in the NIMAC system</w:t>
      </w:r>
      <w:r w:rsidR="008A0B11">
        <w:rPr>
          <w:rFonts w:ascii="Calibri" w:hAnsi="Calibri" w:cs="Calibri"/>
          <w:sz w:val="24"/>
          <w:szCs w:val="24"/>
        </w:rPr>
        <w:t>,</w:t>
      </w:r>
      <w:r w:rsidR="00AF762E">
        <w:rPr>
          <w:rFonts w:ascii="Calibri" w:hAnsi="Calibri" w:cs="Calibri"/>
          <w:sz w:val="24"/>
          <w:szCs w:val="24"/>
        </w:rPr>
        <w:t xml:space="preserve"> and 2) </w:t>
      </w:r>
      <w:r w:rsidR="00A52F34">
        <w:rPr>
          <w:rFonts w:ascii="Calibri" w:hAnsi="Calibri" w:cs="Calibri"/>
          <w:sz w:val="24"/>
          <w:szCs w:val="24"/>
        </w:rPr>
        <w:t xml:space="preserve">when </w:t>
      </w:r>
      <w:r w:rsidR="00AF762E">
        <w:rPr>
          <w:rFonts w:ascii="Calibri" w:hAnsi="Calibri" w:cs="Calibri"/>
          <w:sz w:val="24"/>
          <w:szCs w:val="24"/>
        </w:rPr>
        <w:t>the materials are added to the NIMAC Watchlist</w:t>
      </w:r>
      <w:r w:rsidR="00A52F34">
        <w:rPr>
          <w:rFonts w:ascii="Calibri" w:hAnsi="Calibri" w:cs="Calibri"/>
          <w:sz w:val="24"/>
          <w:szCs w:val="24"/>
        </w:rPr>
        <w:t>.</w:t>
      </w:r>
      <w:r>
        <w:rPr>
          <w:rFonts w:ascii="ZWAdobeF" w:hAnsi="ZWAdobeF" w:cs="ZWAdobeF"/>
          <w:sz w:val="2"/>
          <w:szCs w:val="2"/>
        </w:rPr>
        <w:t>21F</w:t>
      </w:r>
      <w:r w:rsidR="008B6B54">
        <w:rPr>
          <w:rStyle w:val="FootnoteReference"/>
          <w:rFonts w:ascii="Calibri" w:hAnsi="Calibri" w:cs="Calibri"/>
          <w:sz w:val="24"/>
          <w:szCs w:val="24"/>
        </w:rPr>
        <w:footnoteReference w:id="22"/>
      </w:r>
      <w:r w:rsidR="00A52F34">
        <w:rPr>
          <w:rFonts w:ascii="Calibri" w:hAnsi="Calibri" w:cs="Calibri"/>
          <w:sz w:val="24"/>
          <w:szCs w:val="24"/>
        </w:rPr>
        <w:t xml:space="preserve"> </w:t>
      </w:r>
      <w:r w:rsidR="0037318E">
        <w:rPr>
          <w:rFonts w:ascii="Calibri" w:hAnsi="Calibri" w:cs="Calibri"/>
          <w:sz w:val="24"/>
          <w:szCs w:val="24"/>
        </w:rPr>
        <w:t>As shown in</w:t>
      </w:r>
      <w:r w:rsidR="00D06533">
        <w:rPr>
          <w:rFonts w:ascii="Calibri" w:hAnsi="Calibri" w:cs="Calibri"/>
          <w:sz w:val="24"/>
          <w:szCs w:val="24"/>
        </w:rPr>
        <w:t xml:space="preserve"> Table</w:t>
      </w:r>
      <w:r w:rsidR="00400D28">
        <w:rPr>
          <w:rFonts w:ascii="Calibri" w:hAnsi="Calibri" w:cs="Calibri"/>
          <w:sz w:val="24"/>
          <w:szCs w:val="24"/>
        </w:rPr>
        <w:t>s</w:t>
      </w:r>
      <w:r w:rsidR="00D06533">
        <w:rPr>
          <w:rFonts w:ascii="Calibri" w:hAnsi="Calibri" w:cs="Calibri"/>
          <w:sz w:val="24"/>
          <w:szCs w:val="24"/>
        </w:rPr>
        <w:t xml:space="preserve"> </w:t>
      </w:r>
      <w:r w:rsidR="00EA653A">
        <w:rPr>
          <w:rFonts w:ascii="Calibri" w:hAnsi="Calibri" w:cs="Calibri"/>
          <w:sz w:val="24"/>
          <w:szCs w:val="24"/>
        </w:rPr>
        <w:t>4</w:t>
      </w:r>
      <w:r w:rsidR="00400D28">
        <w:rPr>
          <w:rFonts w:ascii="Calibri" w:hAnsi="Calibri" w:cs="Calibri"/>
          <w:sz w:val="24"/>
          <w:szCs w:val="24"/>
        </w:rPr>
        <w:t xml:space="preserve"> and 5</w:t>
      </w:r>
      <w:r w:rsidR="00673523">
        <w:rPr>
          <w:rFonts w:ascii="Calibri" w:hAnsi="Calibri" w:cs="Calibri"/>
          <w:sz w:val="24"/>
          <w:szCs w:val="24"/>
        </w:rPr>
        <w:t>,</w:t>
      </w:r>
      <w:r>
        <w:rPr>
          <w:rFonts w:ascii="ZWAdobeF" w:hAnsi="ZWAdobeF" w:cs="ZWAdobeF"/>
          <w:sz w:val="2"/>
          <w:szCs w:val="2"/>
        </w:rPr>
        <w:t>22F</w:t>
      </w:r>
      <w:r w:rsidR="00D06533">
        <w:rPr>
          <w:rStyle w:val="FootnoteReference"/>
          <w:rFonts w:ascii="Calibri" w:hAnsi="Calibri" w:cs="Calibri"/>
          <w:sz w:val="24"/>
          <w:szCs w:val="24"/>
        </w:rPr>
        <w:footnoteReference w:id="23"/>
      </w:r>
      <w:r w:rsidR="00D06533">
        <w:rPr>
          <w:rFonts w:ascii="Calibri" w:hAnsi="Calibri" w:cs="Calibri"/>
          <w:sz w:val="24"/>
          <w:szCs w:val="24"/>
        </w:rPr>
        <w:t xml:space="preserve"> </w:t>
      </w:r>
      <w:r w:rsidR="0037318E">
        <w:rPr>
          <w:rFonts w:ascii="Calibri" w:hAnsi="Calibri" w:cs="Calibri"/>
          <w:sz w:val="24"/>
          <w:szCs w:val="24"/>
        </w:rPr>
        <w:t xml:space="preserve">the </w:t>
      </w:r>
      <w:r w:rsidR="006C7F46">
        <w:rPr>
          <w:rFonts w:ascii="Calibri" w:hAnsi="Calibri" w:cs="Calibri"/>
          <w:sz w:val="24"/>
          <w:szCs w:val="24"/>
        </w:rPr>
        <w:t xml:space="preserve">median timeline for delivery of each accessible material </w:t>
      </w:r>
      <w:r w:rsidR="0037318E">
        <w:rPr>
          <w:rFonts w:ascii="Calibri" w:hAnsi="Calibri" w:cs="Calibri"/>
          <w:sz w:val="24"/>
          <w:szCs w:val="24"/>
        </w:rPr>
        <w:t xml:space="preserve">is </w:t>
      </w:r>
      <w:r w:rsidR="006C7F46">
        <w:rPr>
          <w:rFonts w:ascii="Calibri" w:hAnsi="Calibri" w:cs="Calibri"/>
          <w:sz w:val="24"/>
          <w:szCs w:val="24"/>
        </w:rPr>
        <w:t xml:space="preserve">shorter when NIMAS files are in the NIMAC system compared to when materials are added to the NIMAC Watchlist. For example, the median timeline for delivery of </w:t>
      </w:r>
      <w:r w:rsidR="00EA653A">
        <w:rPr>
          <w:rFonts w:ascii="Calibri" w:hAnsi="Calibri" w:cs="Calibri"/>
          <w:sz w:val="24"/>
          <w:szCs w:val="24"/>
        </w:rPr>
        <w:t>b</w:t>
      </w:r>
      <w:r w:rsidR="006C7F46">
        <w:rPr>
          <w:rFonts w:ascii="Calibri" w:hAnsi="Calibri" w:cs="Calibri"/>
          <w:sz w:val="24"/>
          <w:szCs w:val="24"/>
        </w:rPr>
        <w:t xml:space="preserve">raille for STEM materials </w:t>
      </w:r>
      <w:r w:rsidR="008D1F84">
        <w:rPr>
          <w:rFonts w:ascii="Calibri" w:hAnsi="Calibri" w:cs="Calibri"/>
          <w:sz w:val="24"/>
          <w:szCs w:val="24"/>
        </w:rPr>
        <w:t>is 2 months when the NIMA</w:t>
      </w:r>
      <w:r w:rsidR="00130799">
        <w:rPr>
          <w:rFonts w:ascii="Calibri" w:hAnsi="Calibri" w:cs="Calibri"/>
          <w:sz w:val="24"/>
          <w:szCs w:val="24"/>
        </w:rPr>
        <w:t>S</w:t>
      </w:r>
      <w:r w:rsidR="008D1F84">
        <w:rPr>
          <w:rFonts w:ascii="Calibri" w:hAnsi="Calibri" w:cs="Calibri"/>
          <w:sz w:val="24"/>
          <w:szCs w:val="24"/>
        </w:rPr>
        <w:t xml:space="preserve"> files are in the NIMAC system compared to 3.4 months when materials are added to the NIMAC Watchlist. </w:t>
      </w:r>
    </w:p>
    <w:p w14:paraId="0707C707" w14:textId="77777777" w:rsidR="004935BF" w:rsidRPr="004935BF" w:rsidRDefault="004935BF" w:rsidP="004935BF">
      <w:pPr>
        <w:spacing w:after="0" w:line="276" w:lineRule="auto"/>
        <w:rPr>
          <w:rFonts w:ascii="Calibri" w:hAnsi="Calibri" w:cs="Calibri"/>
          <w:sz w:val="24"/>
          <w:szCs w:val="24"/>
        </w:rPr>
      </w:pPr>
    </w:p>
    <w:p w14:paraId="3AD83429" w14:textId="67010108" w:rsidR="00B12987" w:rsidRPr="006C7F46" w:rsidRDefault="00B12987" w:rsidP="004946C3">
      <w:pPr>
        <w:pStyle w:val="Heading4"/>
      </w:pPr>
      <w:bookmarkStart w:id="21" w:name="_Toc222903991"/>
      <w:r w:rsidRPr="006C7F46">
        <w:t xml:space="preserve">Table </w:t>
      </w:r>
      <w:r w:rsidR="00EA653A">
        <w:t>4</w:t>
      </w:r>
      <w:r w:rsidRPr="006C7F46">
        <w:t xml:space="preserve">. </w:t>
      </w:r>
      <w:r w:rsidR="00F70E12" w:rsidRPr="006C7F46">
        <w:t>Timelines for Delivery</w:t>
      </w:r>
      <w:r w:rsidR="00400D28">
        <w:t xml:space="preserve"> When NIMAS Files are in the NIMAC System</w:t>
      </w:r>
      <w:r w:rsidR="00B55C67">
        <w:rPr>
          <w:rFonts w:ascii="ZWAdobeF" w:hAnsi="ZWAdobeF" w:cs="ZWAdobeF"/>
          <w:i w:val="0"/>
          <w:color w:val="auto"/>
          <w:sz w:val="2"/>
          <w:szCs w:val="2"/>
        </w:rPr>
        <w:t>23F</w:t>
      </w:r>
      <w:r w:rsidR="008861B2" w:rsidRPr="006C7F46">
        <w:rPr>
          <w:rStyle w:val="FootnoteReference"/>
          <w:rFonts w:cs="Calibri"/>
          <w:smallCaps/>
          <w:color w:val="44546A" w:themeColor="text2"/>
        </w:rPr>
        <w:footnoteReference w:id="24"/>
      </w:r>
      <w:bookmarkEnd w:id="21"/>
    </w:p>
    <w:p w14:paraId="75A571DD" w14:textId="7893AB17" w:rsidR="00FD5797" w:rsidRPr="00C1067E" w:rsidRDefault="00B55C67" w:rsidP="00FD5797">
      <w:pPr>
        <w:spacing w:line="240" w:lineRule="auto"/>
        <w:jc w:val="center"/>
        <w:rPr>
          <w:color w:val="000000" w:themeColor="text1"/>
        </w:rPr>
      </w:pPr>
      <w:r>
        <w:rPr>
          <w:rFonts w:ascii="ZWAdobeF" w:hAnsi="ZWAdobeF" w:cs="ZWAdobeF"/>
          <w:sz w:val="2"/>
          <w:szCs w:val="2"/>
        </w:rPr>
        <w:t>110</w:t>
      </w:r>
      <w:proofErr w:type="gramStart"/>
      <w:r>
        <w:rPr>
          <w:rFonts w:ascii="ZWAdobeF" w:hAnsi="ZWAdobeF" w:cs="ZWAdobeF"/>
          <w:sz w:val="2"/>
          <w:szCs w:val="2"/>
        </w:rPr>
        <w:t>B</w:t>
      </w:r>
      <w:r w:rsidR="00B12987" w:rsidRPr="006C7F46">
        <w:rPr>
          <w:color w:val="000000" w:themeColor="text1"/>
        </w:rPr>
        <w:t>(</w:t>
      </w:r>
      <w:proofErr w:type="gramEnd"/>
      <w:r w:rsidR="00B12987" w:rsidRPr="006C7F46">
        <w:rPr>
          <w:i/>
          <w:iCs/>
          <w:color w:val="000000" w:themeColor="text1"/>
        </w:rPr>
        <w:t>n</w:t>
      </w:r>
      <w:r w:rsidR="00B12987" w:rsidRPr="006C7F46">
        <w:rPr>
          <w:color w:val="000000" w:themeColor="text1"/>
        </w:rPr>
        <w:t xml:space="preserve"> = </w:t>
      </w:r>
      <w:r w:rsidR="0082661C" w:rsidRPr="006C7F46">
        <w:rPr>
          <w:color w:val="000000" w:themeColor="text1"/>
        </w:rPr>
        <w:t>3</w:t>
      </w:r>
      <w:r w:rsidR="0021567B">
        <w:rPr>
          <w:color w:val="000000" w:themeColor="text1"/>
        </w:rPr>
        <w:t>0</w:t>
      </w:r>
      <w:r w:rsidR="00B12987" w:rsidRPr="006C7F46">
        <w:rPr>
          <w:color w:val="000000" w:themeColor="text1"/>
        </w:rPr>
        <w:t>)</w:t>
      </w:r>
    </w:p>
    <w:tbl>
      <w:tblPr>
        <w:tblStyle w:val="GridTable4"/>
        <w:tblW w:w="9095" w:type="dxa"/>
        <w:jc w:val="center"/>
        <w:tblLook w:val="04A0" w:firstRow="1" w:lastRow="0" w:firstColumn="1" w:lastColumn="0" w:noHBand="0" w:noVBand="1"/>
        <w:tblCaption w:val="Table 4. Timelines for Delivery"/>
        <w:tblDescription w:val="Table 4 presents delivery timelines, in months, by accessible format when NIMAS files are in the NIMAC system and when materials are added to the NIMAC watchlist (n = 34). For braille STEM materials, the median delivery time is 2.0 months and the average is 3.3 months when files are in NIMAC (n = 21); the median is 3.4 months and the average is 4.3 months when added to the watchlist (n = 11). For braille non-STEM materials, the median is 1.9 months and the average is 2.6 months in NIMAC (n = 20); the median is 2.4 months and the average is 2.6 months on the watchlist (n = 10). For large print materials, the median is 1.1 months and the average is 1.2 months in NIMAC (n = 14); the median is 1.8 months and the average is 2.7 months on the watchlist (n = 5). For accessible digital text materials, the median is 0.3 months and the average is 0.5 months in NIMAC (n = 16); the median is 0.8 months and the average is 0.6 months on the watchlist (n = 5)."/>
      </w:tblPr>
      <w:tblGrid>
        <w:gridCol w:w="3235"/>
        <w:gridCol w:w="2340"/>
        <w:gridCol w:w="2260"/>
        <w:gridCol w:w="1260"/>
      </w:tblGrid>
      <w:tr w:rsidR="00F82AEE" w:rsidRPr="00CD254C" w14:paraId="63E2E49E" w14:textId="77777777" w:rsidTr="009F46F4">
        <w:trPr>
          <w:cnfStyle w:val="100000000000" w:firstRow="1" w:lastRow="0" w:firstColumn="0" w:lastColumn="0" w:oddVBand="0" w:evenVBand="0" w:oddHBand="0" w:evenHBand="0" w:firstRowFirstColumn="0" w:firstRowLastColumn="0" w:lastRowFirstColumn="0" w:lastRowLastColumn="0"/>
          <w:tblHeader/>
          <w:jc w:val="center"/>
        </w:trPr>
        <w:tc>
          <w:tcPr>
            <w:cnfStyle w:val="001000000000" w:firstRow="0" w:lastRow="0" w:firstColumn="1" w:lastColumn="0" w:oddVBand="0" w:evenVBand="0" w:oddHBand="0" w:evenHBand="0" w:firstRowFirstColumn="0" w:firstRowLastColumn="0" w:lastRowFirstColumn="0" w:lastRowLastColumn="0"/>
            <w:tcW w:w="3235" w:type="dxa"/>
            <w:tcBorders>
              <w:left w:val="single" w:sz="4" w:space="0" w:color="auto"/>
              <w:bottom w:val="single" w:sz="4" w:space="0" w:color="auto"/>
              <w:right w:val="single" w:sz="4" w:space="0" w:color="auto"/>
            </w:tcBorders>
            <w:shd w:val="clear" w:color="auto" w:fill="44546A"/>
            <w:vAlign w:val="center"/>
          </w:tcPr>
          <w:p w14:paraId="5010D74F" w14:textId="23E2DB5B" w:rsidR="00F82AEE" w:rsidRPr="00FE2DE4" w:rsidRDefault="009F46F4" w:rsidP="009F46F4">
            <w:pPr>
              <w:jc w:val="center"/>
              <w:rPr>
                <w:rFonts w:cstheme="minorHAnsi"/>
                <w:b w:val="0"/>
                <w:bCs w:val="0"/>
              </w:rPr>
            </w:pPr>
            <w:r w:rsidRPr="002C7A0B">
              <w:rPr>
                <w:rFonts w:cstheme="minorHAnsi"/>
              </w:rPr>
              <w:t>Accessible Format</w:t>
            </w:r>
          </w:p>
        </w:tc>
        <w:tc>
          <w:tcPr>
            <w:tcW w:w="2340" w:type="dxa"/>
            <w:tcBorders>
              <w:top w:val="single" w:sz="4" w:space="0" w:color="auto"/>
              <w:left w:val="single" w:sz="4" w:space="0" w:color="auto"/>
              <w:bottom w:val="single" w:sz="4" w:space="0" w:color="auto"/>
              <w:right w:val="single" w:sz="4" w:space="0" w:color="auto"/>
            </w:tcBorders>
            <w:shd w:val="clear" w:color="auto" w:fill="44546A"/>
          </w:tcPr>
          <w:p w14:paraId="6A12D37F" w14:textId="77777777" w:rsidR="009F46F4" w:rsidRDefault="00F82AEE" w:rsidP="00F82AEE">
            <w:pPr>
              <w:jc w:val="center"/>
              <w:cnfStyle w:val="100000000000" w:firstRow="1" w:lastRow="0" w:firstColumn="0" w:lastColumn="0" w:oddVBand="0" w:evenVBand="0" w:oddHBand="0" w:evenHBand="0" w:firstRowFirstColumn="0" w:firstRowLastColumn="0" w:lastRowFirstColumn="0" w:lastRowLastColumn="0"/>
              <w:rPr>
                <w:rFonts w:cstheme="minorHAnsi"/>
                <w:b w:val="0"/>
                <w:bCs w:val="0"/>
              </w:rPr>
            </w:pPr>
            <w:r>
              <w:rPr>
                <w:rFonts w:cstheme="minorHAnsi"/>
              </w:rPr>
              <w:t xml:space="preserve">Median </w:t>
            </w:r>
          </w:p>
          <w:p w14:paraId="24B9D1C7" w14:textId="5A8CE3FA" w:rsidR="00F82AEE" w:rsidRPr="00AF762E" w:rsidRDefault="00F82AEE" w:rsidP="00F82AEE">
            <w:pPr>
              <w:jc w:val="center"/>
              <w:cnfStyle w:val="100000000000" w:firstRow="1" w:lastRow="0" w:firstColumn="0" w:lastColumn="0" w:oddVBand="0" w:evenVBand="0" w:oddHBand="0" w:evenHBand="0" w:firstRowFirstColumn="0" w:firstRowLastColumn="0" w:lastRowFirstColumn="0" w:lastRowLastColumn="0"/>
              <w:rPr>
                <w:rFonts w:cstheme="minorHAnsi"/>
                <w:b w:val="0"/>
                <w:bCs w:val="0"/>
              </w:rPr>
            </w:pPr>
            <w:r>
              <w:rPr>
                <w:rFonts w:cstheme="minorHAnsi"/>
              </w:rPr>
              <w:t>(Number of Months)</w:t>
            </w:r>
          </w:p>
        </w:tc>
        <w:tc>
          <w:tcPr>
            <w:tcW w:w="2260" w:type="dxa"/>
            <w:tcBorders>
              <w:top w:val="single" w:sz="4" w:space="0" w:color="auto"/>
              <w:left w:val="single" w:sz="4" w:space="0" w:color="auto"/>
              <w:bottom w:val="single" w:sz="4" w:space="0" w:color="auto"/>
              <w:right w:val="single" w:sz="4" w:space="0" w:color="auto"/>
            </w:tcBorders>
            <w:shd w:val="clear" w:color="auto" w:fill="44546A"/>
          </w:tcPr>
          <w:p w14:paraId="5E6685C4" w14:textId="77777777" w:rsidR="00F82AEE" w:rsidRDefault="00F82AEE" w:rsidP="00F82AEE">
            <w:pPr>
              <w:jc w:val="center"/>
              <w:cnfStyle w:val="100000000000" w:firstRow="1" w:lastRow="0" w:firstColumn="0" w:lastColumn="0" w:oddVBand="0" w:evenVBand="0" w:oddHBand="0" w:evenHBand="0" w:firstRowFirstColumn="0" w:firstRowLastColumn="0" w:lastRowFirstColumn="0" w:lastRowLastColumn="0"/>
              <w:rPr>
                <w:rFonts w:cstheme="minorHAnsi"/>
                <w:b w:val="0"/>
                <w:bCs w:val="0"/>
              </w:rPr>
            </w:pPr>
            <w:r>
              <w:rPr>
                <w:rFonts w:cstheme="minorHAnsi"/>
              </w:rPr>
              <w:t>Average</w:t>
            </w:r>
          </w:p>
          <w:p w14:paraId="07B19577" w14:textId="1E268A0B" w:rsidR="00F82AEE" w:rsidRPr="00AF762E" w:rsidRDefault="00F82AEE" w:rsidP="00F82AEE">
            <w:pPr>
              <w:jc w:val="center"/>
              <w:cnfStyle w:val="100000000000" w:firstRow="1" w:lastRow="0" w:firstColumn="0" w:lastColumn="0" w:oddVBand="0" w:evenVBand="0" w:oddHBand="0" w:evenHBand="0" w:firstRowFirstColumn="0" w:firstRowLastColumn="0" w:lastRowFirstColumn="0" w:lastRowLastColumn="0"/>
              <w:rPr>
                <w:rFonts w:cstheme="minorHAnsi"/>
                <w:b w:val="0"/>
                <w:bCs w:val="0"/>
              </w:rPr>
            </w:pPr>
            <w:r>
              <w:rPr>
                <w:rFonts w:cstheme="minorHAnsi"/>
              </w:rPr>
              <w:t>(Number of Months)</w:t>
            </w:r>
          </w:p>
        </w:tc>
        <w:tc>
          <w:tcPr>
            <w:tcW w:w="1260" w:type="dxa"/>
            <w:tcBorders>
              <w:top w:val="single" w:sz="4" w:space="0" w:color="auto"/>
              <w:left w:val="single" w:sz="4" w:space="0" w:color="auto"/>
              <w:bottom w:val="single" w:sz="4" w:space="0" w:color="auto"/>
              <w:right w:val="single" w:sz="4" w:space="0" w:color="auto"/>
            </w:tcBorders>
            <w:shd w:val="clear" w:color="auto" w:fill="44546A"/>
            <w:vAlign w:val="center"/>
          </w:tcPr>
          <w:p w14:paraId="3120CE03" w14:textId="0978F9A5" w:rsidR="00F82AEE" w:rsidRPr="00BF023A" w:rsidRDefault="00F82AEE" w:rsidP="009F46F4">
            <w:pPr>
              <w:jc w:val="center"/>
              <w:cnfStyle w:val="100000000000" w:firstRow="1" w:lastRow="0" w:firstColumn="0" w:lastColumn="0" w:oddVBand="0" w:evenVBand="0" w:oddHBand="0" w:evenHBand="0" w:firstRowFirstColumn="0" w:firstRowLastColumn="0" w:lastRowFirstColumn="0" w:lastRowLastColumn="0"/>
              <w:rPr>
                <w:rFonts w:cstheme="minorHAnsi"/>
                <w:b w:val="0"/>
                <w:bCs w:val="0"/>
                <w:i/>
                <w:iCs/>
              </w:rPr>
            </w:pPr>
            <w:r w:rsidRPr="00BF023A">
              <w:rPr>
                <w:rFonts w:cstheme="minorHAnsi"/>
                <w:i/>
                <w:iCs/>
              </w:rPr>
              <w:t>n</w:t>
            </w:r>
          </w:p>
        </w:tc>
      </w:tr>
      <w:tr w:rsidR="00F82AEE" w:rsidRPr="00CD254C" w14:paraId="55CFF30C" w14:textId="77777777" w:rsidTr="009F46F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235" w:type="dxa"/>
            <w:tcBorders>
              <w:top w:val="single" w:sz="4" w:space="0" w:color="auto"/>
            </w:tcBorders>
            <w:shd w:val="clear" w:color="auto" w:fill="D9E2F3"/>
          </w:tcPr>
          <w:p w14:paraId="74124DAF" w14:textId="77777777" w:rsidR="00F82AEE" w:rsidRPr="00FE2DE4" w:rsidRDefault="00F82AEE" w:rsidP="00F82AEE">
            <w:pPr>
              <w:rPr>
                <w:rFonts w:cstheme="minorHAnsi"/>
                <w:b w:val="0"/>
                <w:bCs w:val="0"/>
              </w:rPr>
            </w:pPr>
            <w:r w:rsidRPr="00BD3BC7">
              <w:rPr>
                <w:rFonts w:cstheme="minorHAnsi"/>
                <w:b w:val="0"/>
                <w:bCs w:val="0"/>
              </w:rPr>
              <w:t>Braille for STEM materials</w:t>
            </w:r>
          </w:p>
        </w:tc>
        <w:tc>
          <w:tcPr>
            <w:tcW w:w="2340" w:type="dxa"/>
            <w:tcBorders>
              <w:top w:val="single" w:sz="4" w:space="0" w:color="auto"/>
            </w:tcBorders>
            <w:shd w:val="clear" w:color="auto" w:fill="D9E2F3"/>
            <w:vAlign w:val="center"/>
          </w:tcPr>
          <w:p w14:paraId="7E92C605" w14:textId="77777777" w:rsidR="00F82AEE" w:rsidRDefault="00F82AEE" w:rsidP="00F82AEE">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2.0</w:t>
            </w:r>
          </w:p>
        </w:tc>
        <w:tc>
          <w:tcPr>
            <w:tcW w:w="2260" w:type="dxa"/>
            <w:tcBorders>
              <w:top w:val="single" w:sz="4" w:space="0" w:color="auto"/>
            </w:tcBorders>
            <w:shd w:val="clear" w:color="auto" w:fill="D9E2F3"/>
            <w:vAlign w:val="center"/>
          </w:tcPr>
          <w:p w14:paraId="202D4900" w14:textId="525BF07F" w:rsidR="00F82AEE" w:rsidRPr="00CD254C" w:rsidRDefault="00F82AEE" w:rsidP="00F82AEE">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3.3</w:t>
            </w:r>
          </w:p>
        </w:tc>
        <w:tc>
          <w:tcPr>
            <w:tcW w:w="1260" w:type="dxa"/>
            <w:tcBorders>
              <w:top w:val="single" w:sz="4" w:space="0" w:color="auto"/>
            </w:tcBorders>
            <w:shd w:val="clear" w:color="auto" w:fill="D9E2F3"/>
            <w:vAlign w:val="center"/>
          </w:tcPr>
          <w:p w14:paraId="6370EA1B" w14:textId="139FB489" w:rsidR="00F82AEE" w:rsidRPr="00CD254C" w:rsidRDefault="00F82AEE" w:rsidP="00F82AEE">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21</w:t>
            </w:r>
          </w:p>
        </w:tc>
      </w:tr>
      <w:tr w:rsidR="00F82AEE" w14:paraId="30220CB0" w14:textId="77777777" w:rsidTr="009F46F4">
        <w:trPr>
          <w:jc w:val="center"/>
        </w:trPr>
        <w:tc>
          <w:tcPr>
            <w:cnfStyle w:val="001000000000" w:firstRow="0" w:lastRow="0" w:firstColumn="1" w:lastColumn="0" w:oddVBand="0" w:evenVBand="0" w:oddHBand="0" w:evenHBand="0" w:firstRowFirstColumn="0" w:firstRowLastColumn="0" w:lastRowFirstColumn="0" w:lastRowLastColumn="0"/>
            <w:tcW w:w="3235" w:type="dxa"/>
          </w:tcPr>
          <w:p w14:paraId="25ABF418" w14:textId="77777777" w:rsidR="00F82AEE" w:rsidRPr="00FE2DE4" w:rsidRDefault="00F82AEE" w:rsidP="00F82AEE">
            <w:pPr>
              <w:rPr>
                <w:rFonts w:cstheme="minorHAnsi"/>
                <w:b w:val="0"/>
                <w:bCs w:val="0"/>
              </w:rPr>
            </w:pPr>
            <w:r w:rsidRPr="00B12987">
              <w:rPr>
                <w:rFonts w:cstheme="minorHAnsi"/>
                <w:b w:val="0"/>
                <w:bCs w:val="0"/>
              </w:rPr>
              <w:t>Braille for non-STEM materials</w:t>
            </w:r>
          </w:p>
        </w:tc>
        <w:tc>
          <w:tcPr>
            <w:tcW w:w="2340" w:type="dxa"/>
            <w:vAlign w:val="center"/>
          </w:tcPr>
          <w:p w14:paraId="64A1296C" w14:textId="77777777" w:rsidR="00F82AEE" w:rsidRDefault="00F82AEE" w:rsidP="00F82AEE">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1.9</w:t>
            </w:r>
          </w:p>
        </w:tc>
        <w:tc>
          <w:tcPr>
            <w:tcW w:w="2260" w:type="dxa"/>
            <w:vAlign w:val="center"/>
          </w:tcPr>
          <w:p w14:paraId="72133085" w14:textId="18025379" w:rsidR="00F82AEE" w:rsidRPr="00BD3BC7" w:rsidRDefault="00F82AEE" w:rsidP="00F82AEE">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2.6</w:t>
            </w:r>
          </w:p>
        </w:tc>
        <w:tc>
          <w:tcPr>
            <w:tcW w:w="1260" w:type="dxa"/>
            <w:vAlign w:val="center"/>
          </w:tcPr>
          <w:p w14:paraId="714B7EDB" w14:textId="70DDB3A0" w:rsidR="00F82AEE" w:rsidRPr="00BD3BC7" w:rsidRDefault="00F82AEE" w:rsidP="00F82AEE">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20</w:t>
            </w:r>
          </w:p>
        </w:tc>
      </w:tr>
      <w:tr w:rsidR="00F82AEE" w14:paraId="57ACF0F8" w14:textId="77777777" w:rsidTr="009F46F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235" w:type="dxa"/>
            <w:shd w:val="clear" w:color="auto" w:fill="D9E2F3"/>
          </w:tcPr>
          <w:p w14:paraId="254D9062" w14:textId="77777777" w:rsidR="00F82AEE" w:rsidRPr="00FE2DE4" w:rsidRDefault="00F82AEE" w:rsidP="00F82AEE">
            <w:pPr>
              <w:rPr>
                <w:rFonts w:cstheme="minorHAnsi"/>
                <w:b w:val="0"/>
                <w:bCs w:val="0"/>
              </w:rPr>
            </w:pPr>
            <w:r>
              <w:rPr>
                <w:rFonts w:cstheme="minorHAnsi"/>
                <w:b w:val="0"/>
                <w:bCs w:val="0"/>
              </w:rPr>
              <w:t>Large print materials</w:t>
            </w:r>
          </w:p>
        </w:tc>
        <w:tc>
          <w:tcPr>
            <w:tcW w:w="2340" w:type="dxa"/>
            <w:shd w:val="clear" w:color="auto" w:fill="D9E2F3"/>
            <w:vAlign w:val="center"/>
          </w:tcPr>
          <w:p w14:paraId="52C44E82" w14:textId="77777777" w:rsidR="00F82AEE" w:rsidRDefault="00F82AEE" w:rsidP="00F82AEE">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1.1</w:t>
            </w:r>
          </w:p>
        </w:tc>
        <w:tc>
          <w:tcPr>
            <w:tcW w:w="2260" w:type="dxa"/>
            <w:shd w:val="clear" w:color="auto" w:fill="D9E2F3"/>
            <w:vAlign w:val="center"/>
          </w:tcPr>
          <w:p w14:paraId="3C0DA255" w14:textId="4BCD9A8C" w:rsidR="00F82AEE" w:rsidRPr="00BD3BC7" w:rsidRDefault="00F82AEE" w:rsidP="00F82AEE">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1.2</w:t>
            </w:r>
          </w:p>
        </w:tc>
        <w:tc>
          <w:tcPr>
            <w:tcW w:w="1260" w:type="dxa"/>
            <w:shd w:val="clear" w:color="auto" w:fill="D9E2F3"/>
            <w:vAlign w:val="center"/>
          </w:tcPr>
          <w:p w14:paraId="05FE48FF" w14:textId="0440E263" w:rsidR="00F82AEE" w:rsidRPr="00BD3BC7" w:rsidRDefault="00F82AEE" w:rsidP="00F82AEE">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14</w:t>
            </w:r>
          </w:p>
        </w:tc>
      </w:tr>
      <w:tr w:rsidR="00F82AEE" w14:paraId="1E392B88" w14:textId="77777777" w:rsidTr="009F46F4">
        <w:trPr>
          <w:jc w:val="center"/>
        </w:trPr>
        <w:tc>
          <w:tcPr>
            <w:cnfStyle w:val="001000000000" w:firstRow="0" w:lastRow="0" w:firstColumn="1" w:lastColumn="0" w:oddVBand="0" w:evenVBand="0" w:oddHBand="0" w:evenHBand="0" w:firstRowFirstColumn="0" w:firstRowLastColumn="0" w:lastRowFirstColumn="0" w:lastRowLastColumn="0"/>
            <w:tcW w:w="3235" w:type="dxa"/>
          </w:tcPr>
          <w:p w14:paraId="20A54D8F" w14:textId="77777777" w:rsidR="00F82AEE" w:rsidRPr="00FE2DE4" w:rsidRDefault="00F82AEE" w:rsidP="00F82AEE">
            <w:pPr>
              <w:rPr>
                <w:rFonts w:cstheme="minorHAnsi"/>
                <w:b w:val="0"/>
                <w:bCs w:val="0"/>
              </w:rPr>
            </w:pPr>
            <w:r w:rsidRPr="00B12987">
              <w:rPr>
                <w:rFonts w:cstheme="minorHAnsi"/>
                <w:b w:val="0"/>
                <w:bCs w:val="0"/>
              </w:rPr>
              <w:t>Accessible digital text materials</w:t>
            </w:r>
          </w:p>
        </w:tc>
        <w:tc>
          <w:tcPr>
            <w:tcW w:w="2340" w:type="dxa"/>
            <w:vAlign w:val="center"/>
          </w:tcPr>
          <w:p w14:paraId="06054234" w14:textId="77777777" w:rsidR="00F82AEE" w:rsidRDefault="00F82AEE" w:rsidP="00F82AEE">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0.3</w:t>
            </w:r>
          </w:p>
        </w:tc>
        <w:tc>
          <w:tcPr>
            <w:tcW w:w="2260" w:type="dxa"/>
            <w:vAlign w:val="center"/>
          </w:tcPr>
          <w:p w14:paraId="441B7F76" w14:textId="044356F5" w:rsidR="00F82AEE" w:rsidRPr="00E123F1" w:rsidRDefault="00F82AEE" w:rsidP="00F82AEE">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0.5</w:t>
            </w:r>
          </w:p>
        </w:tc>
        <w:tc>
          <w:tcPr>
            <w:tcW w:w="1260" w:type="dxa"/>
            <w:vAlign w:val="center"/>
          </w:tcPr>
          <w:p w14:paraId="2B443D22" w14:textId="48399AC0" w:rsidR="00F82AEE" w:rsidRPr="00E123F1" w:rsidRDefault="00F82AEE" w:rsidP="00F82AEE">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16</w:t>
            </w:r>
          </w:p>
        </w:tc>
      </w:tr>
    </w:tbl>
    <w:p w14:paraId="1CD4CEF4" w14:textId="77777777" w:rsidR="00335412" w:rsidRDefault="00B55C67" w:rsidP="0078456F">
      <w:pPr>
        <w:spacing w:after="0" w:line="276" w:lineRule="auto"/>
        <w:rPr>
          <w:rFonts w:ascii="ZWAdobeF" w:hAnsi="ZWAdobeF" w:cs="ZWAdobeF"/>
          <w:sz w:val="2"/>
          <w:szCs w:val="2"/>
        </w:rPr>
      </w:pPr>
      <w:r>
        <w:rPr>
          <w:rFonts w:ascii="ZWAdobeF" w:hAnsi="ZWAdobeF" w:cs="ZWAdobeF"/>
          <w:sz w:val="2"/>
          <w:szCs w:val="2"/>
        </w:rPr>
        <w:t>111B</w:t>
      </w:r>
    </w:p>
    <w:p w14:paraId="3CCD877C" w14:textId="77777777" w:rsidR="00335412" w:rsidRDefault="00335412" w:rsidP="0078456F">
      <w:pPr>
        <w:spacing w:after="0" w:line="276" w:lineRule="auto"/>
        <w:rPr>
          <w:rFonts w:ascii="ZWAdobeF" w:hAnsi="ZWAdobeF" w:cs="ZWAdobeF"/>
          <w:sz w:val="2"/>
          <w:szCs w:val="2"/>
        </w:rPr>
      </w:pPr>
    </w:p>
    <w:p w14:paraId="547E6AB9" w14:textId="52F939DD" w:rsidR="00335412" w:rsidRPr="006C7F46" w:rsidRDefault="00335412" w:rsidP="00335412">
      <w:pPr>
        <w:pStyle w:val="Heading4"/>
      </w:pPr>
      <w:bookmarkStart w:id="22" w:name="_Toc222903992"/>
      <w:r w:rsidRPr="006C7F46">
        <w:lastRenderedPageBreak/>
        <w:t xml:space="preserve">Table </w:t>
      </w:r>
      <w:r>
        <w:t>5</w:t>
      </w:r>
      <w:r w:rsidRPr="006C7F46">
        <w:t>. Timelines for Delivery</w:t>
      </w:r>
      <w:r>
        <w:t xml:space="preserve"> When </w:t>
      </w:r>
      <w:r>
        <w:t xml:space="preserve">Materials </w:t>
      </w:r>
      <w:r>
        <w:t xml:space="preserve">are </w:t>
      </w:r>
      <w:r>
        <w:t xml:space="preserve">Added to the </w:t>
      </w:r>
      <w:r>
        <w:t xml:space="preserve">NIMAC </w:t>
      </w:r>
      <w:r>
        <w:t>Watchlist</w:t>
      </w:r>
      <w:r>
        <w:rPr>
          <w:rFonts w:ascii="ZWAdobeF" w:hAnsi="ZWAdobeF" w:cs="ZWAdobeF"/>
          <w:i w:val="0"/>
          <w:color w:val="auto"/>
          <w:sz w:val="2"/>
          <w:szCs w:val="2"/>
        </w:rPr>
        <w:t>23F</w:t>
      </w:r>
      <w:r w:rsidRPr="006C7F46">
        <w:rPr>
          <w:rStyle w:val="FootnoteReference"/>
          <w:rFonts w:cs="Calibri"/>
          <w:smallCaps/>
          <w:color w:val="44546A" w:themeColor="text2"/>
        </w:rPr>
        <w:footnoteReference w:id="25"/>
      </w:r>
      <w:bookmarkEnd w:id="22"/>
    </w:p>
    <w:p w14:paraId="10D12156" w14:textId="65831BC0" w:rsidR="00335412" w:rsidRPr="00C1067E" w:rsidRDefault="00335412" w:rsidP="00335412">
      <w:pPr>
        <w:spacing w:line="240" w:lineRule="auto"/>
        <w:jc w:val="center"/>
        <w:rPr>
          <w:color w:val="000000" w:themeColor="text1"/>
        </w:rPr>
      </w:pPr>
      <w:r>
        <w:rPr>
          <w:rFonts w:ascii="ZWAdobeF" w:hAnsi="ZWAdobeF" w:cs="ZWAdobeF"/>
          <w:sz w:val="2"/>
          <w:szCs w:val="2"/>
        </w:rPr>
        <w:t>110</w:t>
      </w:r>
      <w:proofErr w:type="gramStart"/>
      <w:r>
        <w:rPr>
          <w:rFonts w:ascii="ZWAdobeF" w:hAnsi="ZWAdobeF" w:cs="ZWAdobeF"/>
          <w:sz w:val="2"/>
          <w:szCs w:val="2"/>
        </w:rPr>
        <w:t>B</w:t>
      </w:r>
      <w:r w:rsidRPr="006C7F46">
        <w:rPr>
          <w:color w:val="000000" w:themeColor="text1"/>
        </w:rPr>
        <w:t>(</w:t>
      </w:r>
      <w:proofErr w:type="gramEnd"/>
      <w:r w:rsidRPr="006C7F46">
        <w:rPr>
          <w:i/>
          <w:iCs/>
          <w:color w:val="000000" w:themeColor="text1"/>
        </w:rPr>
        <w:t>n</w:t>
      </w:r>
      <w:r w:rsidRPr="006C7F46">
        <w:rPr>
          <w:color w:val="000000" w:themeColor="text1"/>
        </w:rPr>
        <w:t xml:space="preserve"> = </w:t>
      </w:r>
      <w:r>
        <w:rPr>
          <w:color w:val="000000" w:themeColor="text1"/>
        </w:rPr>
        <w:t>15</w:t>
      </w:r>
      <w:r w:rsidRPr="006C7F46">
        <w:rPr>
          <w:color w:val="000000" w:themeColor="text1"/>
        </w:rPr>
        <w:t>)</w:t>
      </w:r>
    </w:p>
    <w:tbl>
      <w:tblPr>
        <w:tblStyle w:val="GridTable4"/>
        <w:tblW w:w="9095" w:type="dxa"/>
        <w:jc w:val="center"/>
        <w:tblLook w:val="04A0" w:firstRow="1" w:lastRow="0" w:firstColumn="1" w:lastColumn="0" w:noHBand="0" w:noVBand="1"/>
        <w:tblCaption w:val="Table 4. Timelines for Delivery"/>
        <w:tblDescription w:val="Table 4 presents delivery timelines, in months, by accessible format when NIMAS files are in the NIMAC system and when materials are added to the NIMAC watchlist (n = 34). For braille STEM materials, the median delivery time is 2.0 months and the average is 3.3 months when files are in NIMAC (n = 21); the median is 3.4 months and the average is 4.3 months when added to the watchlist (n = 11). For braille non-STEM materials, the median is 1.9 months and the average is 2.6 months in NIMAC (n = 20); the median is 2.4 months and the average is 2.6 months on the watchlist (n = 10). For large print materials, the median is 1.1 months and the average is 1.2 months in NIMAC (n = 14); the median is 1.8 months and the average is 2.7 months on the watchlist (n = 5). For accessible digital text materials, the median is 0.3 months and the average is 0.5 months in NIMAC (n = 16); the median is 0.8 months and the average is 0.6 months on the watchlist (n = 5)."/>
      </w:tblPr>
      <w:tblGrid>
        <w:gridCol w:w="3235"/>
        <w:gridCol w:w="2340"/>
        <w:gridCol w:w="2260"/>
        <w:gridCol w:w="1260"/>
      </w:tblGrid>
      <w:tr w:rsidR="00BE232F" w:rsidRPr="00CD254C" w14:paraId="62E800D7" w14:textId="77777777" w:rsidTr="00A80213">
        <w:trPr>
          <w:cnfStyle w:val="100000000000" w:firstRow="1" w:lastRow="0" w:firstColumn="0" w:lastColumn="0" w:oddVBand="0" w:evenVBand="0" w:oddHBand="0" w:evenHBand="0" w:firstRowFirstColumn="0" w:firstRowLastColumn="0" w:lastRowFirstColumn="0" w:lastRowLastColumn="0"/>
          <w:tblHeader/>
          <w:jc w:val="center"/>
        </w:trPr>
        <w:tc>
          <w:tcPr>
            <w:cnfStyle w:val="001000000000" w:firstRow="0" w:lastRow="0" w:firstColumn="1" w:lastColumn="0" w:oddVBand="0" w:evenVBand="0" w:oddHBand="0" w:evenHBand="0" w:firstRowFirstColumn="0" w:firstRowLastColumn="0" w:lastRowFirstColumn="0" w:lastRowLastColumn="0"/>
            <w:tcW w:w="3235" w:type="dxa"/>
            <w:tcBorders>
              <w:left w:val="single" w:sz="4" w:space="0" w:color="auto"/>
              <w:bottom w:val="single" w:sz="4" w:space="0" w:color="auto"/>
              <w:right w:val="single" w:sz="4" w:space="0" w:color="auto"/>
            </w:tcBorders>
            <w:shd w:val="clear" w:color="auto" w:fill="44546A"/>
            <w:vAlign w:val="center"/>
          </w:tcPr>
          <w:p w14:paraId="44B7EBA7" w14:textId="77777777" w:rsidR="00BE232F" w:rsidRPr="00FE2DE4" w:rsidRDefault="00BE232F" w:rsidP="00A80213">
            <w:pPr>
              <w:jc w:val="center"/>
              <w:rPr>
                <w:rFonts w:cstheme="minorHAnsi"/>
                <w:b w:val="0"/>
                <w:bCs w:val="0"/>
              </w:rPr>
            </w:pPr>
            <w:r w:rsidRPr="002C7A0B">
              <w:rPr>
                <w:rFonts w:cstheme="minorHAnsi"/>
              </w:rPr>
              <w:t>Accessible Format</w:t>
            </w:r>
          </w:p>
        </w:tc>
        <w:tc>
          <w:tcPr>
            <w:tcW w:w="2340" w:type="dxa"/>
            <w:tcBorders>
              <w:top w:val="single" w:sz="4" w:space="0" w:color="auto"/>
              <w:left w:val="single" w:sz="4" w:space="0" w:color="auto"/>
              <w:bottom w:val="single" w:sz="4" w:space="0" w:color="auto"/>
              <w:right w:val="single" w:sz="4" w:space="0" w:color="auto"/>
            </w:tcBorders>
            <w:shd w:val="clear" w:color="auto" w:fill="44546A"/>
          </w:tcPr>
          <w:p w14:paraId="5ED84653" w14:textId="77777777" w:rsidR="00BE232F" w:rsidRDefault="00BE232F" w:rsidP="00A80213">
            <w:pPr>
              <w:jc w:val="center"/>
              <w:cnfStyle w:val="100000000000" w:firstRow="1" w:lastRow="0" w:firstColumn="0" w:lastColumn="0" w:oddVBand="0" w:evenVBand="0" w:oddHBand="0" w:evenHBand="0" w:firstRowFirstColumn="0" w:firstRowLastColumn="0" w:lastRowFirstColumn="0" w:lastRowLastColumn="0"/>
              <w:rPr>
                <w:rFonts w:cstheme="minorHAnsi"/>
                <w:b w:val="0"/>
                <w:bCs w:val="0"/>
              </w:rPr>
            </w:pPr>
            <w:r>
              <w:rPr>
                <w:rFonts w:cstheme="minorHAnsi"/>
              </w:rPr>
              <w:t xml:space="preserve">Median </w:t>
            </w:r>
          </w:p>
          <w:p w14:paraId="2A0EC422" w14:textId="77777777" w:rsidR="00BE232F" w:rsidRPr="00AF762E" w:rsidRDefault="00BE232F" w:rsidP="00A80213">
            <w:pPr>
              <w:jc w:val="center"/>
              <w:cnfStyle w:val="100000000000" w:firstRow="1" w:lastRow="0" w:firstColumn="0" w:lastColumn="0" w:oddVBand="0" w:evenVBand="0" w:oddHBand="0" w:evenHBand="0" w:firstRowFirstColumn="0" w:firstRowLastColumn="0" w:lastRowFirstColumn="0" w:lastRowLastColumn="0"/>
              <w:rPr>
                <w:rFonts w:cstheme="minorHAnsi"/>
                <w:b w:val="0"/>
                <w:bCs w:val="0"/>
              </w:rPr>
            </w:pPr>
            <w:r>
              <w:rPr>
                <w:rFonts w:cstheme="minorHAnsi"/>
              </w:rPr>
              <w:t>(Number of Months)</w:t>
            </w:r>
          </w:p>
        </w:tc>
        <w:tc>
          <w:tcPr>
            <w:tcW w:w="2260" w:type="dxa"/>
            <w:tcBorders>
              <w:top w:val="single" w:sz="4" w:space="0" w:color="auto"/>
              <w:left w:val="single" w:sz="4" w:space="0" w:color="auto"/>
              <w:bottom w:val="single" w:sz="4" w:space="0" w:color="auto"/>
              <w:right w:val="single" w:sz="4" w:space="0" w:color="auto"/>
            </w:tcBorders>
            <w:shd w:val="clear" w:color="auto" w:fill="44546A"/>
          </w:tcPr>
          <w:p w14:paraId="138707FF" w14:textId="77777777" w:rsidR="00BE232F" w:rsidRDefault="00BE232F" w:rsidP="00A80213">
            <w:pPr>
              <w:jc w:val="center"/>
              <w:cnfStyle w:val="100000000000" w:firstRow="1" w:lastRow="0" w:firstColumn="0" w:lastColumn="0" w:oddVBand="0" w:evenVBand="0" w:oddHBand="0" w:evenHBand="0" w:firstRowFirstColumn="0" w:firstRowLastColumn="0" w:lastRowFirstColumn="0" w:lastRowLastColumn="0"/>
              <w:rPr>
                <w:rFonts w:cstheme="minorHAnsi"/>
                <w:b w:val="0"/>
                <w:bCs w:val="0"/>
              </w:rPr>
            </w:pPr>
            <w:r>
              <w:rPr>
                <w:rFonts w:cstheme="minorHAnsi"/>
              </w:rPr>
              <w:t>Average</w:t>
            </w:r>
          </w:p>
          <w:p w14:paraId="3E4A8B97" w14:textId="77777777" w:rsidR="00BE232F" w:rsidRPr="00AF762E" w:rsidRDefault="00BE232F" w:rsidP="00A80213">
            <w:pPr>
              <w:jc w:val="center"/>
              <w:cnfStyle w:val="100000000000" w:firstRow="1" w:lastRow="0" w:firstColumn="0" w:lastColumn="0" w:oddVBand="0" w:evenVBand="0" w:oddHBand="0" w:evenHBand="0" w:firstRowFirstColumn="0" w:firstRowLastColumn="0" w:lastRowFirstColumn="0" w:lastRowLastColumn="0"/>
              <w:rPr>
                <w:rFonts w:cstheme="minorHAnsi"/>
                <w:b w:val="0"/>
                <w:bCs w:val="0"/>
              </w:rPr>
            </w:pPr>
            <w:r>
              <w:rPr>
                <w:rFonts w:cstheme="minorHAnsi"/>
              </w:rPr>
              <w:t>(Number of Months)</w:t>
            </w:r>
          </w:p>
        </w:tc>
        <w:tc>
          <w:tcPr>
            <w:tcW w:w="1260" w:type="dxa"/>
            <w:tcBorders>
              <w:top w:val="single" w:sz="4" w:space="0" w:color="auto"/>
              <w:left w:val="single" w:sz="4" w:space="0" w:color="auto"/>
              <w:bottom w:val="single" w:sz="4" w:space="0" w:color="auto"/>
              <w:right w:val="single" w:sz="4" w:space="0" w:color="auto"/>
            </w:tcBorders>
            <w:shd w:val="clear" w:color="auto" w:fill="44546A"/>
            <w:vAlign w:val="center"/>
          </w:tcPr>
          <w:p w14:paraId="4CDA0469" w14:textId="77777777" w:rsidR="00BE232F" w:rsidRPr="00BF023A" w:rsidRDefault="00BE232F" w:rsidP="00A80213">
            <w:pPr>
              <w:jc w:val="center"/>
              <w:cnfStyle w:val="100000000000" w:firstRow="1" w:lastRow="0" w:firstColumn="0" w:lastColumn="0" w:oddVBand="0" w:evenVBand="0" w:oddHBand="0" w:evenHBand="0" w:firstRowFirstColumn="0" w:firstRowLastColumn="0" w:lastRowFirstColumn="0" w:lastRowLastColumn="0"/>
              <w:rPr>
                <w:rFonts w:cstheme="minorHAnsi"/>
                <w:b w:val="0"/>
                <w:bCs w:val="0"/>
                <w:i/>
                <w:iCs/>
              </w:rPr>
            </w:pPr>
            <w:r w:rsidRPr="00BF023A">
              <w:rPr>
                <w:rFonts w:cstheme="minorHAnsi"/>
                <w:i/>
                <w:iCs/>
              </w:rPr>
              <w:t>n</w:t>
            </w:r>
          </w:p>
        </w:tc>
      </w:tr>
      <w:tr w:rsidR="00BE232F" w:rsidRPr="00CD254C" w14:paraId="0854CA9C" w14:textId="77777777" w:rsidTr="00A8021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235" w:type="dxa"/>
            <w:tcBorders>
              <w:top w:val="single" w:sz="4" w:space="0" w:color="auto"/>
            </w:tcBorders>
            <w:shd w:val="clear" w:color="auto" w:fill="D9E2F3"/>
          </w:tcPr>
          <w:p w14:paraId="797529FE" w14:textId="77777777" w:rsidR="00BE232F" w:rsidRPr="00FE2DE4" w:rsidRDefault="00BE232F" w:rsidP="00BE232F">
            <w:pPr>
              <w:rPr>
                <w:rFonts w:cstheme="minorHAnsi"/>
                <w:b w:val="0"/>
                <w:bCs w:val="0"/>
              </w:rPr>
            </w:pPr>
            <w:r w:rsidRPr="00BD3BC7">
              <w:rPr>
                <w:rFonts w:cstheme="minorHAnsi"/>
                <w:b w:val="0"/>
                <w:bCs w:val="0"/>
              </w:rPr>
              <w:t>Braille for STEM materials</w:t>
            </w:r>
          </w:p>
        </w:tc>
        <w:tc>
          <w:tcPr>
            <w:tcW w:w="2340" w:type="dxa"/>
            <w:tcBorders>
              <w:top w:val="single" w:sz="4" w:space="0" w:color="auto"/>
            </w:tcBorders>
            <w:shd w:val="clear" w:color="auto" w:fill="D9E2F3"/>
            <w:vAlign w:val="center"/>
          </w:tcPr>
          <w:p w14:paraId="1ED8F913" w14:textId="54F688A7" w:rsidR="00BE232F" w:rsidRDefault="00BE232F" w:rsidP="00BE232F">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3.4</w:t>
            </w:r>
          </w:p>
        </w:tc>
        <w:tc>
          <w:tcPr>
            <w:tcW w:w="2260" w:type="dxa"/>
            <w:tcBorders>
              <w:top w:val="single" w:sz="4" w:space="0" w:color="auto"/>
            </w:tcBorders>
            <w:shd w:val="clear" w:color="auto" w:fill="D9E2F3"/>
            <w:vAlign w:val="center"/>
          </w:tcPr>
          <w:p w14:paraId="04D814DD" w14:textId="47D37816" w:rsidR="00BE232F" w:rsidRPr="00CD254C" w:rsidRDefault="00BE232F" w:rsidP="00BE232F">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4.3</w:t>
            </w:r>
          </w:p>
        </w:tc>
        <w:tc>
          <w:tcPr>
            <w:tcW w:w="1260" w:type="dxa"/>
            <w:tcBorders>
              <w:top w:val="single" w:sz="4" w:space="0" w:color="auto"/>
            </w:tcBorders>
            <w:shd w:val="clear" w:color="auto" w:fill="D9E2F3"/>
            <w:vAlign w:val="center"/>
          </w:tcPr>
          <w:p w14:paraId="70A51648" w14:textId="619C8C63" w:rsidR="00BE232F" w:rsidRPr="00CD254C" w:rsidRDefault="00BE232F" w:rsidP="00BE232F">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11</w:t>
            </w:r>
          </w:p>
        </w:tc>
      </w:tr>
      <w:tr w:rsidR="00BE232F" w14:paraId="6421B0BD" w14:textId="77777777" w:rsidTr="00A80213">
        <w:trPr>
          <w:jc w:val="center"/>
        </w:trPr>
        <w:tc>
          <w:tcPr>
            <w:cnfStyle w:val="001000000000" w:firstRow="0" w:lastRow="0" w:firstColumn="1" w:lastColumn="0" w:oddVBand="0" w:evenVBand="0" w:oddHBand="0" w:evenHBand="0" w:firstRowFirstColumn="0" w:firstRowLastColumn="0" w:lastRowFirstColumn="0" w:lastRowLastColumn="0"/>
            <w:tcW w:w="3235" w:type="dxa"/>
          </w:tcPr>
          <w:p w14:paraId="37ED7F4A" w14:textId="77777777" w:rsidR="00BE232F" w:rsidRPr="00FE2DE4" w:rsidRDefault="00BE232F" w:rsidP="00BE232F">
            <w:pPr>
              <w:rPr>
                <w:rFonts w:cstheme="minorHAnsi"/>
                <w:b w:val="0"/>
                <w:bCs w:val="0"/>
              </w:rPr>
            </w:pPr>
            <w:r w:rsidRPr="00B12987">
              <w:rPr>
                <w:rFonts w:cstheme="minorHAnsi"/>
                <w:b w:val="0"/>
                <w:bCs w:val="0"/>
              </w:rPr>
              <w:t>Braille for non-STEM materials</w:t>
            </w:r>
          </w:p>
        </w:tc>
        <w:tc>
          <w:tcPr>
            <w:tcW w:w="2340" w:type="dxa"/>
            <w:vAlign w:val="center"/>
          </w:tcPr>
          <w:p w14:paraId="2D3911B3" w14:textId="3CECFED3" w:rsidR="00BE232F" w:rsidRDefault="00BE232F" w:rsidP="00BE232F">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2.4</w:t>
            </w:r>
          </w:p>
        </w:tc>
        <w:tc>
          <w:tcPr>
            <w:tcW w:w="2260" w:type="dxa"/>
            <w:vAlign w:val="center"/>
          </w:tcPr>
          <w:p w14:paraId="0168D560" w14:textId="647150C7" w:rsidR="00BE232F" w:rsidRPr="00BD3BC7" w:rsidRDefault="00BE232F" w:rsidP="00BE232F">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2.6</w:t>
            </w:r>
          </w:p>
        </w:tc>
        <w:tc>
          <w:tcPr>
            <w:tcW w:w="1260" w:type="dxa"/>
            <w:vAlign w:val="center"/>
          </w:tcPr>
          <w:p w14:paraId="2DCE7315" w14:textId="08B14185" w:rsidR="00BE232F" w:rsidRPr="00BD3BC7" w:rsidRDefault="00BE232F" w:rsidP="00BE232F">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10</w:t>
            </w:r>
          </w:p>
        </w:tc>
      </w:tr>
      <w:tr w:rsidR="00BE232F" w14:paraId="4C70D60D" w14:textId="77777777" w:rsidTr="00A8021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235" w:type="dxa"/>
            <w:shd w:val="clear" w:color="auto" w:fill="D9E2F3"/>
          </w:tcPr>
          <w:p w14:paraId="7B862C45" w14:textId="77777777" w:rsidR="00BE232F" w:rsidRPr="00FE2DE4" w:rsidRDefault="00BE232F" w:rsidP="00BE232F">
            <w:pPr>
              <w:rPr>
                <w:rFonts w:cstheme="minorHAnsi"/>
                <w:b w:val="0"/>
                <w:bCs w:val="0"/>
              </w:rPr>
            </w:pPr>
            <w:r>
              <w:rPr>
                <w:rFonts w:cstheme="minorHAnsi"/>
                <w:b w:val="0"/>
                <w:bCs w:val="0"/>
              </w:rPr>
              <w:t>Large print materials</w:t>
            </w:r>
          </w:p>
        </w:tc>
        <w:tc>
          <w:tcPr>
            <w:tcW w:w="2340" w:type="dxa"/>
            <w:shd w:val="clear" w:color="auto" w:fill="D9E2F3"/>
            <w:vAlign w:val="center"/>
          </w:tcPr>
          <w:p w14:paraId="655D40E9" w14:textId="7F3CAA95" w:rsidR="00BE232F" w:rsidRDefault="00BE232F" w:rsidP="00BE232F">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1.8</w:t>
            </w:r>
          </w:p>
        </w:tc>
        <w:tc>
          <w:tcPr>
            <w:tcW w:w="2260" w:type="dxa"/>
            <w:shd w:val="clear" w:color="auto" w:fill="D9E2F3"/>
            <w:vAlign w:val="center"/>
          </w:tcPr>
          <w:p w14:paraId="45900F93" w14:textId="3DA13492" w:rsidR="00BE232F" w:rsidRPr="00BD3BC7" w:rsidRDefault="00BE232F" w:rsidP="00BE232F">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2.7</w:t>
            </w:r>
          </w:p>
        </w:tc>
        <w:tc>
          <w:tcPr>
            <w:tcW w:w="1260" w:type="dxa"/>
            <w:shd w:val="clear" w:color="auto" w:fill="D9E2F3"/>
            <w:vAlign w:val="center"/>
          </w:tcPr>
          <w:p w14:paraId="42B24794" w14:textId="5274C2DD" w:rsidR="00BE232F" w:rsidRPr="00BD3BC7" w:rsidRDefault="00BE232F" w:rsidP="00BE232F">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5</w:t>
            </w:r>
          </w:p>
        </w:tc>
      </w:tr>
      <w:tr w:rsidR="00BE232F" w14:paraId="7F32C832" w14:textId="77777777" w:rsidTr="00A80213">
        <w:trPr>
          <w:jc w:val="center"/>
        </w:trPr>
        <w:tc>
          <w:tcPr>
            <w:cnfStyle w:val="001000000000" w:firstRow="0" w:lastRow="0" w:firstColumn="1" w:lastColumn="0" w:oddVBand="0" w:evenVBand="0" w:oddHBand="0" w:evenHBand="0" w:firstRowFirstColumn="0" w:firstRowLastColumn="0" w:lastRowFirstColumn="0" w:lastRowLastColumn="0"/>
            <w:tcW w:w="3235" w:type="dxa"/>
          </w:tcPr>
          <w:p w14:paraId="1FD09009" w14:textId="77777777" w:rsidR="00BE232F" w:rsidRPr="00FE2DE4" w:rsidRDefault="00BE232F" w:rsidP="00BE232F">
            <w:pPr>
              <w:rPr>
                <w:rFonts w:cstheme="minorHAnsi"/>
                <w:b w:val="0"/>
                <w:bCs w:val="0"/>
              </w:rPr>
            </w:pPr>
            <w:r w:rsidRPr="00B12987">
              <w:rPr>
                <w:rFonts w:cstheme="minorHAnsi"/>
                <w:b w:val="0"/>
                <w:bCs w:val="0"/>
              </w:rPr>
              <w:t>Accessible digital text materials</w:t>
            </w:r>
          </w:p>
        </w:tc>
        <w:tc>
          <w:tcPr>
            <w:tcW w:w="2340" w:type="dxa"/>
            <w:vAlign w:val="center"/>
          </w:tcPr>
          <w:p w14:paraId="1F325E8C" w14:textId="7FC26188" w:rsidR="00BE232F" w:rsidRDefault="00BE232F" w:rsidP="00BE232F">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0.8</w:t>
            </w:r>
          </w:p>
        </w:tc>
        <w:tc>
          <w:tcPr>
            <w:tcW w:w="2260" w:type="dxa"/>
            <w:vAlign w:val="center"/>
          </w:tcPr>
          <w:p w14:paraId="6A61D9F4" w14:textId="18B7F183" w:rsidR="00BE232F" w:rsidRPr="00E123F1" w:rsidRDefault="00BE232F" w:rsidP="00BE232F">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0.6</w:t>
            </w:r>
          </w:p>
        </w:tc>
        <w:tc>
          <w:tcPr>
            <w:tcW w:w="1260" w:type="dxa"/>
            <w:vAlign w:val="center"/>
          </w:tcPr>
          <w:p w14:paraId="46F34F37" w14:textId="46D3D733" w:rsidR="00BE232F" w:rsidRPr="00E123F1" w:rsidRDefault="00BE232F" w:rsidP="00BE232F">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5</w:t>
            </w:r>
          </w:p>
        </w:tc>
      </w:tr>
    </w:tbl>
    <w:p w14:paraId="535F467B" w14:textId="77777777" w:rsidR="00335412" w:rsidRDefault="00335412" w:rsidP="0078456F">
      <w:pPr>
        <w:spacing w:after="0" w:line="276" w:lineRule="auto"/>
        <w:rPr>
          <w:rFonts w:ascii="Calibri" w:hAnsi="Calibri" w:cs="Calibri"/>
          <w:sz w:val="24"/>
          <w:szCs w:val="24"/>
        </w:rPr>
      </w:pPr>
    </w:p>
    <w:p w14:paraId="522C68B1" w14:textId="0C576A80" w:rsidR="00377CC0" w:rsidRDefault="00C01911" w:rsidP="0078456F">
      <w:pPr>
        <w:spacing w:after="0" w:line="276" w:lineRule="auto"/>
        <w:rPr>
          <w:rFonts w:ascii="Calibri" w:hAnsi="Calibri" w:cs="Calibri"/>
          <w:sz w:val="24"/>
          <w:szCs w:val="24"/>
        </w:rPr>
      </w:pPr>
      <w:r>
        <w:rPr>
          <w:rFonts w:ascii="Calibri" w:hAnsi="Calibri" w:cs="Calibri"/>
          <w:sz w:val="24"/>
          <w:szCs w:val="24"/>
        </w:rPr>
        <w:t>Survey r</w:t>
      </w:r>
      <w:r w:rsidR="006C7F46">
        <w:rPr>
          <w:rFonts w:ascii="Calibri" w:hAnsi="Calibri" w:cs="Calibri"/>
          <w:sz w:val="24"/>
          <w:szCs w:val="24"/>
        </w:rPr>
        <w:t xml:space="preserve">espondents </w:t>
      </w:r>
      <w:r w:rsidR="008D1F84">
        <w:rPr>
          <w:rFonts w:ascii="Calibri" w:hAnsi="Calibri" w:cs="Calibri"/>
          <w:sz w:val="24"/>
          <w:szCs w:val="24"/>
        </w:rPr>
        <w:t>provide</w:t>
      </w:r>
      <w:r>
        <w:rPr>
          <w:rFonts w:ascii="Calibri" w:hAnsi="Calibri" w:cs="Calibri"/>
          <w:sz w:val="24"/>
          <w:szCs w:val="24"/>
        </w:rPr>
        <w:t>d</w:t>
      </w:r>
      <w:r w:rsidR="008D1F84">
        <w:rPr>
          <w:rFonts w:ascii="Calibri" w:hAnsi="Calibri" w:cs="Calibri"/>
          <w:sz w:val="24"/>
          <w:szCs w:val="24"/>
        </w:rPr>
        <w:t xml:space="preserve"> additional comments about the timeline for delivery of each accessible format</w:t>
      </w:r>
      <w:r>
        <w:rPr>
          <w:rFonts w:ascii="Calibri" w:hAnsi="Calibri" w:cs="Calibri"/>
          <w:sz w:val="24"/>
          <w:szCs w:val="24"/>
        </w:rPr>
        <w:t>, yielding</w:t>
      </w:r>
      <w:r w:rsidR="00673523">
        <w:rPr>
          <w:rFonts w:ascii="Calibri" w:hAnsi="Calibri" w:cs="Calibri"/>
          <w:sz w:val="24"/>
          <w:szCs w:val="24"/>
        </w:rPr>
        <w:t xml:space="preserve"> </w:t>
      </w:r>
      <w:r>
        <w:rPr>
          <w:rFonts w:ascii="Calibri" w:hAnsi="Calibri" w:cs="Calibri"/>
          <w:sz w:val="24"/>
          <w:szCs w:val="24"/>
        </w:rPr>
        <w:t>a</w:t>
      </w:r>
      <w:r w:rsidR="002C7A0B">
        <w:rPr>
          <w:rFonts w:ascii="Calibri" w:hAnsi="Calibri" w:cs="Calibri"/>
          <w:sz w:val="24"/>
          <w:szCs w:val="24"/>
        </w:rPr>
        <w:t xml:space="preserve"> total of </w:t>
      </w:r>
      <w:r w:rsidR="004E5389">
        <w:rPr>
          <w:rFonts w:ascii="Calibri" w:hAnsi="Calibri" w:cs="Calibri"/>
          <w:sz w:val="24"/>
          <w:szCs w:val="24"/>
        </w:rPr>
        <w:t>40 excerpts.</w:t>
      </w:r>
      <w:r w:rsidR="00B55C67">
        <w:rPr>
          <w:rFonts w:ascii="ZWAdobeF" w:hAnsi="ZWAdobeF" w:cs="ZWAdobeF"/>
          <w:sz w:val="2"/>
          <w:szCs w:val="2"/>
        </w:rPr>
        <w:t>24F</w:t>
      </w:r>
      <w:r w:rsidR="004C2F81">
        <w:rPr>
          <w:rStyle w:val="FootnoteReference"/>
          <w:rFonts w:ascii="Calibri" w:hAnsi="Calibri" w:cs="Calibri"/>
          <w:sz w:val="24"/>
          <w:szCs w:val="24"/>
        </w:rPr>
        <w:footnoteReference w:id="26"/>
      </w:r>
      <w:r w:rsidR="002C7A0B">
        <w:rPr>
          <w:rFonts w:ascii="Calibri" w:hAnsi="Calibri" w:cs="Calibri"/>
          <w:sz w:val="24"/>
          <w:szCs w:val="24"/>
        </w:rPr>
        <w:t xml:space="preserve"> </w:t>
      </w:r>
      <w:r w:rsidR="009E68A9">
        <w:rPr>
          <w:rFonts w:ascii="Calibri" w:hAnsi="Calibri" w:cs="Calibri"/>
          <w:sz w:val="24"/>
          <w:szCs w:val="24"/>
        </w:rPr>
        <w:t>Nineteen</w:t>
      </w:r>
      <w:r w:rsidR="002C7A0B">
        <w:rPr>
          <w:rFonts w:ascii="Calibri" w:hAnsi="Calibri" w:cs="Calibri"/>
          <w:sz w:val="24"/>
          <w:szCs w:val="24"/>
        </w:rPr>
        <w:t xml:space="preserve"> of these </w:t>
      </w:r>
      <w:r w:rsidR="004E5389">
        <w:rPr>
          <w:rFonts w:ascii="Calibri" w:hAnsi="Calibri" w:cs="Calibri"/>
          <w:sz w:val="24"/>
          <w:szCs w:val="24"/>
        </w:rPr>
        <w:t>excerpts</w:t>
      </w:r>
      <w:r w:rsidR="002C7A0B">
        <w:rPr>
          <w:rFonts w:ascii="Calibri" w:hAnsi="Calibri" w:cs="Calibri"/>
          <w:sz w:val="24"/>
          <w:szCs w:val="24"/>
        </w:rPr>
        <w:t xml:space="preserve"> (</w:t>
      </w:r>
      <w:r w:rsidR="004E5389">
        <w:rPr>
          <w:rFonts w:ascii="Calibri" w:hAnsi="Calibri" w:cs="Calibri"/>
          <w:sz w:val="24"/>
          <w:szCs w:val="24"/>
        </w:rPr>
        <w:t>48</w:t>
      </w:r>
      <w:r w:rsidR="002C7A0B">
        <w:rPr>
          <w:rFonts w:ascii="Calibri" w:hAnsi="Calibri" w:cs="Calibri"/>
          <w:sz w:val="24"/>
          <w:szCs w:val="24"/>
        </w:rPr>
        <w:t xml:space="preserve">%) </w:t>
      </w:r>
      <w:r w:rsidR="00463367">
        <w:rPr>
          <w:rFonts w:ascii="Calibri" w:hAnsi="Calibri" w:cs="Calibri"/>
          <w:sz w:val="24"/>
          <w:szCs w:val="24"/>
        </w:rPr>
        <w:t>described how</w:t>
      </w:r>
      <w:r w:rsidR="002C7A0B">
        <w:rPr>
          <w:rFonts w:ascii="Calibri" w:hAnsi="Calibri" w:cs="Calibri"/>
          <w:sz w:val="24"/>
          <w:szCs w:val="24"/>
        </w:rPr>
        <w:t xml:space="preserve"> timelines vary based on the length and complexity of the material</w:t>
      </w:r>
      <w:r w:rsidR="00463367">
        <w:rPr>
          <w:rFonts w:ascii="Calibri" w:hAnsi="Calibri" w:cs="Calibri"/>
          <w:sz w:val="24"/>
          <w:szCs w:val="24"/>
        </w:rPr>
        <w:t>.</w:t>
      </w:r>
      <w:r w:rsidR="00463367" w:rsidRPr="00463367">
        <w:rPr>
          <w:rFonts w:ascii="Calibri" w:hAnsi="Calibri" w:cs="Calibri"/>
          <w:sz w:val="24"/>
          <w:szCs w:val="24"/>
        </w:rPr>
        <w:t xml:space="preserve"> </w:t>
      </w:r>
      <w:r w:rsidR="00130799">
        <w:rPr>
          <w:rFonts w:ascii="Calibri" w:hAnsi="Calibri" w:cs="Calibri"/>
          <w:sz w:val="24"/>
          <w:szCs w:val="24"/>
        </w:rPr>
        <w:t>Respondents described</w:t>
      </w:r>
      <w:r w:rsidR="00463367">
        <w:rPr>
          <w:rFonts w:ascii="Calibri" w:hAnsi="Calibri" w:cs="Calibri"/>
          <w:sz w:val="24"/>
          <w:szCs w:val="24"/>
        </w:rPr>
        <w:t xml:space="preserve"> the challenge of determining specific </w:t>
      </w:r>
      <w:r w:rsidR="001A2D17">
        <w:rPr>
          <w:rFonts w:ascii="Calibri" w:hAnsi="Calibri" w:cs="Calibri"/>
          <w:sz w:val="24"/>
          <w:szCs w:val="24"/>
        </w:rPr>
        <w:t xml:space="preserve">delivery </w:t>
      </w:r>
      <w:r w:rsidR="00463367">
        <w:rPr>
          <w:rFonts w:ascii="Calibri" w:hAnsi="Calibri" w:cs="Calibri"/>
          <w:sz w:val="24"/>
          <w:szCs w:val="24"/>
        </w:rPr>
        <w:t xml:space="preserve">timelines for broad categories of accessible formats (e.g., </w:t>
      </w:r>
      <w:r w:rsidR="002D0BBF">
        <w:rPr>
          <w:rFonts w:ascii="Calibri" w:hAnsi="Calibri" w:cs="Calibri"/>
          <w:sz w:val="24"/>
          <w:szCs w:val="24"/>
        </w:rPr>
        <w:t>b</w:t>
      </w:r>
      <w:r w:rsidR="00463367">
        <w:rPr>
          <w:rFonts w:ascii="Calibri" w:hAnsi="Calibri" w:cs="Calibri"/>
          <w:sz w:val="24"/>
          <w:szCs w:val="24"/>
        </w:rPr>
        <w:t xml:space="preserve">raille for STEM, </w:t>
      </w:r>
      <w:r w:rsidR="00507DD7">
        <w:rPr>
          <w:rFonts w:ascii="Calibri" w:hAnsi="Calibri" w:cs="Calibri"/>
          <w:sz w:val="24"/>
          <w:szCs w:val="24"/>
        </w:rPr>
        <w:t>l</w:t>
      </w:r>
      <w:r w:rsidR="00463367">
        <w:rPr>
          <w:rFonts w:ascii="Calibri" w:hAnsi="Calibri" w:cs="Calibri"/>
          <w:sz w:val="24"/>
          <w:szCs w:val="24"/>
        </w:rPr>
        <w:t>arge print)</w:t>
      </w:r>
      <w:r w:rsidR="00130799">
        <w:rPr>
          <w:rFonts w:ascii="Calibri" w:hAnsi="Calibri" w:cs="Calibri"/>
          <w:sz w:val="24"/>
          <w:szCs w:val="24"/>
        </w:rPr>
        <w:t xml:space="preserve">, explaining how timelines vary based on “the number of tactile graphics required,” “the subject as to how much reformatting needs to take place,” “the number of pages,” and “the size of the file.” Other </w:t>
      </w:r>
      <w:r w:rsidR="004E5389">
        <w:rPr>
          <w:rFonts w:ascii="Calibri" w:hAnsi="Calibri" w:cs="Calibri"/>
          <w:sz w:val="24"/>
          <w:szCs w:val="24"/>
        </w:rPr>
        <w:t>excerpts</w:t>
      </w:r>
      <w:r w:rsidR="00463367">
        <w:rPr>
          <w:rFonts w:ascii="Calibri" w:hAnsi="Calibri" w:cs="Calibri"/>
          <w:sz w:val="24"/>
          <w:szCs w:val="24"/>
        </w:rPr>
        <w:t xml:space="preserve"> identified factors that facilitate or hinder timely delivery of accessible </w:t>
      </w:r>
      <w:r w:rsidR="00C93F1B">
        <w:rPr>
          <w:rFonts w:ascii="Calibri" w:hAnsi="Calibri" w:cs="Calibri"/>
          <w:sz w:val="24"/>
          <w:szCs w:val="24"/>
        </w:rPr>
        <w:t>materials (e.g., current workload of AMPs</w:t>
      </w:r>
      <w:r w:rsidR="00507DD7">
        <w:rPr>
          <w:rFonts w:ascii="Calibri" w:hAnsi="Calibri" w:cs="Calibri"/>
          <w:sz w:val="24"/>
          <w:szCs w:val="24"/>
        </w:rPr>
        <w:t>,</w:t>
      </w:r>
      <w:r w:rsidR="00C93F1B">
        <w:rPr>
          <w:rFonts w:ascii="Calibri" w:hAnsi="Calibri" w:cs="Calibri"/>
          <w:sz w:val="24"/>
          <w:szCs w:val="24"/>
        </w:rPr>
        <w:t xml:space="preserve"> how quickly </w:t>
      </w:r>
      <w:r w:rsidR="00507DD7">
        <w:rPr>
          <w:rFonts w:ascii="Calibri" w:hAnsi="Calibri" w:cs="Calibri"/>
          <w:sz w:val="24"/>
          <w:szCs w:val="24"/>
        </w:rPr>
        <w:t>AMPs</w:t>
      </w:r>
      <w:r w:rsidR="00C93F1B">
        <w:rPr>
          <w:rFonts w:ascii="Calibri" w:hAnsi="Calibri" w:cs="Calibri"/>
          <w:sz w:val="24"/>
          <w:szCs w:val="24"/>
        </w:rPr>
        <w:t xml:space="preserve"> can obtain a physical copy of the material)</w:t>
      </w:r>
      <w:r w:rsidR="00507DD7">
        <w:rPr>
          <w:rFonts w:ascii="Calibri" w:hAnsi="Calibri" w:cs="Calibri"/>
          <w:sz w:val="24"/>
          <w:szCs w:val="24"/>
        </w:rPr>
        <w:t xml:space="preserve"> and </w:t>
      </w:r>
      <w:r w:rsidR="00463367">
        <w:rPr>
          <w:rFonts w:ascii="Calibri" w:hAnsi="Calibri" w:cs="Calibri"/>
          <w:sz w:val="24"/>
          <w:szCs w:val="24"/>
        </w:rPr>
        <w:t>are included in the qualitative analys</w:t>
      </w:r>
      <w:r w:rsidR="002D0BBF">
        <w:rPr>
          <w:rFonts w:ascii="Calibri" w:hAnsi="Calibri" w:cs="Calibri"/>
          <w:sz w:val="24"/>
          <w:szCs w:val="24"/>
        </w:rPr>
        <w:t>e</w:t>
      </w:r>
      <w:r w:rsidR="00463367">
        <w:rPr>
          <w:rFonts w:ascii="Calibri" w:hAnsi="Calibri" w:cs="Calibri"/>
          <w:sz w:val="24"/>
          <w:szCs w:val="24"/>
        </w:rPr>
        <w:t>s in</w:t>
      </w:r>
      <w:r w:rsidR="004E5389">
        <w:rPr>
          <w:rFonts w:ascii="Calibri" w:hAnsi="Calibri" w:cs="Calibri"/>
          <w:sz w:val="24"/>
          <w:szCs w:val="24"/>
        </w:rPr>
        <w:t xml:space="preserve"> forthcoming sections</w:t>
      </w:r>
      <w:r w:rsidR="00507DD7">
        <w:rPr>
          <w:rFonts w:ascii="Calibri" w:hAnsi="Calibri" w:cs="Calibri"/>
          <w:sz w:val="24"/>
          <w:szCs w:val="24"/>
        </w:rPr>
        <w:t>.</w:t>
      </w:r>
    </w:p>
    <w:p w14:paraId="6B9101F3" w14:textId="77777777" w:rsidR="00507DD7" w:rsidRDefault="00507DD7" w:rsidP="0078456F">
      <w:pPr>
        <w:spacing w:after="0" w:line="276" w:lineRule="auto"/>
        <w:rPr>
          <w:rFonts w:ascii="Calibri" w:hAnsi="Calibri" w:cs="Calibri"/>
          <w:sz w:val="24"/>
          <w:szCs w:val="24"/>
        </w:rPr>
      </w:pPr>
    </w:p>
    <w:p w14:paraId="242476AC" w14:textId="4C1EE6FF" w:rsidR="005C2400" w:rsidRDefault="00B55C67" w:rsidP="00FD5797">
      <w:pPr>
        <w:spacing w:after="0" w:line="276" w:lineRule="auto"/>
        <w:rPr>
          <w:rFonts w:ascii="Calibri" w:hAnsi="Calibri" w:cs="Calibri"/>
          <w:sz w:val="24"/>
          <w:szCs w:val="24"/>
        </w:rPr>
      </w:pPr>
      <w:r>
        <w:rPr>
          <w:rFonts w:ascii="ZWAdobeF" w:hAnsi="ZWAdobeF" w:cs="ZWAdobeF"/>
          <w:sz w:val="2"/>
          <w:szCs w:val="2"/>
        </w:rPr>
        <w:t>112B</w:t>
      </w:r>
      <w:r w:rsidR="005C2400">
        <w:rPr>
          <w:rFonts w:ascii="Calibri" w:hAnsi="Calibri" w:cs="Calibri"/>
          <w:sz w:val="24"/>
          <w:szCs w:val="24"/>
        </w:rPr>
        <w:t>To further explore timelines for delivery of accessible materials, a separate analysis was conducted using NIMAC’s internal tracking data</w:t>
      </w:r>
      <w:r w:rsidR="00130799">
        <w:rPr>
          <w:rFonts w:ascii="Calibri" w:hAnsi="Calibri" w:cs="Calibri"/>
          <w:sz w:val="24"/>
          <w:szCs w:val="24"/>
        </w:rPr>
        <w:t xml:space="preserve"> for</w:t>
      </w:r>
      <w:r w:rsidR="005C2400">
        <w:rPr>
          <w:rFonts w:ascii="Calibri" w:hAnsi="Calibri" w:cs="Calibri"/>
          <w:sz w:val="24"/>
          <w:szCs w:val="24"/>
        </w:rPr>
        <w:t xml:space="preserve"> when materials are submitted to the NIMAC Watchlist and when the NIMAS files are subsequently provided by the publisher, certified</w:t>
      </w:r>
      <w:r w:rsidR="00544EDC">
        <w:rPr>
          <w:rFonts w:ascii="Calibri" w:hAnsi="Calibri" w:cs="Calibri"/>
          <w:sz w:val="24"/>
          <w:szCs w:val="24"/>
        </w:rPr>
        <w:t xml:space="preserve"> by NIMAC</w:t>
      </w:r>
      <w:r w:rsidR="005C2400">
        <w:rPr>
          <w:rFonts w:ascii="Calibri" w:hAnsi="Calibri" w:cs="Calibri"/>
          <w:sz w:val="24"/>
          <w:szCs w:val="24"/>
        </w:rPr>
        <w:t>, and accessible in the NIMAC system. Using this data from three recent</w:t>
      </w:r>
      <w:r w:rsidR="00130799">
        <w:rPr>
          <w:rFonts w:ascii="Calibri" w:hAnsi="Calibri" w:cs="Calibri"/>
          <w:sz w:val="24"/>
          <w:szCs w:val="24"/>
        </w:rPr>
        <w:t xml:space="preserve"> calendar</w:t>
      </w:r>
      <w:r w:rsidR="005C2400">
        <w:rPr>
          <w:rFonts w:ascii="Calibri" w:hAnsi="Calibri" w:cs="Calibri"/>
          <w:sz w:val="24"/>
          <w:szCs w:val="24"/>
        </w:rPr>
        <w:t xml:space="preserve"> years (2021-2023), we calculated the amount of time it takes for a NIMAS file to be certified and accessible in the NIMAC system after a NIMAC Watchlist request is submitted. As displayed in Table </w:t>
      </w:r>
      <w:r w:rsidR="00CC2CB0">
        <w:rPr>
          <w:rFonts w:ascii="Calibri" w:hAnsi="Calibri" w:cs="Calibri"/>
          <w:sz w:val="24"/>
          <w:szCs w:val="24"/>
        </w:rPr>
        <w:t>6</w:t>
      </w:r>
      <w:r w:rsidR="005C2400">
        <w:rPr>
          <w:rFonts w:ascii="Calibri" w:hAnsi="Calibri" w:cs="Calibri"/>
          <w:sz w:val="24"/>
          <w:szCs w:val="24"/>
        </w:rPr>
        <w:t>,</w:t>
      </w:r>
      <w:r>
        <w:rPr>
          <w:rFonts w:ascii="ZWAdobeF" w:hAnsi="ZWAdobeF" w:cs="ZWAdobeF"/>
          <w:sz w:val="2"/>
          <w:szCs w:val="2"/>
        </w:rPr>
        <w:t>25F</w:t>
      </w:r>
      <w:r w:rsidR="005C2400">
        <w:rPr>
          <w:rStyle w:val="FootnoteReference"/>
          <w:rFonts w:ascii="Calibri" w:hAnsi="Calibri" w:cs="Calibri"/>
          <w:sz w:val="24"/>
          <w:szCs w:val="24"/>
        </w:rPr>
        <w:footnoteReference w:id="27"/>
      </w:r>
      <w:r w:rsidR="005C2400">
        <w:rPr>
          <w:rFonts w:ascii="Calibri" w:hAnsi="Calibri" w:cs="Calibri"/>
          <w:sz w:val="24"/>
          <w:szCs w:val="24"/>
        </w:rPr>
        <w:t xml:space="preserve"> the median number of days from submission of a Watchlist request to the NIMA</w:t>
      </w:r>
      <w:r w:rsidR="00130799">
        <w:rPr>
          <w:rFonts w:ascii="Calibri" w:hAnsi="Calibri" w:cs="Calibri"/>
          <w:sz w:val="24"/>
          <w:szCs w:val="24"/>
        </w:rPr>
        <w:t>S</w:t>
      </w:r>
      <w:r w:rsidR="005C2400">
        <w:rPr>
          <w:rFonts w:ascii="Calibri" w:hAnsi="Calibri" w:cs="Calibri"/>
          <w:sz w:val="24"/>
          <w:szCs w:val="24"/>
        </w:rPr>
        <w:t xml:space="preserve"> file </w:t>
      </w:r>
      <w:r w:rsidR="00130799">
        <w:rPr>
          <w:rFonts w:ascii="Calibri" w:hAnsi="Calibri" w:cs="Calibri"/>
          <w:sz w:val="24"/>
          <w:szCs w:val="24"/>
        </w:rPr>
        <w:t xml:space="preserve">being </w:t>
      </w:r>
      <w:r w:rsidR="005C2400">
        <w:rPr>
          <w:rFonts w:ascii="Calibri" w:hAnsi="Calibri" w:cs="Calibri"/>
          <w:sz w:val="24"/>
          <w:szCs w:val="24"/>
        </w:rPr>
        <w:t>certified and accessible in the NIMAC system ranged from 34 to 38 days.</w:t>
      </w:r>
      <w:r w:rsidR="00130799">
        <w:rPr>
          <w:rFonts w:ascii="Calibri" w:hAnsi="Calibri" w:cs="Calibri"/>
          <w:sz w:val="24"/>
          <w:szCs w:val="24"/>
        </w:rPr>
        <w:t xml:space="preserve"> </w:t>
      </w:r>
      <w:r w:rsidR="00130799" w:rsidRPr="00E469F5">
        <w:rPr>
          <w:rFonts w:ascii="Calibri" w:hAnsi="Calibri" w:cs="Calibri"/>
          <w:sz w:val="24"/>
          <w:szCs w:val="24"/>
        </w:rPr>
        <w:t>With knowledge of the Watchlist request timeline, we can more clearly understand potential delays to timely delivery of accessible formats when NIMAS files are not in the NIMAC system.</w:t>
      </w:r>
    </w:p>
    <w:p w14:paraId="4BC4EEC3" w14:textId="77777777" w:rsidR="005C2400" w:rsidRDefault="005C2400" w:rsidP="00FD5797">
      <w:pPr>
        <w:spacing w:after="0" w:line="276" w:lineRule="auto"/>
        <w:rPr>
          <w:rFonts w:ascii="Calibri" w:hAnsi="Calibri" w:cs="Calibri"/>
          <w:sz w:val="24"/>
          <w:szCs w:val="24"/>
        </w:rPr>
      </w:pPr>
    </w:p>
    <w:p w14:paraId="11BDEBBC" w14:textId="7BA5F423" w:rsidR="00FD5797" w:rsidRPr="00FD5797" w:rsidRDefault="00CE25E8" w:rsidP="007303AE">
      <w:pPr>
        <w:pStyle w:val="Heading4"/>
        <w:spacing w:after="240"/>
      </w:pPr>
      <w:bookmarkStart w:id="23" w:name="_Toc222903993"/>
      <w:r>
        <w:t>Table</w:t>
      </w:r>
      <w:r w:rsidR="005C2400">
        <w:t xml:space="preserve"> </w:t>
      </w:r>
      <w:r w:rsidR="00CC2CB0">
        <w:t>6</w:t>
      </w:r>
      <w:r w:rsidR="005C2400" w:rsidRPr="006C7F46">
        <w:t xml:space="preserve">. </w:t>
      </w:r>
      <w:r w:rsidR="005C2400" w:rsidRPr="005317B0">
        <w:t xml:space="preserve">Number of Days from Submission of Watchlist Request to </w:t>
      </w:r>
      <w:r w:rsidR="005C2400">
        <w:t>NIMAS File Certified and Accessible in the NIMAC System</w:t>
      </w:r>
      <w:bookmarkEnd w:id="23"/>
    </w:p>
    <w:tbl>
      <w:tblPr>
        <w:tblStyle w:val="GridTable4"/>
        <w:tblpPr w:leftFromText="180" w:rightFromText="180" w:vertAnchor="text" w:tblpY="1"/>
        <w:tblOverlap w:val="never"/>
        <w:tblW w:w="9350" w:type="dxa"/>
        <w:tblLook w:val="04A0" w:firstRow="1" w:lastRow="0" w:firstColumn="1" w:lastColumn="0" w:noHBand="0" w:noVBand="1"/>
        <w:tblCaption w:val="Table 5. Number of Days from Submission of Watchlist Request to NIMAS File Certified and Accessible in the NIMAC System"/>
        <w:tblDescription w:val="Table 5 presents the number of days from submission of a watchlist request to NIMAS file certification and availability in the NIMAC system, by year. In 2021, 131 watchlist requests were processed, with an average of 59 days, a median of 36 days, and a range of 4 to 186 days. In 2022, 170 requests were processed, with an average of 50 days, a median of 38 days, and a range of 1 to 152 days. In 2023, 241 requests were processed, with an average of 40 days, a median of 34 days, and a range of 1 to 244 days."/>
      </w:tblPr>
      <w:tblGrid>
        <w:gridCol w:w="805"/>
        <w:gridCol w:w="2250"/>
        <w:gridCol w:w="2098"/>
        <w:gridCol w:w="2098"/>
        <w:gridCol w:w="2099"/>
      </w:tblGrid>
      <w:tr w:rsidR="005C2400" w:rsidRPr="00CD254C" w14:paraId="59E72AAD" w14:textId="77777777" w:rsidTr="000945B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tcBorders>
              <w:top w:val="single" w:sz="4" w:space="0" w:color="auto"/>
              <w:left w:val="single" w:sz="4" w:space="0" w:color="auto"/>
              <w:bottom w:val="single" w:sz="4" w:space="0" w:color="auto"/>
              <w:right w:val="single" w:sz="4" w:space="0" w:color="auto"/>
            </w:tcBorders>
            <w:shd w:val="clear" w:color="auto" w:fill="44546A" w:themeFill="text2"/>
          </w:tcPr>
          <w:p w14:paraId="473CDDF2" w14:textId="77777777" w:rsidR="005C2400" w:rsidRPr="00A376AC" w:rsidRDefault="005C2400" w:rsidP="0001443A">
            <w:pPr>
              <w:rPr>
                <w:rFonts w:cstheme="minorHAnsi"/>
              </w:rPr>
            </w:pPr>
            <w:r w:rsidRPr="00A376AC">
              <w:rPr>
                <w:rFonts w:cstheme="minorHAnsi"/>
              </w:rPr>
              <w:t>Year</w:t>
            </w:r>
          </w:p>
        </w:tc>
        <w:tc>
          <w:tcPr>
            <w:tcW w:w="2250" w:type="dxa"/>
            <w:tcBorders>
              <w:top w:val="single" w:sz="4" w:space="0" w:color="auto"/>
              <w:left w:val="single" w:sz="4" w:space="0" w:color="auto"/>
              <w:bottom w:val="single" w:sz="4" w:space="0" w:color="auto"/>
              <w:right w:val="single" w:sz="4" w:space="0" w:color="auto"/>
            </w:tcBorders>
            <w:shd w:val="clear" w:color="auto" w:fill="44546A"/>
          </w:tcPr>
          <w:p w14:paraId="051B74FE" w14:textId="77777777" w:rsidR="005C2400" w:rsidRDefault="005C2400" w:rsidP="0001443A">
            <w:pPr>
              <w:jc w:val="center"/>
              <w:cnfStyle w:val="100000000000" w:firstRow="1" w:lastRow="0" w:firstColumn="0" w:lastColumn="0" w:oddVBand="0" w:evenVBand="0" w:oddHBand="0" w:evenHBand="0" w:firstRowFirstColumn="0" w:firstRowLastColumn="0" w:lastRowFirstColumn="0" w:lastRowLastColumn="0"/>
              <w:rPr>
                <w:b w:val="0"/>
                <w:bCs w:val="0"/>
              </w:rPr>
            </w:pPr>
            <w:r>
              <w:t xml:space="preserve">Number of </w:t>
            </w:r>
          </w:p>
          <w:p w14:paraId="0963F338" w14:textId="7E1BC5F0" w:rsidR="005C2400" w:rsidRPr="00AF762E" w:rsidRDefault="005C2400" w:rsidP="0001443A">
            <w:pPr>
              <w:jc w:val="center"/>
              <w:cnfStyle w:val="100000000000" w:firstRow="1" w:lastRow="0" w:firstColumn="0" w:lastColumn="0" w:oddVBand="0" w:evenVBand="0" w:oddHBand="0" w:evenHBand="0" w:firstRowFirstColumn="0" w:firstRowLastColumn="0" w:lastRowFirstColumn="0" w:lastRowLastColumn="0"/>
              <w:rPr>
                <w:rFonts w:cstheme="minorHAnsi"/>
                <w:b w:val="0"/>
                <w:bCs w:val="0"/>
              </w:rPr>
            </w:pPr>
            <w:r>
              <w:t>Watchlist Requests Processed</w:t>
            </w:r>
            <w:r w:rsidR="00B55C67">
              <w:rPr>
                <w:rFonts w:ascii="ZWAdobeF" w:hAnsi="ZWAdobeF" w:cs="ZWAdobeF"/>
                <w:b w:val="0"/>
                <w:color w:val="auto"/>
                <w:sz w:val="2"/>
                <w:szCs w:val="2"/>
              </w:rPr>
              <w:t>26F</w:t>
            </w:r>
            <w:r>
              <w:rPr>
                <w:rStyle w:val="FootnoteReference"/>
              </w:rPr>
              <w:footnoteReference w:id="28"/>
            </w:r>
          </w:p>
        </w:tc>
        <w:tc>
          <w:tcPr>
            <w:tcW w:w="2098" w:type="dxa"/>
            <w:shd w:val="clear" w:color="auto" w:fill="44546A"/>
          </w:tcPr>
          <w:p w14:paraId="5A764EA2" w14:textId="77777777" w:rsidR="005C2400" w:rsidRDefault="005C2400" w:rsidP="0001443A">
            <w:pPr>
              <w:jc w:val="center"/>
              <w:cnfStyle w:val="100000000000" w:firstRow="1" w:lastRow="0" w:firstColumn="0" w:lastColumn="0" w:oddVBand="0" w:evenVBand="0" w:oddHBand="0" w:evenHBand="0" w:firstRowFirstColumn="0" w:firstRowLastColumn="0" w:lastRowFirstColumn="0" w:lastRowLastColumn="0"/>
              <w:rPr>
                <w:b w:val="0"/>
                <w:bCs w:val="0"/>
              </w:rPr>
            </w:pPr>
            <w:r>
              <w:t>Average</w:t>
            </w:r>
          </w:p>
          <w:p w14:paraId="07B38BE6" w14:textId="77777777" w:rsidR="005C2400" w:rsidRDefault="005C2400" w:rsidP="0001443A">
            <w:pPr>
              <w:jc w:val="center"/>
              <w:cnfStyle w:val="100000000000" w:firstRow="1" w:lastRow="0" w:firstColumn="0" w:lastColumn="0" w:oddVBand="0" w:evenVBand="0" w:oddHBand="0" w:evenHBand="0" w:firstRowFirstColumn="0" w:firstRowLastColumn="0" w:lastRowFirstColumn="0" w:lastRowLastColumn="0"/>
            </w:pPr>
            <w:r>
              <w:t xml:space="preserve"> (Number </w:t>
            </w:r>
          </w:p>
          <w:p w14:paraId="0E0AB160" w14:textId="77777777" w:rsidR="005C2400" w:rsidRDefault="005C2400" w:rsidP="0001443A">
            <w:pPr>
              <w:jc w:val="center"/>
              <w:cnfStyle w:val="100000000000" w:firstRow="1" w:lastRow="0" w:firstColumn="0" w:lastColumn="0" w:oddVBand="0" w:evenVBand="0" w:oddHBand="0" w:evenHBand="0" w:firstRowFirstColumn="0" w:firstRowLastColumn="0" w:lastRowFirstColumn="0" w:lastRowLastColumn="0"/>
            </w:pPr>
            <w:r>
              <w:t>of Days)</w:t>
            </w:r>
          </w:p>
        </w:tc>
        <w:tc>
          <w:tcPr>
            <w:tcW w:w="2098" w:type="dxa"/>
            <w:tcBorders>
              <w:top w:val="single" w:sz="4" w:space="0" w:color="auto"/>
              <w:left w:val="single" w:sz="4" w:space="0" w:color="auto"/>
              <w:bottom w:val="single" w:sz="4" w:space="0" w:color="auto"/>
              <w:right w:val="single" w:sz="4" w:space="0" w:color="auto"/>
            </w:tcBorders>
            <w:shd w:val="clear" w:color="auto" w:fill="44546A"/>
          </w:tcPr>
          <w:p w14:paraId="4B4379E7" w14:textId="77777777" w:rsidR="005C2400" w:rsidRDefault="005C2400" w:rsidP="0001443A">
            <w:pPr>
              <w:jc w:val="center"/>
              <w:cnfStyle w:val="100000000000" w:firstRow="1" w:lastRow="0" w:firstColumn="0" w:lastColumn="0" w:oddVBand="0" w:evenVBand="0" w:oddHBand="0" w:evenHBand="0" w:firstRowFirstColumn="0" w:firstRowLastColumn="0" w:lastRowFirstColumn="0" w:lastRowLastColumn="0"/>
              <w:rPr>
                <w:b w:val="0"/>
                <w:bCs w:val="0"/>
              </w:rPr>
            </w:pPr>
            <w:r>
              <w:t>Median</w:t>
            </w:r>
          </w:p>
          <w:p w14:paraId="76A87E70" w14:textId="77777777" w:rsidR="005C2400" w:rsidRDefault="005C2400" w:rsidP="0001443A">
            <w:pPr>
              <w:jc w:val="center"/>
              <w:cnfStyle w:val="100000000000" w:firstRow="1" w:lastRow="0" w:firstColumn="0" w:lastColumn="0" w:oddVBand="0" w:evenVBand="0" w:oddHBand="0" w:evenHBand="0" w:firstRowFirstColumn="0" w:firstRowLastColumn="0" w:lastRowFirstColumn="0" w:lastRowLastColumn="0"/>
            </w:pPr>
            <w:r>
              <w:t xml:space="preserve"> (Number </w:t>
            </w:r>
          </w:p>
          <w:p w14:paraId="390781A1" w14:textId="77777777" w:rsidR="005C2400" w:rsidRPr="00AF762E" w:rsidRDefault="005C2400" w:rsidP="0001443A">
            <w:pPr>
              <w:jc w:val="center"/>
              <w:cnfStyle w:val="100000000000" w:firstRow="1" w:lastRow="0" w:firstColumn="0" w:lastColumn="0" w:oddVBand="0" w:evenVBand="0" w:oddHBand="0" w:evenHBand="0" w:firstRowFirstColumn="0" w:firstRowLastColumn="0" w:lastRowFirstColumn="0" w:lastRowLastColumn="0"/>
              <w:rPr>
                <w:rFonts w:cstheme="minorHAnsi"/>
                <w:b w:val="0"/>
                <w:bCs w:val="0"/>
              </w:rPr>
            </w:pPr>
            <w:r>
              <w:t>of Days)</w:t>
            </w:r>
          </w:p>
        </w:tc>
        <w:tc>
          <w:tcPr>
            <w:tcW w:w="2099" w:type="dxa"/>
            <w:shd w:val="clear" w:color="auto" w:fill="44546A"/>
          </w:tcPr>
          <w:p w14:paraId="7004C98A" w14:textId="77777777" w:rsidR="005C2400" w:rsidRDefault="005C2400" w:rsidP="0001443A">
            <w:pPr>
              <w:jc w:val="center"/>
              <w:cnfStyle w:val="100000000000" w:firstRow="1" w:lastRow="0" w:firstColumn="0" w:lastColumn="0" w:oddVBand="0" w:evenVBand="0" w:oddHBand="0" w:evenHBand="0" w:firstRowFirstColumn="0" w:firstRowLastColumn="0" w:lastRowFirstColumn="0" w:lastRowLastColumn="0"/>
              <w:rPr>
                <w:b w:val="0"/>
                <w:bCs w:val="0"/>
              </w:rPr>
            </w:pPr>
            <w:r>
              <w:t>Range</w:t>
            </w:r>
          </w:p>
          <w:p w14:paraId="02B49AFD" w14:textId="77777777" w:rsidR="005C2400" w:rsidRPr="00E248E4" w:rsidRDefault="005C2400" w:rsidP="0001443A">
            <w:pPr>
              <w:jc w:val="center"/>
              <w:cnfStyle w:val="100000000000" w:firstRow="1" w:lastRow="0" w:firstColumn="0" w:lastColumn="0" w:oddVBand="0" w:evenVBand="0" w:oddHBand="0" w:evenHBand="0" w:firstRowFirstColumn="0" w:firstRowLastColumn="0" w:lastRowFirstColumn="0" w:lastRowLastColumn="0"/>
              <w:rPr>
                <w:b w:val="0"/>
                <w:bCs w:val="0"/>
              </w:rPr>
            </w:pPr>
            <w:r>
              <w:t xml:space="preserve"> (Number </w:t>
            </w:r>
          </w:p>
          <w:p w14:paraId="65AA8618" w14:textId="77777777" w:rsidR="005C2400" w:rsidRDefault="005C2400" w:rsidP="0001443A">
            <w:pPr>
              <w:jc w:val="center"/>
              <w:cnfStyle w:val="100000000000" w:firstRow="1" w:lastRow="0" w:firstColumn="0" w:lastColumn="0" w:oddVBand="0" w:evenVBand="0" w:oddHBand="0" w:evenHBand="0" w:firstRowFirstColumn="0" w:firstRowLastColumn="0" w:lastRowFirstColumn="0" w:lastRowLastColumn="0"/>
            </w:pPr>
            <w:r>
              <w:t>of Days)</w:t>
            </w:r>
          </w:p>
        </w:tc>
      </w:tr>
      <w:tr w:rsidR="005C2400" w:rsidRPr="00CD254C" w14:paraId="56B7F757"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tcBorders>
              <w:top w:val="single" w:sz="4" w:space="0" w:color="auto"/>
            </w:tcBorders>
            <w:shd w:val="clear" w:color="auto" w:fill="D9E2F3"/>
          </w:tcPr>
          <w:p w14:paraId="145D052B" w14:textId="77777777" w:rsidR="005C2400" w:rsidRPr="00A376AC" w:rsidRDefault="005C2400" w:rsidP="0001443A">
            <w:pPr>
              <w:rPr>
                <w:rFonts w:cstheme="minorHAnsi"/>
                <w:b w:val="0"/>
                <w:bCs w:val="0"/>
              </w:rPr>
            </w:pPr>
            <w:r w:rsidRPr="00A376AC">
              <w:rPr>
                <w:b w:val="0"/>
                <w:bCs w:val="0"/>
              </w:rPr>
              <w:t>2021</w:t>
            </w:r>
          </w:p>
        </w:tc>
        <w:tc>
          <w:tcPr>
            <w:tcW w:w="2250" w:type="dxa"/>
            <w:tcBorders>
              <w:top w:val="single" w:sz="4" w:space="0" w:color="auto"/>
            </w:tcBorders>
            <w:shd w:val="clear" w:color="auto" w:fill="D9E2F3"/>
          </w:tcPr>
          <w:p w14:paraId="4F9BFFB0" w14:textId="77777777" w:rsidR="005C2400" w:rsidRPr="00A376AC" w:rsidRDefault="005C2400" w:rsidP="0001443A">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A376AC">
              <w:t>131</w:t>
            </w:r>
          </w:p>
        </w:tc>
        <w:tc>
          <w:tcPr>
            <w:tcW w:w="2098" w:type="dxa"/>
            <w:shd w:val="clear" w:color="auto" w:fill="D9E2F3"/>
          </w:tcPr>
          <w:p w14:paraId="2EACDE34" w14:textId="77777777" w:rsidR="005C2400" w:rsidRPr="00A376AC" w:rsidRDefault="005C2400" w:rsidP="0001443A">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A376AC">
              <w:t>59</w:t>
            </w:r>
          </w:p>
        </w:tc>
        <w:tc>
          <w:tcPr>
            <w:tcW w:w="2098" w:type="dxa"/>
            <w:tcBorders>
              <w:top w:val="single" w:sz="4" w:space="0" w:color="auto"/>
            </w:tcBorders>
            <w:shd w:val="clear" w:color="auto" w:fill="D9E2F3"/>
          </w:tcPr>
          <w:p w14:paraId="38D52D82" w14:textId="77777777" w:rsidR="005C2400" w:rsidRPr="00A376AC" w:rsidRDefault="005C2400" w:rsidP="0001443A">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A376AC">
              <w:t>36</w:t>
            </w:r>
          </w:p>
        </w:tc>
        <w:tc>
          <w:tcPr>
            <w:tcW w:w="2099" w:type="dxa"/>
            <w:shd w:val="clear" w:color="auto" w:fill="D9E2F3"/>
          </w:tcPr>
          <w:p w14:paraId="653FAC0A" w14:textId="77777777" w:rsidR="005C2400" w:rsidRPr="00A376AC" w:rsidRDefault="005C2400" w:rsidP="0001443A">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A376AC">
              <w:t>4 – 186</w:t>
            </w:r>
          </w:p>
        </w:tc>
      </w:tr>
      <w:tr w:rsidR="005C2400" w14:paraId="25B976E1" w14:textId="77777777" w:rsidTr="000945BE">
        <w:tc>
          <w:tcPr>
            <w:cnfStyle w:val="001000000000" w:firstRow="0" w:lastRow="0" w:firstColumn="1" w:lastColumn="0" w:oddVBand="0" w:evenVBand="0" w:oddHBand="0" w:evenHBand="0" w:firstRowFirstColumn="0" w:firstRowLastColumn="0" w:lastRowFirstColumn="0" w:lastRowLastColumn="0"/>
            <w:tcW w:w="805" w:type="dxa"/>
          </w:tcPr>
          <w:p w14:paraId="6A989A2C" w14:textId="77777777" w:rsidR="005C2400" w:rsidRPr="00A376AC" w:rsidRDefault="005C2400" w:rsidP="0001443A">
            <w:pPr>
              <w:rPr>
                <w:rFonts w:cstheme="minorHAnsi"/>
                <w:b w:val="0"/>
                <w:bCs w:val="0"/>
              </w:rPr>
            </w:pPr>
            <w:r w:rsidRPr="00A376AC">
              <w:rPr>
                <w:b w:val="0"/>
                <w:bCs w:val="0"/>
              </w:rPr>
              <w:t>2022</w:t>
            </w:r>
          </w:p>
        </w:tc>
        <w:tc>
          <w:tcPr>
            <w:tcW w:w="2250" w:type="dxa"/>
          </w:tcPr>
          <w:p w14:paraId="7B5F7474" w14:textId="77777777" w:rsidR="005C2400" w:rsidRPr="00A376AC" w:rsidRDefault="005C2400" w:rsidP="0001443A">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A376AC">
              <w:t>170</w:t>
            </w:r>
          </w:p>
        </w:tc>
        <w:tc>
          <w:tcPr>
            <w:tcW w:w="2098" w:type="dxa"/>
          </w:tcPr>
          <w:p w14:paraId="18038A9E" w14:textId="77777777" w:rsidR="005C2400" w:rsidRPr="00A376AC" w:rsidRDefault="005C2400" w:rsidP="0001443A">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A376AC">
              <w:t>50</w:t>
            </w:r>
          </w:p>
        </w:tc>
        <w:tc>
          <w:tcPr>
            <w:tcW w:w="2098" w:type="dxa"/>
          </w:tcPr>
          <w:p w14:paraId="5AE98845" w14:textId="77777777" w:rsidR="005C2400" w:rsidRPr="00A376AC" w:rsidRDefault="005C2400" w:rsidP="0001443A">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A376AC">
              <w:t>38</w:t>
            </w:r>
          </w:p>
        </w:tc>
        <w:tc>
          <w:tcPr>
            <w:tcW w:w="2099" w:type="dxa"/>
          </w:tcPr>
          <w:p w14:paraId="4C1D93BC" w14:textId="77777777" w:rsidR="005C2400" w:rsidRPr="00A376AC" w:rsidRDefault="005C2400" w:rsidP="0001443A">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A376AC">
              <w:t>1 – 152</w:t>
            </w:r>
          </w:p>
        </w:tc>
      </w:tr>
      <w:tr w:rsidR="005C2400" w14:paraId="77E08885"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shd w:val="clear" w:color="auto" w:fill="D9E2F3"/>
          </w:tcPr>
          <w:p w14:paraId="57125893" w14:textId="77777777" w:rsidR="005C2400" w:rsidRPr="00A376AC" w:rsidRDefault="005C2400" w:rsidP="0001443A">
            <w:pPr>
              <w:rPr>
                <w:rFonts w:cstheme="minorHAnsi"/>
                <w:b w:val="0"/>
                <w:bCs w:val="0"/>
              </w:rPr>
            </w:pPr>
            <w:r w:rsidRPr="00A376AC">
              <w:rPr>
                <w:b w:val="0"/>
                <w:bCs w:val="0"/>
              </w:rPr>
              <w:t>2023</w:t>
            </w:r>
          </w:p>
        </w:tc>
        <w:tc>
          <w:tcPr>
            <w:tcW w:w="2250" w:type="dxa"/>
            <w:shd w:val="clear" w:color="auto" w:fill="D9E2F3"/>
          </w:tcPr>
          <w:p w14:paraId="75DCDA23" w14:textId="77777777" w:rsidR="005C2400" w:rsidRPr="00A376AC" w:rsidRDefault="005C2400" w:rsidP="0001443A">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A376AC">
              <w:t>241</w:t>
            </w:r>
          </w:p>
        </w:tc>
        <w:tc>
          <w:tcPr>
            <w:tcW w:w="2098" w:type="dxa"/>
            <w:shd w:val="clear" w:color="auto" w:fill="D9E2F3"/>
          </w:tcPr>
          <w:p w14:paraId="34A96FA5" w14:textId="77777777" w:rsidR="005C2400" w:rsidRPr="00A376AC" w:rsidRDefault="005C2400" w:rsidP="0001443A">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A376AC">
              <w:t>40</w:t>
            </w:r>
          </w:p>
        </w:tc>
        <w:tc>
          <w:tcPr>
            <w:tcW w:w="2098" w:type="dxa"/>
            <w:shd w:val="clear" w:color="auto" w:fill="D9E2F3"/>
          </w:tcPr>
          <w:p w14:paraId="632CDB64" w14:textId="77777777" w:rsidR="005C2400" w:rsidRPr="00A376AC" w:rsidRDefault="005C2400" w:rsidP="0001443A">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A376AC">
              <w:t>34</w:t>
            </w:r>
          </w:p>
        </w:tc>
        <w:tc>
          <w:tcPr>
            <w:tcW w:w="2099" w:type="dxa"/>
            <w:shd w:val="clear" w:color="auto" w:fill="D9E2F3"/>
          </w:tcPr>
          <w:p w14:paraId="4AE96BFC" w14:textId="77777777" w:rsidR="005C2400" w:rsidRPr="00A376AC" w:rsidRDefault="005C2400" w:rsidP="0001443A">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A376AC">
              <w:t>1 – 244</w:t>
            </w:r>
          </w:p>
        </w:tc>
      </w:tr>
    </w:tbl>
    <w:p w14:paraId="4F181C7B" w14:textId="262FB4CC" w:rsidR="003D70CA" w:rsidRDefault="00B55C67" w:rsidP="0078456F">
      <w:pPr>
        <w:spacing w:after="0" w:line="276" w:lineRule="auto"/>
        <w:rPr>
          <w:rFonts w:ascii="Calibri" w:hAnsi="Calibri" w:cs="Calibri"/>
          <w:sz w:val="24"/>
          <w:szCs w:val="24"/>
        </w:rPr>
      </w:pPr>
      <w:r>
        <w:rPr>
          <w:rFonts w:ascii="ZWAdobeF" w:hAnsi="ZWAdobeF" w:cs="ZWAdobeF"/>
          <w:sz w:val="2"/>
          <w:szCs w:val="2"/>
        </w:rPr>
        <w:lastRenderedPageBreak/>
        <w:t>113B</w:t>
      </w:r>
      <w:r w:rsidR="00345900">
        <w:rPr>
          <w:rFonts w:ascii="Calibri" w:hAnsi="Calibri" w:cs="Calibri"/>
          <w:sz w:val="24"/>
          <w:szCs w:val="24"/>
        </w:rPr>
        <w:t xml:space="preserve">Survey respondents who </w:t>
      </w:r>
      <w:r w:rsidR="00130799">
        <w:rPr>
          <w:rFonts w:ascii="Calibri" w:hAnsi="Calibri" w:cs="Calibri"/>
          <w:sz w:val="24"/>
          <w:szCs w:val="24"/>
        </w:rPr>
        <w:t>were</w:t>
      </w:r>
      <w:r w:rsidR="00345900">
        <w:rPr>
          <w:rFonts w:ascii="Calibri" w:hAnsi="Calibri" w:cs="Calibri"/>
          <w:sz w:val="24"/>
          <w:szCs w:val="24"/>
        </w:rPr>
        <w:t xml:space="preserve"> NIMAC </w:t>
      </w:r>
      <w:r w:rsidR="002D0BBF">
        <w:rPr>
          <w:rFonts w:ascii="Calibri" w:hAnsi="Calibri" w:cs="Calibri"/>
          <w:sz w:val="24"/>
          <w:szCs w:val="24"/>
        </w:rPr>
        <w:t>U</w:t>
      </w:r>
      <w:r w:rsidR="00345900">
        <w:rPr>
          <w:rFonts w:ascii="Calibri" w:hAnsi="Calibri" w:cs="Calibri"/>
          <w:sz w:val="24"/>
          <w:szCs w:val="24"/>
        </w:rPr>
        <w:t xml:space="preserve">sers </w:t>
      </w:r>
      <w:r w:rsidR="00841363">
        <w:rPr>
          <w:rFonts w:ascii="Calibri" w:hAnsi="Calibri" w:cs="Calibri"/>
          <w:sz w:val="24"/>
          <w:szCs w:val="24"/>
        </w:rPr>
        <w:t>were also asked to rate their satisfaction with the timeline for delivery of</w:t>
      </w:r>
      <w:r w:rsidR="00544EDC">
        <w:rPr>
          <w:rFonts w:ascii="Calibri" w:hAnsi="Calibri" w:cs="Calibri"/>
          <w:sz w:val="24"/>
          <w:szCs w:val="24"/>
        </w:rPr>
        <w:t xml:space="preserve"> </w:t>
      </w:r>
      <w:r w:rsidR="00841363">
        <w:rPr>
          <w:rFonts w:ascii="Calibri" w:hAnsi="Calibri" w:cs="Calibri"/>
          <w:sz w:val="24"/>
          <w:szCs w:val="24"/>
        </w:rPr>
        <w:t xml:space="preserve">accessible formats under three separate conditions: 1) when the NIMAS file is already in the NIMAC system, 2) when the NIMAS file is not in the NIMAC system and is added to the NIMAC Watchlist, and 3) when accessible formats are not within scope for NIMAS (e.g., online educational materials, trade materials, some digital files). </w:t>
      </w:r>
      <w:r w:rsidR="0043349D" w:rsidRPr="005919AC">
        <w:rPr>
          <w:rFonts w:ascii="Calibri" w:hAnsi="Calibri" w:cs="Calibri"/>
          <w:sz w:val="24"/>
          <w:szCs w:val="24"/>
        </w:rPr>
        <w:t xml:space="preserve">Respondents used a </w:t>
      </w:r>
      <w:r w:rsidR="0043349D">
        <w:rPr>
          <w:rFonts w:ascii="Calibri" w:hAnsi="Calibri" w:cs="Calibri"/>
          <w:sz w:val="24"/>
          <w:szCs w:val="24"/>
        </w:rPr>
        <w:t>4</w:t>
      </w:r>
      <w:r w:rsidR="0043349D" w:rsidRPr="005919AC">
        <w:rPr>
          <w:rFonts w:ascii="Calibri" w:hAnsi="Calibri" w:cs="Calibri"/>
          <w:sz w:val="24"/>
          <w:szCs w:val="24"/>
        </w:rPr>
        <w:t xml:space="preserve">-point Likert scale where 1 = </w:t>
      </w:r>
      <w:r w:rsidR="0043349D">
        <w:rPr>
          <w:rFonts w:ascii="Calibri" w:hAnsi="Calibri" w:cs="Calibri"/>
          <w:sz w:val="24"/>
          <w:szCs w:val="24"/>
        </w:rPr>
        <w:t>Strongly Disagree</w:t>
      </w:r>
      <w:r w:rsidR="0043349D" w:rsidRPr="005919AC">
        <w:rPr>
          <w:rFonts w:ascii="Calibri" w:hAnsi="Calibri" w:cs="Calibri"/>
          <w:sz w:val="24"/>
          <w:szCs w:val="24"/>
        </w:rPr>
        <w:t xml:space="preserve">, 2 = </w:t>
      </w:r>
      <w:r w:rsidR="0043349D">
        <w:rPr>
          <w:rFonts w:ascii="Calibri" w:hAnsi="Calibri" w:cs="Calibri"/>
          <w:sz w:val="24"/>
          <w:szCs w:val="24"/>
        </w:rPr>
        <w:t>Disagree</w:t>
      </w:r>
      <w:r w:rsidR="0043349D" w:rsidRPr="005919AC">
        <w:rPr>
          <w:rFonts w:ascii="Calibri" w:hAnsi="Calibri" w:cs="Calibri"/>
          <w:sz w:val="24"/>
          <w:szCs w:val="24"/>
        </w:rPr>
        <w:t xml:space="preserve">, 3 = </w:t>
      </w:r>
      <w:r w:rsidR="0043349D">
        <w:rPr>
          <w:rFonts w:ascii="Calibri" w:hAnsi="Calibri" w:cs="Calibri"/>
          <w:sz w:val="24"/>
          <w:szCs w:val="24"/>
        </w:rPr>
        <w:t>Agree</w:t>
      </w:r>
      <w:r w:rsidR="0043349D" w:rsidRPr="005919AC">
        <w:rPr>
          <w:rFonts w:ascii="Calibri" w:hAnsi="Calibri" w:cs="Calibri"/>
          <w:sz w:val="24"/>
          <w:szCs w:val="24"/>
        </w:rPr>
        <w:t xml:space="preserve">, </w:t>
      </w:r>
      <w:r w:rsidR="0043349D">
        <w:rPr>
          <w:rFonts w:ascii="Calibri" w:hAnsi="Calibri" w:cs="Calibri"/>
          <w:sz w:val="24"/>
          <w:szCs w:val="24"/>
        </w:rPr>
        <w:t xml:space="preserve">and </w:t>
      </w:r>
      <w:r w:rsidR="0043349D" w:rsidRPr="005919AC">
        <w:rPr>
          <w:rFonts w:ascii="Calibri" w:hAnsi="Calibri" w:cs="Calibri"/>
          <w:sz w:val="24"/>
          <w:szCs w:val="24"/>
        </w:rPr>
        <w:t xml:space="preserve">4 = </w:t>
      </w:r>
      <w:r w:rsidR="0043349D">
        <w:rPr>
          <w:rFonts w:ascii="Calibri" w:hAnsi="Calibri" w:cs="Calibri"/>
          <w:sz w:val="24"/>
          <w:szCs w:val="24"/>
        </w:rPr>
        <w:t xml:space="preserve">Strongly Agree. </w:t>
      </w:r>
      <w:r w:rsidR="00841363">
        <w:rPr>
          <w:rFonts w:ascii="Calibri" w:hAnsi="Calibri" w:cs="Calibri"/>
          <w:sz w:val="24"/>
          <w:szCs w:val="24"/>
        </w:rPr>
        <w:t xml:space="preserve">As displayed in Figure </w:t>
      </w:r>
      <w:r w:rsidR="00EE4A78">
        <w:rPr>
          <w:rFonts w:ascii="Calibri" w:hAnsi="Calibri" w:cs="Calibri"/>
          <w:sz w:val="24"/>
          <w:szCs w:val="24"/>
        </w:rPr>
        <w:t>6</w:t>
      </w:r>
      <w:r w:rsidR="00841363">
        <w:rPr>
          <w:rFonts w:ascii="Calibri" w:hAnsi="Calibri" w:cs="Calibri"/>
          <w:sz w:val="24"/>
          <w:szCs w:val="24"/>
        </w:rPr>
        <w:t xml:space="preserve">, </w:t>
      </w:r>
      <w:r w:rsidR="0043349D">
        <w:rPr>
          <w:rFonts w:ascii="Calibri" w:hAnsi="Calibri" w:cs="Calibri"/>
          <w:sz w:val="24"/>
          <w:szCs w:val="24"/>
        </w:rPr>
        <w:t xml:space="preserve">respondents’ satisfaction </w:t>
      </w:r>
      <w:r w:rsidR="008A48CD">
        <w:rPr>
          <w:rFonts w:ascii="Calibri" w:hAnsi="Calibri" w:cs="Calibri"/>
          <w:sz w:val="24"/>
          <w:szCs w:val="24"/>
        </w:rPr>
        <w:t xml:space="preserve">is highest </w:t>
      </w:r>
      <w:r w:rsidR="0043349D">
        <w:rPr>
          <w:rFonts w:ascii="Calibri" w:hAnsi="Calibri" w:cs="Calibri"/>
          <w:sz w:val="24"/>
          <w:szCs w:val="24"/>
        </w:rPr>
        <w:t>when the NIMAS file is already in the NIMAC system</w:t>
      </w:r>
      <w:r w:rsidR="008A48CD">
        <w:rPr>
          <w:rFonts w:ascii="Calibri" w:hAnsi="Calibri" w:cs="Calibri"/>
          <w:sz w:val="24"/>
          <w:szCs w:val="24"/>
        </w:rPr>
        <w:t xml:space="preserve"> (3.1), followed by when the NIMAS file is not in the NIMAC system and is added to the NIMAC Watchlist (2.7). Respondents’ satisfaction </w:t>
      </w:r>
      <w:r w:rsidR="00130799">
        <w:rPr>
          <w:rFonts w:ascii="Calibri" w:hAnsi="Calibri" w:cs="Calibri"/>
          <w:sz w:val="24"/>
          <w:szCs w:val="24"/>
        </w:rPr>
        <w:t>is</w:t>
      </w:r>
      <w:r w:rsidR="008A48CD">
        <w:rPr>
          <w:rFonts w:ascii="Calibri" w:hAnsi="Calibri" w:cs="Calibri"/>
          <w:sz w:val="24"/>
          <w:szCs w:val="24"/>
        </w:rPr>
        <w:t xml:space="preserve"> lowest when accessible formats are not within scope for NIMAS (2.4). </w:t>
      </w:r>
      <w:r w:rsidR="00973D52">
        <w:rPr>
          <w:rFonts w:ascii="Calibri" w:hAnsi="Calibri" w:cs="Calibri"/>
          <w:sz w:val="24"/>
          <w:szCs w:val="24"/>
        </w:rPr>
        <w:t xml:space="preserve">Overall, the agreement ratings on the 4-point scale were not strong, indicating only moderate satisfaction with timelines for accessible formats. </w:t>
      </w:r>
    </w:p>
    <w:p w14:paraId="4725B1CE" w14:textId="77777777" w:rsidR="00CC2CB0" w:rsidRDefault="00CC2CB0" w:rsidP="0078456F">
      <w:pPr>
        <w:spacing w:after="0" w:line="276" w:lineRule="auto"/>
        <w:rPr>
          <w:rFonts w:ascii="Calibri" w:hAnsi="Calibri" w:cs="Calibri"/>
          <w:sz w:val="24"/>
          <w:szCs w:val="24"/>
        </w:rPr>
      </w:pPr>
    </w:p>
    <w:p w14:paraId="0645015A" w14:textId="35E9F8CA" w:rsidR="00841363" w:rsidRDefault="00CC2CB0" w:rsidP="007303AE">
      <w:pPr>
        <w:pStyle w:val="Heading4"/>
        <w:spacing w:after="240"/>
      </w:pPr>
      <w:bookmarkStart w:id="24" w:name="_Toc222903994"/>
      <w:r>
        <w:rPr>
          <w:rFonts w:ascii="Times New Roman" w:hAnsi="Times New Roman" w:cs="Times New Roman"/>
          <w:b/>
          <w:noProof/>
          <w:color w:val="0070C0"/>
        </w:rPr>
        <w:drawing>
          <wp:anchor distT="0" distB="0" distL="114300" distR="114300" simplePos="0" relativeHeight="251694080" behindDoc="0" locked="0" layoutInCell="1" allowOverlap="1" wp14:anchorId="2F2138F2" wp14:editId="6F9FD165">
            <wp:simplePos x="0" y="0"/>
            <wp:positionH relativeFrom="column">
              <wp:posOffset>0</wp:posOffset>
            </wp:positionH>
            <wp:positionV relativeFrom="paragraph">
              <wp:posOffset>355600</wp:posOffset>
            </wp:positionV>
            <wp:extent cx="5922645" cy="2540000"/>
            <wp:effectExtent l="0" t="0" r="1905" b="0"/>
            <wp:wrapTopAndBottom/>
            <wp:docPr id="1050090382" name="Chart 3" descr="Figure 6 is a vertical bar chart showing respondent satisfaction with timelines for delivery of accessible formats under different conditions. The mean satisfaction ratings on a 4-point scale were 3.1 (n = 45) when the NIMAS file is already in the NIMAC system, 2.7 (n = 37) when the NIMAS file is not in the NIMAC system and is added to the NIMAC watchlist, and 2.4 (n = 49) when accessible formats are not within scope for NIMAS."/>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V relativeFrom="margin">
              <wp14:pctHeight>0</wp14:pctHeight>
            </wp14:sizeRelV>
          </wp:anchor>
        </w:drawing>
      </w:r>
      <w:r w:rsidR="00841363" w:rsidRPr="005919AC">
        <w:t xml:space="preserve">Figure </w:t>
      </w:r>
      <w:r w:rsidR="00EE4A78">
        <w:t>6</w:t>
      </w:r>
      <w:r w:rsidR="00841363" w:rsidRPr="005919AC">
        <w:t xml:space="preserve">. </w:t>
      </w:r>
      <w:r w:rsidR="00AF1DA9">
        <w:t>Satisfaction</w:t>
      </w:r>
      <w:r w:rsidR="00841363">
        <w:t xml:space="preserve"> with Timelines for Delivery of Accessible Formats</w:t>
      </w:r>
      <w:r w:rsidR="00B55C67">
        <w:rPr>
          <w:rFonts w:ascii="ZWAdobeF" w:hAnsi="ZWAdobeF" w:cs="ZWAdobeF"/>
          <w:i w:val="0"/>
          <w:color w:val="auto"/>
          <w:sz w:val="2"/>
          <w:szCs w:val="2"/>
        </w:rPr>
        <w:t>27F</w:t>
      </w:r>
      <w:r w:rsidR="00B86F88">
        <w:rPr>
          <w:rStyle w:val="FootnoteReference"/>
          <w:rFonts w:cs="Calibri"/>
          <w:smallCaps/>
          <w:color w:val="44546A" w:themeColor="text2"/>
        </w:rPr>
        <w:footnoteReference w:id="29"/>
      </w:r>
      <w:bookmarkEnd w:id="24"/>
    </w:p>
    <w:p w14:paraId="056AB32D" w14:textId="1FF28521" w:rsidR="008E614C" w:rsidRDefault="00B55C67" w:rsidP="0078456F">
      <w:pPr>
        <w:spacing w:after="0" w:line="276" w:lineRule="auto"/>
        <w:rPr>
          <w:rFonts w:ascii="Calibri" w:hAnsi="Calibri" w:cs="Calibri"/>
          <w:sz w:val="24"/>
          <w:szCs w:val="24"/>
        </w:rPr>
      </w:pPr>
      <w:r>
        <w:rPr>
          <w:rFonts w:ascii="ZWAdobeF" w:hAnsi="ZWAdobeF" w:cs="ZWAdobeF"/>
          <w:sz w:val="2"/>
          <w:szCs w:val="2"/>
        </w:rPr>
        <w:t>114B</w:t>
      </w:r>
    </w:p>
    <w:p w14:paraId="2E3AE990" w14:textId="77777777" w:rsidR="00F76088" w:rsidRDefault="00B55C67" w:rsidP="00104A9E">
      <w:pPr>
        <w:spacing w:after="0" w:line="276" w:lineRule="auto"/>
        <w:rPr>
          <w:rFonts w:ascii="Calibri" w:hAnsi="Calibri" w:cs="Calibri"/>
          <w:sz w:val="24"/>
          <w:szCs w:val="24"/>
        </w:rPr>
      </w:pPr>
      <w:r>
        <w:rPr>
          <w:rFonts w:ascii="ZWAdobeF" w:hAnsi="ZWAdobeF" w:cs="ZWAdobeF"/>
          <w:sz w:val="2"/>
          <w:szCs w:val="2"/>
        </w:rPr>
        <w:lastRenderedPageBreak/>
        <w:t>115B</w:t>
      </w:r>
      <w:r w:rsidR="00FD7909" w:rsidRPr="006C0055">
        <w:rPr>
          <w:rFonts w:ascii="Calibri" w:hAnsi="Calibri" w:cs="Calibri"/>
          <w:sz w:val="24"/>
          <w:szCs w:val="24"/>
        </w:rPr>
        <w:t>Respondents</w:t>
      </w:r>
      <w:r w:rsidR="00104A9E" w:rsidRPr="00321137">
        <w:rPr>
          <w:rFonts w:ascii="Calibri" w:hAnsi="Calibri" w:cs="Calibri"/>
          <w:sz w:val="24"/>
          <w:szCs w:val="24"/>
        </w:rPr>
        <w:t xml:space="preserve"> were given the opportunity to explain their satisfaction ratings and </w:t>
      </w:r>
      <w:r w:rsidR="002A21DF">
        <w:rPr>
          <w:rFonts w:ascii="Calibri" w:hAnsi="Calibri" w:cs="Calibri"/>
          <w:sz w:val="24"/>
          <w:szCs w:val="24"/>
        </w:rPr>
        <w:t>offer</w:t>
      </w:r>
      <w:r w:rsidR="00104A9E" w:rsidRPr="00321137">
        <w:rPr>
          <w:rFonts w:ascii="Calibri" w:hAnsi="Calibri" w:cs="Calibri"/>
          <w:sz w:val="24"/>
          <w:szCs w:val="24"/>
        </w:rPr>
        <w:t xml:space="preserve"> suggestions for facilitat</w:t>
      </w:r>
      <w:r w:rsidR="00CE25E8">
        <w:rPr>
          <w:rFonts w:ascii="Calibri" w:hAnsi="Calibri" w:cs="Calibri"/>
          <w:sz w:val="24"/>
          <w:szCs w:val="24"/>
        </w:rPr>
        <w:t>ing</w:t>
      </w:r>
      <w:r w:rsidR="00104A9E" w:rsidRPr="00321137">
        <w:rPr>
          <w:rFonts w:ascii="Calibri" w:hAnsi="Calibri" w:cs="Calibri"/>
          <w:sz w:val="24"/>
          <w:szCs w:val="24"/>
        </w:rPr>
        <w:t xml:space="preserve"> more timely delivery of accessible formats. A total of 20 excerpts were identified</w:t>
      </w:r>
      <w:r w:rsidR="00D17A3A">
        <w:rPr>
          <w:rFonts w:ascii="Calibri" w:hAnsi="Calibri" w:cs="Calibri"/>
          <w:sz w:val="24"/>
          <w:szCs w:val="24"/>
        </w:rPr>
        <w:t>, with n</w:t>
      </w:r>
      <w:r w:rsidR="00104A9E" w:rsidRPr="00321137">
        <w:rPr>
          <w:rFonts w:ascii="Calibri" w:hAnsi="Calibri" w:cs="Calibri"/>
          <w:sz w:val="24"/>
          <w:szCs w:val="24"/>
        </w:rPr>
        <w:t xml:space="preserve">ine </w:t>
      </w:r>
      <w:r w:rsidR="00104A9E">
        <w:rPr>
          <w:rFonts w:ascii="Calibri" w:hAnsi="Calibri" w:cs="Calibri"/>
          <w:sz w:val="24"/>
          <w:szCs w:val="24"/>
        </w:rPr>
        <w:t>(45%) describ</w:t>
      </w:r>
      <w:r w:rsidR="00D17A3A">
        <w:rPr>
          <w:rFonts w:ascii="Calibri" w:hAnsi="Calibri" w:cs="Calibri"/>
          <w:sz w:val="24"/>
          <w:szCs w:val="24"/>
        </w:rPr>
        <w:t>ing</w:t>
      </w:r>
      <w:r w:rsidR="00104A9E">
        <w:rPr>
          <w:rFonts w:ascii="Calibri" w:hAnsi="Calibri" w:cs="Calibri"/>
          <w:sz w:val="24"/>
          <w:szCs w:val="24"/>
        </w:rPr>
        <w:t xml:space="preserve"> how timeline</w:t>
      </w:r>
      <w:r w:rsidR="002A21DF">
        <w:rPr>
          <w:rFonts w:ascii="Calibri" w:hAnsi="Calibri" w:cs="Calibri"/>
          <w:sz w:val="24"/>
          <w:szCs w:val="24"/>
        </w:rPr>
        <w:t>s</w:t>
      </w:r>
      <w:r w:rsidR="00104A9E">
        <w:rPr>
          <w:rFonts w:ascii="Calibri" w:hAnsi="Calibri" w:cs="Calibri"/>
          <w:sz w:val="24"/>
          <w:szCs w:val="24"/>
        </w:rPr>
        <w:t xml:space="preserve"> for delivery </w:t>
      </w:r>
      <w:r w:rsidR="002A21DF">
        <w:rPr>
          <w:rFonts w:ascii="Calibri" w:hAnsi="Calibri" w:cs="Calibri"/>
          <w:sz w:val="24"/>
          <w:szCs w:val="24"/>
        </w:rPr>
        <w:t>are</w:t>
      </w:r>
      <w:r w:rsidR="00104A9E">
        <w:rPr>
          <w:rFonts w:ascii="Calibri" w:hAnsi="Calibri" w:cs="Calibri"/>
          <w:sz w:val="24"/>
          <w:szCs w:val="24"/>
        </w:rPr>
        <w:t xml:space="preserve"> improved when NIMAS files are already in the NIMAC system (see Figure </w:t>
      </w:r>
      <w:r w:rsidR="00EE4A78">
        <w:rPr>
          <w:rFonts w:ascii="Calibri" w:hAnsi="Calibri" w:cs="Calibri"/>
          <w:sz w:val="24"/>
          <w:szCs w:val="24"/>
        </w:rPr>
        <w:t>7</w:t>
      </w:r>
      <w:r w:rsidR="00104A9E">
        <w:rPr>
          <w:rFonts w:ascii="Calibri" w:hAnsi="Calibri" w:cs="Calibri"/>
          <w:sz w:val="24"/>
          <w:szCs w:val="24"/>
        </w:rPr>
        <w:t xml:space="preserve"> for representative quotations). </w:t>
      </w:r>
      <w:r w:rsidR="009B6D37">
        <w:rPr>
          <w:rFonts w:ascii="Calibri" w:hAnsi="Calibri" w:cs="Calibri"/>
          <w:sz w:val="24"/>
          <w:szCs w:val="24"/>
        </w:rPr>
        <w:t>O</w:t>
      </w:r>
      <w:r w:rsidR="00CF0695">
        <w:rPr>
          <w:rFonts w:ascii="Calibri" w:hAnsi="Calibri" w:cs="Calibri"/>
          <w:sz w:val="24"/>
          <w:szCs w:val="24"/>
        </w:rPr>
        <w:t>ther excerpts highlighted additional factors that hinder or facilitate timely delivery of accessible formats, and these excerpts are included in the qualitative analys</w:t>
      </w:r>
      <w:r w:rsidR="002D0BBF">
        <w:rPr>
          <w:rFonts w:ascii="Calibri" w:hAnsi="Calibri" w:cs="Calibri"/>
          <w:sz w:val="24"/>
          <w:szCs w:val="24"/>
        </w:rPr>
        <w:t>e</w:t>
      </w:r>
      <w:r w:rsidR="00CF0695">
        <w:rPr>
          <w:rFonts w:ascii="Calibri" w:hAnsi="Calibri" w:cs="Calibri"/>
          <w:sz w:val="24"/>
          <w:szCs w:val="24"/>
        </w:rPr>
        <w:t>s in forthcoming sections.</w:t>
      </w:r>
    </w:p>
    <w:p w14:paraId="74BF2E6B" w14:textId="05EB4822" w:rsidR="00104A9E" w:rsidRDefault="00CF0695" w:rsidP="00104A9E">
      <w:pPr>
        <w:spacing w:after="0" w:line="276" w:lineRule="auto"/>
        <w:rPr>
          <w:rFonts w:ascii="Calibri" w:hAnsi="Calibri" w:cs="Calibri"/>
          <w:sz w:val="24"/>
          <w:szCs w:val="24"/>
        </w:rPr>
      </w:pPr>
      <w:r>
        <w:rPr>
          <w:rFonts w:ascii="Calibri" w:hAnsi="Calibri" w:cs="Calibri"/>
          <w:sz w:val="24"/>
          <w:szCs w:val="24"/>
        </w:rPr>
        <w:t xml:space="preserve"> </w:t>
      </w:r>
    </w:p>
    <w:p w14:paraId="62C0F347" w14:textId="68B1D921" w:rsidR="002D0BBF" w:rsidRDefault="002D0BBF">
      <w:pPr>
        <w:rPr>
          <w:rFonts w:ascii="Calibri" w:eastAsiaTheme="majorEastAsia" w:hAnsi="Calibri" w:cs="Calibri"/>
          <w:smallCaps/>
          <w:color w:val="44546A" w:themeColor="text2"/>
          <w:sz w:val="24"/>
          <w:szCs w:val="24"/>
        </w:rPr>
      </w:pPr>
    </w:p>
    <w:p w14:paraId="1109F83B" w14:textId="409D66E5" w:rsidR="00FD5797" w:rsidRDefault="00104A9E" w:rsidP="004946C3">
      <w:pPr>
        <w:pStyle w:val="Heading4"/>
      </w:pPr>
      <w:bookmarkStart w:id="25" w:name="_Toc222903995"/>
      <w:r>
        <w:t xml:space="preserve">Figure </w:t>
      </w:r>
      <w:r w:rsidR="00EE4A78">
        <w:t>7</w:t>
      </w:r>
      <w:r w:rsidRPr="006C7F46">
        <w:t xml:space="preserve">. </w:t>
      </w:r>
      <w:r>
        <w:t>Representative Quotations</w:t>
      </w:r>
      <w:r w:rsidR="00507DD7">
        <w:t xml:space="preserve">: </w:t>
      </w:r>
      <w:r>
        <w:t>How Timelines for Delivery are Improved When NIMAS Files are Already in the NIMAC System</w:t>
      </w:r>
      <w:bookmarkEnd w:id="25"/>
    </w:p>
    <w:p w14:paraId="4A53735F" w14:textId="77777777" w:rsidR="00FD5797" w:rsidRPr="00FD5797" w:rsidRDefault="00FD5797" w:rsidP="00FD5797">
      <w:pPr>
        <w:rPr>
          <w:sz w:val="2"/>
          <w:szCs w:val="2"/>
        </w:rPr>
      </w:pPr>
    </w:p>
    <w:p w14:paraId="15EB878D" w14:textId="2DD4066C" w:rsidR="002D0BBF" w:rsidRDefault="00B55C67" w:rsidP="00430986">
      <w:r>
        <w:rPr>
          <w:rFonts w:ascii="ZWAdobeF" w:hAnsi="ZWAdobeF" w:cs="ZWAdobeF"/>
          <w:sz w:val="2"/>
          <w:szCs w:val="2"/>
        </w:rPr>
        <w:t>116B</w:t>
      </w:r>
      <w:r w:rsidR="00104A9E" w:rsidRPr="000A73FC">
        <w:rPr>
          <w:noProof/>
        </w:rPr>
        <mc:AlternateContent>
          <mc:Choice Requires="wps">
            <w:drawing>
              <wp:inline distT="0" distB="0" distL="0" distR="0" wp14:anchorId="17CD77C7" wp14:editId="7BEAE36D">
                <wp:extent cx="5934710" cy="4550817"/>
                <wp:effectExtent l="0" t="0" r="8890" b="2540"/>
                <wp:docPr id="1563235258" name="AutoShape 14" descr="Figure 7. Representative Quotations: How Timelines for Delivery are Improved When NIMAS Files are Already in the NIMAC System"/>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34710" cy="4550817"/>
                        </a:xfrm>
                        <a:prstGeom prst="rect">
                          <a:avLst/>
                        </a:prstGeom>
                        <a:solidFill>
                          <a:schemeClr val="tx2">
                            <a:lumMod val="20000"/>
                            <a:lumOff val="80000"/>
                            <a:alpha val="34902"/>
                          </a:schemeClr>
                        </a:solidFill>
                      </wps:spPr>
                      <wps:txbx>
                        <w:txbxContent>
                          <w:p w14:paraId="223C335A" w14:textId="377F3AB3" w:rsidR="00321137" w:rsidRDefault="00321137" w:rsidP="00692AD9">
                            <w:pPr>
                              <w:pStyle w:val="ListParagraph"/>
                              <w:numPr>
                                <w:ilvl w:val="0"/>
                                <w:numId w:val="3"/>
                              </w:numPr>
                              <w:spacing w:after="240"/>
                              <w:ind w:left="360"/>
                              <w:contextualSpacing w:val="0"/>
                              <w:rPr>
                                <w:rStyle w:val="PlaceholderText"/>
                                <w:i/>
                                <w:iCs/>
                                <w:color w:val="323E4F" w:themeColor="text2" w:themeShade="BF"/>
                              </w:rPr>
                            </w:pPr>
                            <w:r>
                              <w:rPr>
                                <w:rStyle w:val="PlaceholderText"/>
                                <w:i/>
                                <w:iCs/>
                                <w:color w:val="323E4F" w:themeColor="text2" w:themeShade="BF"/>
                              </w:rPr>
                              <w:t>“</w:t>
                            </w:r>
                            <w:r w:rsidRPr="00321137">
                              <w:rPr>
                                <w:rStyle w:val="PlaceholderText"/>
                                <w:i/>
                                <w:iCs/>
                                <w:color w:val="323E4F" w:themeColor="text2" w:themeShade="BF"/>
                              </w:rPr>
                              <w:t>When we don't have a NIMAS file, it can add several months to our already long turnaround times</w:t>
                            </w:r>
                            <w:r>
                              <w:rPr>
                                <w:rStyle w:val="PlaceholderText"/>
                                <w:i/>
                                <w:iCs/>
                                <w:color w:val="323E4F" w:themeColor="text2" w:themeShade="BF"/>
                              </w:rPr>
                              <w:t>. T</w:t>
                            </w:r>
                            <w:r w:rsidRPr="00321137">
                              <w:rPr>
                                <w:rStyle w:val="PlaceholderText"/>
                                <w:i/>
                                <w:iCs/>
                                <w:color w:val="323E4F" w:themeColor="text2" w:themeShade="BF"/>
                              </w:rPr>
                              <w:t>his would also cause us to fall behind on timely delivery.</w:t>
                            </w:r>
                            <w:r>
                              <w:rPr>
                                <w:rStyle w:val="PlaceholderText"/>
                                <w:i/>
                                <w:iCs/>
                                <w:color w:val="323E4F" w:themeColor="text2" w:themeShade="BF"/>
                              </w:rPr>
                              <w:t>” (UT)</w:t>
                            </w:r>
                          </w:p>
                          <w:p w14:paraId="21382EF2" w14:textId="5C995309" w:rsidR="00321137" w:rsidRDefault="00321137" w:rsidP="00692AD9">
                            <w:pPr>
                              <w:pStyle w:val="ListParagraph"/>
                              <w:numPr>
                                <w:ilvl w:val="0"/>
                                <w:numId w:val="3"/>
                              </w:numPr>
                              <w:spacing w:after="240"/>
                              <w:ind w:left="360"/>
                              <w:contextualSpacing w:val="0"/>
                              <w:rPr>
                                <w:rStyle w:val="PlaceholderText"/>
                                <w:i/>
                                <w:iCs/>
                                <w:color w:val="323E4F" w:themeColor="text2" w:themeShade="BF"/>
                              </w:rPr>
                            </w:pPr>
                            <w:r>
                              <w:rPr>
                                <w:rStyle w:val="PlaceholderText"/>
                                <w:i/>
                                <w:iCs/>
                                <w:color w:val="323E4F" w:themeColor="text2" w:themeShade="BF"/>
                              </w:rPr>
                              <w:t>“</w:t>
                            </w:r>
                            <w:r w:rsidRPr="00321137">
                              <w:rPr>
                                <w:rStyle w:val="PlaceholderText"/>
                                <w:i/>
                                <w:iCs/>
                                <w:color w:val="323E4F" w:themeColor="text2" w:themeShade="BF"/>
                              </w:rPr>
                              <w:t>Having access to NIMAS files helps speed up the braille production process. When NIMAS files have not been added to NIMAS or are not available</w:t>
                            </w:r>
                            <w:r w:rsidR="00D17A3A">
                              <w:rPr>
                                <w:rStyle w:val="PlaceholderText"/>
                                <w:i/>
                                <w:iCs/>
                                <w:color w:val="323E4F" w:themeColor="text2" w:themeShade="BF"/>
                              </w:rPr>
                              <w:t>,</w:t>
                            </w:r>
                            <w:r w:rsidRPr="00321137">
                              <w:rPr>
                                <w:rStyle w:val="PlaceholderText"/>
                                <w:i/>
                                <w:iCs/>
                                <w:color w:val="323E4F" w:themeColor="text2" w:themeShade="BF"/>
                              </w:rPr>
                              <w:t xml:space="preserve"> it really impacts the delivery of these materials to our students.</w:t>
                            </w:r>
                            <w:r>
                              <w:rPr>
                                <w:rStyle w:val="PlaceholderText"/>
                                <w:i/>
                                <w:iCs/>
                                <w:color w:val="323E4F" w:themeColor="text2" w:themeShade="BF"/>
                              </w:rPr>
                              <w:t>” (CO)</w:t>
                            </w:r>
                          </w:p>
                          <w:p w14:paraId="1DED4ECF" w14:textId="5BF6C4DB" w:rsidR="00321137" w:rsidRDefault="00321137" w:rsidP="00692AD9">
                            <w:pPr>
                              <w:pStyle w:val="ListParagraph"/>
                              <w:numPr>
                                <w:ilvl w:val="0"/>
                                <w:numId w:val="3"/>
                              </w:numPr>
                              <w:spacing w:after="240"/>
                              <w:ind w:left="360"/>
                              <w:contextualSpacing w:val="0"/>
                              <w:rPr>
                                <w:rStyle w:val="PlaceholderText"/>
                                <w:i/>
                                <w:iCs/>
                                <w:color w:val="323E4F" w:themeColor="text2" w:themeShade="BF"/>
                              </w:rPr>
                            </w:pPr>
                            <w:r>
                              <w:rPr>
                                <w:rStyle w:val="PlaceholderText"/>
                                <w:i/>
                                <w:iCs/>
                                <w:color w:val="323E4F" w:themeColor="text2" w:themeShade="BF"/>
                              </w:rPr>
                              <w:t>“</w:t>
                            </w:r>
                            <w:r w:rsidRPr="00321137">
                              <w:rPr>
                                <w:rStyle w:val="PlaceholderText"/>
                                <w:i/>
                                <w:iCs/>
                                <w:color w:val="323E4F" w:themeColor="text2" w:themeShade="BF"/>
                              </w:rPr>
                              <w:t>It makes delivery so much quicker if materials are in NIMAC. I can assign the materials to a vendor and they can start transcription. If not, all materials must be scanned</w:t>
                            </w:r>
                            <w:r w:rsidR="00D17A3A">
                              <w:rPr>
                                <w:rStyle w:val="PlaceholderText"/>
                                <w:i/>
                                <w:iCs/>
                                <w:color w:val="323E4F" w:themeColor="text2" w:themeShade="BF"/>
                              </w:rPr>
                              <w:t>,</w:t>
                            </w:r>
                            <w:r w:rsidRPr="00321137">
                              <w:rPr>
                                <w:rStyle w:val="PlaceholderText"/>
                                <w:i/>
                                <w:iCs/>
                                <w:color w:val="323E4F" w:themeColor="text2" w:themeShade="BF"/>
                              </w:rPr>
                              <w:t xml:space="preserve"> which is time consuming</w:t>
                            </w:r>
                            <w:r>
                              <w:rPr>
                                <w:rStyle w:val="PlaceholderText"/>
                                <w:i/>
                                <w:iCs/>
                                <w:color w:val="323E4F" w:themeColor="text2" w:themeShade="BF"/>
                              </w:rPr>
                              <w:t>.” (CT)</w:t>
                            </w:r>
                          </w:p>
                          <w:p w14:paraId="5B26F5AF" w14:textId="00AC12B2" w:rsidR="00321137" w:rsidRDefault="00321137" w:rsidP="00692AD9">
                            <w:pPr>
                              <w:pStyle w:val="ListParagraph"/>
                              <w:numPr>
                                <w:ilvl w:val="0"/>
                                <w:numId w:val="3"/>
                              </w:numPr>
                              <w:spacing w:after="240"/>
                              <w:ind w:left="360"/>
                              <w:contextualSpacing w:val="0"/>
                              <w:rPr>
                                <w:rStyle w:val="PlaceholderText"/>
                                <w:i/>
                                <w:iCs/>
                                <w:color w:val="323E4F" w:themeColor="text2" w:themeShade="BF"/>
                              </w:rPr>
                            </w:pPr>
                            <w:r>
                              <w:rPr>
                                <w:rStyle w:val="PlaceholderText"/>
                                <w:i/>
                                <w:iCs/>
                                <w:color w:val="323E4F" w:themeColor="text2" w:themeShade="BF"/>
                              </w:rPr>
                              <w:t>“</w:t>
                            </w:r>
                            <w:r w:rsidRPr="00321137">
                              <w:rPr>
                                <w:rStyle w:val="PlaceholderText"/>
                                <w:i/>
                                <w:iCs/>
                                <w:color w:val="323E4F" w:themeColor="text2" w:themeShade="BF"/>
                              </w:rPr>
                              <w:t>The turnaround time is so much quicker when the NIMAS files are already available in NIMAC.</w:t>
                            </w:r>
                            <w:r>
                              <w:rPr>
                                <w:rStyle w:val="PlaceholderText"/>
                                <w:i/>
                                <w:iCs/>
                                <w:color w:val="323E4F" w:themeColor="text2" w:themeShade="BF"/>
                              </w:rPr>
                              <w:t>” (IA)</w:t>
                            </w:r>
                          </w:p>
                          <w:p w14:paraId="4CC5529E" w14:textId="77777777" w:rsidR="00321137" w:rsidRDefault="00321137" w:rsidP="00692AD9">
                            <w:pPr>
                              <w:pStyle w:val="ListParagraph"/>
                              <w:numPr>
                                <w:ilvl w:val="0"/>
                                <w:numId w:val="3"/>
                              </w:numPr>
                              <w:spacing w:after="240"/>
                              <w:ind w:left="360"/>
                              <w:contextualSpacing w:val="0"/>
                              <w:rPr>
                                <w:rStyle w:val="PlaceholderText"/>
                                <w:i/>
                                <w:iCs/>
                                <w:color w:val="323E4F" w:themeColor="text2" w:themeShade="BF"/>
                              </w:rPr>
                            </w:pPr>
                            <w:r>
                              <w:rPr>
                                <w:rStyle w:val="PlaceholderText"/>
                                <w:i/>
                                <w:iCs/>
                                <w:color w:val="323E4F" w:themeColor="text2" w:themeShade="BF"/>
                              </w:rPr>
                              <w:t>“NIMAS</w:t>
                            </w:r>
                            <w:r w:rsidRPr="00321137">
                              <w:rPr>
                                <w:rStyle w:val="PlaceholderText"/>
                                <w:i/>
                                <w:iCs/>
                                <w:color w:val="323E4F" w:themeColor="text2" w:themeShade="BF"/>
                              </w:rPr>
                              <w:t xml:space="preserve"> is a great help for braille production</w:t>
                            </w:r>
                            <w:r>
                              <w:rPr>
                                <w:rStyle w:val="PlaceholderText"/>
                                <w:i/>
                                <w:iCs/>
                                <w:color w:val="323E4F" w:themeColor="text2" w:themeShade="BF"/>
                              </w:rPr>
                              <w:t>.” (MA)</w:t>
                            </w:r>
                          </w:p>
                          <w:p w14:paraId="2ACD0847" w14:textId="30396DB8" w:rsidR="00321137" w:rsidRPr="009E68A9" w:rsidRDefault="00321137" w:rsidP="00692AD9">
                            <w:pPr>
                              <w:pStyle w:val="ListParagraph"/>
                              <w:numPr>
                                <w:ilvl w:val="0"/>
                                <w:numId w:val="3"/>
                              </w:numPr>
                              <w:spacing w:after="240"/>
                              <w:ind w:left="360"/>
                              <w:contextualSpacing w:val="0"/>
                              <w:rPr>
                                <w:rStyle w:val="PlaceholderText"/>
                                <w:i/>
                                <w:iCs/>
                                <w:color w:val="323E4F" w:themeColor="text2" w:themeShade="BF"/>
                              </w:rPr>
                            </w:pPr>
                            <w:r>
                              <w:rPr>
                                <w:rStyle w:val="PlaceholderText"/>
                                <w:i/>
                                <w:iCs/>
                                <w:color w:val="323E4F" w:themeColor="text2" w:themeShade="BF"/>
                              </w:rPr>
                              <w:t>“W</w:t>
                            </w:r>
                            <w:r w:rsidRPr="00321137">
                              <w:rPr>
                                <w:rStyle w:val="PlaceholderText"/>
                                <w:i/>
                                <w:iCs/>
                                <w:color w:val="323E4F" w:themeColor="text2" w:themeShade="BF"/>
                              </w:rPr>
                              <w:t>hen things are in the NIMAC</w:t>
                            </w:r>
                            <w:r w:rsidR="00D17A3A">
                              <w:rPr>
                                <w:rStyle w:val="PlaceholderText"/>
                                <w:i/>
                                <w:iCs/>
                                <w:color w:val="323E4F" w:themeColor="text2" w:themeShade="BF"/>
                              </w:rPr>
                              <w:t>,</w:t>
                            </w:r>
                            <w:r w:rsidRPr="00321137">
                              <w:rPr>
                                <w:rStyle w:val="PlaceholderText"/>
                                <w:i/>
                                <w:iCs/>
                                <w:color w:val="323E4F" w:themeColor="text2" w:themeShade="BF"/>
                              </w:rPr>
                              <w:t xml:space="preserve"> there is no need to scan, zone, OCR, etc</w:t>
                            </w:r>
                            <w:r>
                              <w:rPr>
                                <w:rStyle w:val="PlaceholderText"/>
                                <w:i/>
                                <w:iCs/>
                                <w:color w:val="323E4F" w:themeColor="text2" w:themeShade="BF"/>
                              </w:rPr>
                              <w:t>.</w:t>
                            </w:r>
                            <w:r w:rsidR="00D17A3A">
                              <w:rPr>
                                <w:rStyle w:val="PlaceholderText"/>
                                <w:i/>
                                <w:iCs/>
                                <w:color w:val="323E4F" w:themeColor="text2" w:themeShade="BF"/>
                              </w:rPr>
                              <w:t>,</w:t>
                            </w:r>
                            <w:r w:rsidRPr="00321137">
                              <w:rPr>
                                <w:rStyle w:val="PlaceholderText"/>
                                <w:i/>
                                <w:iCs/>
                                <w:color w:val="323E4F" w:themeColor="text2" w:themeShade="BF"/>
                              </w:rPr>
                              <w:t xml:space="preserve"> and the time savings from that alone is </w:t>
                            </w:r>
                            <w:r w:rsidR="00CA6BEA">
                              <w:rPr>
                                <w:rStyle w:val="PlaceholderText"/>
                                <w:i/>
                                <w:iCs/>
                                <w:color w:val="323E4F" w:themeColor="text2" w:themeShade="BF"/>
                              </w:rPr>
                              <w:t>huge</w:t>
                            </w:r>
                            <w:r w:rsidRPr="00321137">
                              <w:rPr>
                                <w:rStyle w:val="PlaceholderText"/>
                                <w:i/>
                                <w:iCs/>
                                <w:color w:val="323E4F" w:themeColor="text2" w:themeShade="BF"/>
                              </w:rPr>
                              <w:t>!</w:t>
                            </w:r>
                            <w:r>
                              <w:rPr>
                                <w:rStyle w:val="PlaceholderText"/>
                                <w:i/>
                                <w:iCs/>
                                <w:color w:val="323E4F" w:themeColor="text2" w:themeShade="BF"/>
                              </w:rPr>
                              <w:t>” (MI)</w:t>
                            </w:r>
                          </w:p>
                          <w:p w14:paraId="6423B860" w14:textId="2632F6A8" w:rsidR="00104A9E" w:rsidRPr="00321137" w:rsidRDefault="00321137" w:rsidP="00692AD9">
                            <w:pPr>
                              <w:pStyle w:val="ListParagraph"/>
                              <w:numPr>
                                <w:ilvl w:val="0"/>
                                <w:numId w:val="3"/>
                              </w:numPr>
                              <w:spacing w:after="240"/>
                              <w:ind w:left="360"/>
                              <w:contextualSpacing w:val="0"/>
                              <w:rPr>
                                <w:rStyle w:val="PlaceholderText"/>
                                <w:i/>
                                <w:iCs/>
                                <w:color w:val="323E4F" w:themeColor="text2" w:themeShade="BF"/>
                              </w:rPr>
                            </w:pPr>
                            <w:r>
                              <w:rPr>
                                <w:rStyle w:val="PlaceholderText"/>
                                <w:i/>
                                <w:iCs/>
                                <w:color w:val="323E4F" w:themeColor="text2" w:themeShade="BF"/>
                              </w:rPr>
                              <w:t>“</w:t>
                            </w:r>
                            <w:r w:rsidRPr="00321137">
                              <w:rPr>
                                <w:rStyle w:val="PlaceholderText"/>
                                <w:i/>
                                <w:iCs/>
                                <w:color w:val="323E4F" w:themeColor="text2" w:themeShade="BF"/>
                              </w:rPr>
                              <w:t>When available, the NIMAS files</w:t>
                            </w:r>
                            <w:r w:rsidR="002A21DF">
                              <w:rPr>
                                <w:rStyle w:val="PlaceholderText"/>
                                <w:i/>
                                <w:iCs/>
                                <w:color w:val="323E4F" w:themeColor="text2" w:themeShade="BF"/>
                              </w:rPr>
                              <w:t xml:space="preserve"> </w:t>
                            </w:r>
                            <w:r w:rsidRPr="00321137">
                              <w:rPr>
                                <w:rStyle w:val="PlaceholderText"/>
                                <w:i/>
                                <w:iCs/>
                                <w:color w:val="323E4F" w:themeColor="text2" w:themeShade="BF"/>
                              </w:rPr>
                              <w:t>speed up my process since it</w:t>
                            </w:r>
                            <w:r w:rsidR="002A21DF">
                              <w:rPr>
                                <w:rStyle w:val="PlaceholderText"/>
                                <w:i/>
                                <w:iCs/>
                                <w:color w:val="323E4F" w:themeColor="text2" w:themeShade="BF"/>
                              </w:rPr>
                              <w:t>’</w:t>
                            </w:r>
                            <w:r w:rsidRPr="00321137">
                              <w:rPr>
                                <w:rStyle w:val="PlaceholderText"/>
                                <w:i/>
                                <w:iCs/>
                                <w:color w:val="323E4F" w:themeColor="text2" w:themeShade="BF"/>
                              </w:rPr>
                              <w:t>s usually more accurate than OCR.</w:t>
                            </w:r>
                            <w:r>
                              <w:rPr>
                                <w:rStyle w:val="PlaceholderText"/>
                                <w:i/>
                                <w:iCs/>
                                <w:color w:val="323E4F" w:themeColor="text2" w:themeShade="BF"/>
                              </w:rPr>
                              <w:t>” (MI)</w:t>
                            </w:r>
                          </w:p>
                          <w:p w14:paraId="52A1A7EB" w14:textId="6291A680" w:rsidR="00321137" w:rsidRPr="00321137" w:rsidRDefault="00321137" w:rsidP="00692AD9">
                            <w:pPr>
                              <w:pStyle w:val="ListParagraph"/>
                              <w:numPr>
                                <w:ilvl w:val="0"/>
                                <w:numId w:val="2"/>
                              </w:numPr>
                              <w:spacing w:after="240" w:line="240" w:lineRule="auto"/>
                              <w:ind w:left="360"/>
                              <w:contextualSpacing w:val="0"/>
                              <w:rPr>
                                <w:rStyle w:val="PlaceholderText"/>
                                <w:i/>
                                <w:iCs/>
                                <w:color w:val="323E4F" w:themeColor="text2" w:themeShade="BF"/>
                              </w:rPr>
                            </w:pPr>
                            <w:r>
                              <w:rPr>
                                <w:rStyle w:val="PlaceholderText"/>
                                <w:i/>
                                <w:iCs/>
                                <w:color w:val="323E4F" w:themeColor="text2" w:themeShade="BF"/>
                              </w:rPr>
                              <w:t>“</w:t>
                            </w:r>
                            <w:r w:rsidRPr="00321137">
                              <w:rPr>
                                <w:rStyle w:val="PlaceholderText"/>
                                <w:i/>
                                <w:iCs/>
                                <w:color w:val="323E4F" w:themeColor="text2" w:themeShade="BF"/>
                              </w:rPr>
                              <w:t>When materials are already in the NIMAS file format</w:t>
                            </w:r>
                            <w:r w:rsidR="00D17A3A">
                              <w:rPr>
                                <w:rStyle w:val="PlaceholderText"/>
                                <w:i/>
                                <w:iCs/>
                                <w:color w:val="323E4F" w:themeColor="text2" w:themeShade="BF"/>
                              </w:rPr>
                              <w:t>,</w:t>
                            </w:r>
                            <w:r w:rsidRPr="00321137">
                              <w:rPr>
                                <w:rStyle w:val="PlaceholderText"/>
                                <w:i/>
                                <w:iCs/>
                                <w:color w:val="323E4F" w:themeColor="text2" w:themeShade="BF"/>
                              </w:rPr>
                              <w:t xml:space="preserve"> they are immediately available for download to an AMP account</w:t>
                            </w:r>
                            <w:r>
                              <w:rPr>
                                <w:rStyle w:val="PlaceholderText"/>
                                <w:i/>
                                <w:iCs/>
                                <w:color w:val="323E4F" w:themeColor="text2" w:themeShade="BF"/>
                              </w:rPr>
                              <w:t>.” (NC)</w:t>
                            </w:r>
                          </w:p>
                        </w:txbxContent>
                      </wps:txbx>
                      <wps:bodyPr rot="0" vert="horz" wrap="square" lIns="182880" tIns="182880" rIns="182880" bIns="182880" anchor="t" anchorCtr="0" upright="1">
                        <a:noAutofit/>
                      </wps:bodyPr>
                    </wps:wsp>
                  </a:graphicData>
                </a:graphic>
              </wp:inline>
            </w:drawing>
          </mc:Choice>
          <mc:Fallback>
            <w:pict>
              <v:rect w14:anchorId="17CD77C7" id="AutoShape 14" o:spid="_x0000_s1027" alt="Figure 7. Representative Quotations: How Timelines for Delivery are Improved When NIMAS Files are Already in the NIMAC System" style="width:467.3pt;height:358.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" fillcolor="#d5dce4 [671]" stroked="f">
                <v:fill opacity="22873f"/>
                <v:textbox inset="14.4pt,14.4pt,14.4pt,14.4pt">
                  <w:txbxContent>
                    <w:p w14:paraId="223C335A" w14:textId="377F3AB3" w:rsidR="00321137" w:rsidRDefault="00321137" w:rsidP="00692AD9">
                      <w:pPr>
                        <w:pStyle w:val="ListParagraph"/>
                        <w:numPr>
                          <w:ilvl w:val="0"/>
                          <w:numId w:val="3"/>
                        </w:numPr>
                        <w:spacing w:after="240"/>
                        <w:ind w:left="360"/>
                        <w:contextualSpacing w:val="0"/>
                        <w:rPr>
                          <w:rStyle w:val="PlaceholderText"/>
                          <w:i/>
                          <w:iCs/>
                          <w:color w:val="323E4F" w:themeColor="text2" w:themeShade="BF"/>
                        </w:rPr>
                      </w:pPr>
                      <w:r>
                        <w:rPr>
                          <w:rStyle w:val="PlaceholderText"/>
                          <w:i/>
                          <w:iCs/>
                          <w:color w:val="323E4F" w:themeColor="text2" w:themeShade="BF"/>
                        </w:rPr>
                        <w:t>“</w:t>
                      </w:r>
                      <w:r w:rsidRPr="00321137">
                        <w:rPr>
                          <w:rStyle w:val="PlaceholderText"/>
                          <w:i/>
                          <w:iCs/>
                          <w:color w:val="323E4F" w:themeColor="text2" w:themeShade="BF"/>
                        </w:rPr>
                        <w:t>When we don't have a NIMAS file, it can add several months to our already long turnaround times</w:t>
                      </w:r>
                      <w:r>
                        <w:rPr>
                          <w:rStyle w:val="PlaceholderText"/>
                          <w:i/>
                          <w:iCs/>
                          <w:color w:val="323E4F" w:themeColor="text2" w:themeShade="BF"/>
                        </w:rPr>
                        <w:t>. T</w:t>
                      </w:r>
                      <w:r w:rsidRPr="00321137">
                        <w:rPr>
                          <w:rStyle w:val="PlaceholderText"/>
                          <w:i/>
                          <w:iCs/>
                          <w:color w:val="323E4F" w:themeColor="text2" w:themeShade="BF"/>
                        </w:rPr>
                        <w:t>his would also cause us to fall behind on timely delivery.</w:t>
                      </w:r>
                      <w:r>
                        <w:rPr>
                          <w:rStyle w:val="PlaceholderText"/>
                          <w:i/>
                          <w:iCs/>
                          <w:color w:val="323E4F" w:themeColor="text2" w:themeShade="BF"/>
                        </w:rPr>
                        <w:t>” (UT)</w:t>
                      </w:r>
                    </w:p>
                    <w:p w14:paraId="21382EF2" w14:textId="5C995309" w:rsidR="00321137" w:rsidRDefault="00321137" w:rsidP="00692AD9">
                      <w:pPr>
                        <w:pStyle w:val="ListParagraph"/>
                        <w:numPr>
                          <w:ilvl w:val="0"/>
                          <w:numId w:val="3"/>
                        </w:numPr>
                        <w:spacing w:after="240"/>
                        <w:ind w:left="360"/>
                        <w:contextualSpacing w:val="0"/>
                        <w:rPr>
                          <w:rStyle w:val="PlaceholderText"/>
                          <w:i/>
                          <w:iCs/>
                          <w:color w:val="323E4F" w:themeColor="text2" w:themeShade="BF"/>
                        </w:rPr>
                      </w:pPr>
                      <w:r>
                        <w:rPr>
                          <w:rStyle w:val="PlaceholderText"/>
                          <w:i/>
                          <w:iCs/>
                          <w:color w:val="323E4F" w:themeColor="text2" w:themeShade="BF"/>
                        </w:rPr>
                        <w:t>“</w:t>
                      </w:r>
                      <w:r w:rsidRPr="00321137">
                        <w:rPr>
                          <w:rStyle w:val="PlaceholderText"/>
                          <w:i/>
                          <w:iCs/>
                          <w:color w:val="323E4F" w:themeColor="text2" w:themeShade="BF"/>
                        </w:rPr>
                        <w:t>Having access to NIMAS files helps speed up the braille production process. When NIMAS files have not been added to NIMAS or are not available</w:t>
                      </w:r>
                      <w:r w:rsidR="00D17A3A">
                        <w:rPr>
                          <w:rStyle w:val="PlaceholderText"/>
                          <w:i/>
                          <w:iCs/>
                          <w:color w:val="323E4F" w:themeColor="text2" w:themeShade="BF"/>
                        </w:rPr>
                        <w:t>,</w:t>
                      </w:r>
                      <w:r w:rsidRPr="00321137">
                        <w:rPr>
                          <w:rStyle w:val="PlaceholderText"/>
                          <w:i/>
                          <w:iCs/>
                          <w:color w:val="323E4F" w:themeColor="text2" w:themeShade="BF"/>
                        </w:rPr>
                        <w:t xml:space="preserve"> it really impacts the delivery of these materials to our students.</w:t>
                      </w:r>
                      <w:r>
                        <w:rPr>
                          <w:rStyle w:val="PlaceholderText"/>
                          <w:i/>
                          <w:iCs/>
                          <w:color w:val="323E4F" w:themeColor="text2" w:themeShade="BF"/>
                        </w:rPr>
                        <w:t>” (CO)</w:t>
                      </w:r>
                    </w:p>
                    <w:p w14:paraId="1DED4ECF" w14:textId="5BF6C4DB" w:rsidR="00321137" w:rsidRDefault="00321137" w:rsidP="00692AD9">
                      <w:pPr>
                        <w:pStyle w:val="ListParagraph"/>
                        <w:numPr>
                          <w:ilvl w:val="0"/>
                          <w:numId w:val="3"/>
                        </w:numPr>
                        <w:spacing w:after="240"/>
                        <w:ind w:left="360"/>
                        <w:contextualSpacing w:val="0"/>
                        <w:rPr>
                          <w:rStyle w:val="PlaceholderText"/>
                          <w:i/>
                          <w:iCs/>
                          <w:color w:val="323E4F" w:themeColor="text2" w:themeShade="BF"/>
                        </w:rPr>
                      </w:pPr>
                      <w:r>
                        <w:rPr>
                          <w:rStyle w:val="PlaceholderText"/>
                          <w:i/>
                          <w:iCs/>
                          <w:color w:val="323E4F" w:themeColor="text2" w:themeShade="BF"/>
                        </w:rPr>
                        <w:t>“</w:t>
                      </w:r>
                      <w:r w:rsidRPr="00321137">
                        <w:rPr>
                          <w:rStyle w:val="PlaceholderText"/>
                          <w:i/>
                          <w:iCs/>
                          <w:color w:val="323E4F" w:themeColor="text2" w:themeShade="BF"/>
                        </w:rPr>
                        <w:t>It makes delivery so much quicker if materials are in NIMAC. I can assign the materials to a vendor and they can start transcription. If not, all materials must be scanned</w:t>
                      </w:r>
                      <w:r w:rsidR="00D17A3A">
                        <w:rPr>
                          <w:rStyle w:val="PlaceholderText"/>
                          <w:i/>
                          <w:iCs/>
                          <w:color w:val="323E4F" w:themeColor="text2" w:themeShade="BF"/>
                        </w:rPr>
                        <w:t>,</w:t>
                      </w:r>
                      <w:r w:rsidRPr="00321137">
                        <w:rPr>
                          <w:rStyle w:val="PlaceholderText"/>
                          <w:i/>
                          <w:iCs/>
                          <w:color w:val="323E4F" w:themeColor="text2" w:themeShade="BF"/>
                        </w:rPr>
                        <w:t xml:space="preserve"> which is time consuming</w:t>
                      </w:r>
                      <w:r>
                        <w:rPr>
                          <w:rStyle w:val="PlaceholderText"/>
                          <w:i/>
                          <w:iCs/>
                          <w:color w:val="323E4F" w:themeColor="text2" w:themeShade="BF"/>
                        </w:rPr>
                        <w:t>.” (CT)</w:t>
                      </w:r>
                    </w:p>
                    <w:p w14:paraId="5B26F5AF" w14:textId="00AC12B2" w:rsidR="00321137" w:rsidRDefault="00321137" w:rsidP="00692AD9">
                      <w:pPr>
                        <w:pStyle w:val="ListParagraph"/>
                        <w:numPr>
                          <w:ilvl w:val="0"/>
                          <w:numId w:val="3"/>
                        </w:numPr>
                        <w:spacing w:after="240"/>
                        <w:ind w:left="360"/>
                        <w:contextualSpacing w:val="0"/>
                        <w:rPr>
                          <w:rStyle w:val="PlaceholderText"/>
                          <w:i/>
                          <w:iCs/>
                          <w:color w:val="323E4F" w:themeColor="text2" w:themeShade="BF"/>
                        </w:rPr>
                      </w:pPr>
                      <w:r>
                        <w:rPr>
                          <w:rStyle w:val="PlaceholderText"/>
                          <w:i/>
                          <w:iCs/>
                          <w:color w:val="323E4F" w:themeColor="text2" w:themeShade="BF"/>
                        </w:rPr>
                        <w:t>“</w:t>
                      </w:r>
                      <w:r w:rsidRPr="00321137">
                        <w:rPr>
                          <w:rStyle w:val="PlaceholderText"/>
                          <w:i/>
                          <w:iCs/>
                          <w:color w:val="323E4F" w:themeColor="text2" w:themeShade="BF"/>
                        </w:rPr>
                        <w:t>The turnaround time is so much quicker when the NIMAS files are already available in NIMAC.</w:t>
                      </w:r>
                      <w:r>
                        <w:rPr>
                          <w:rStyle w:val="PlaceholderText"/>
                          <w:i/>
                          <w:iCs/>
                          <w:color w:val="323E4F" w:themeColor="text2" w:themeShade="BF"/>
                        </w:rPr>
                        <w:t>” (IA)</w:t>
                      </w:r>
                    </w:p>
                    <w:p w14:paraId="4CC5529E" w14:textId="77777777" w:rsidR="00321137" w:rsidRDefault="00321137" w:rsidP="00692AD9">
                      <w:pPr>
                        <w:pStyle w:val="ListParagraph"/>
                        <w:numPr>
                          <w:ilvl w:val="0"/>
                          <w:numId w:val="3"/>
                        </w:numPr>
                        <w:spacing w:after="240"/>
                        <w:ind w:left="360"/>
                        <w:contextualSpacing w:val="0"/>
                        <w:rPr>
                          <w:rStyle w:val="PlaceholderText"/>
                          <w:i/>
                          <w:iCs/>
                          <w:color w:val="323E4F" w:themeColor="text2" w:themeShade="BF"/>
                        </w:rPr>
                      </w:pPr>
                      <w:r>
                        <w:rPr>
                          <w:rStyle w:val="PlaceholderText"/>
                          <w:i/>
                          <w:iCs/>
                          <w:color w:val="323E4F" w:themeColor="text2" w:themeShade="BF"/>
                        </w:rPr>
                        <w:t>“NIMAS</w:t>
                      </w:r>
                      <w:r w:rsidRPr="00321137">
                        <w:rPr>
                          <w:rStyle w:val="PlaceholderText"/>
                          <w:i/>
                          <w:iCs/>
                          <w:color w:val="323E4F" w:themeColor="text2" w:themeShade="BF"/>
                        </w:rPr>
                        <w:t xml:space="preserve"> is a great help for braille production</w:t>
                      </w:r>
                      <w:r>
                        <w:rPr>
                          <w:rStyle w:val="PlaceholderText"/>
                          <w:i/>
                          <w:iCs/>
                          <w:color w:val="323E4F" w:themeColor="text2" w:themeShade="BF"/>
                        </w:rPr>
                        <w:t>.” (MA)</w:t>
                      </w:r>
                    </w:p>
                    <w:p w14:paraId="2ACD0847" w14:textId="30396DB8" w:rsidR="00321137" w:rsidRPr="009E68A9" w:rsidRDefault="00321137" w:rsidP="00692AD9">
                      <w:pPr>
                        <w:pStyle w:val="ListParagraph"/>
                        <w:numPr>
                          <w:ilvl w:val="0"/>
                          <w:numId w:val="3"/>
                        </w:numPr>
                        <w:spacing w:after="240"/>
                        <w:ind w:left="360"/>
                        <w:contextualSpacing w:val="0"/>
                        <w:rPr>
                          <w:rStyle w:val="PlaceholderText"/>
                          <w:i/>
                          <w:iCs/>
                          <w:color w:val="323E4F" w:themeColor="text2" w:themeShade="BF"/>
                        </w:rPr>
                      </w:pPr>
                      <w:r>
                        <w:rPr>
                          <w:rStyle w:val="PlaceholderText"/>
                          <w:i/>
                          <w:iCs/>
                          <w:color w:val="323E4F" w:themeColor="text2" w:themeShade="BF"/>
                        </w:rPr>
                        <w:t>“W</w:t>
                      </w:r>
                      <w:r w:rsidRPr="00321137">
                        <w:rPr>
                          <w:rStyle w:val="PlaceholderText"/>
                          <w:i/>
                          <w:iCs/>
                          <w:color w:val="323E4F" w:themeColor="text2" w:themeShade="BF"/>
                        </w:rPr>
                        <w:t>hen things are in the NIMAC</w:t>
                      </w:r>
                      <w:r w:rsidR="00D17A3A">
                        <w:rPr>
                          <w:rStyle w:val="PlaceholderText"/>
                          <w:i/>
                          <w:iCs/>
                          <w:color w:val="323E4F" w:themeColor="text2" w:themeShade="BF"/>
                        </w:rPr>
                        <w:t>,</w:t>
                      </w:r>
                      <w:r w:rsidRPr="00321137">
                        <w:rPr>
                          <w:rStyle w:val="PlaceholderText"/>
                          <w:i/>
                          <w:iCs/>
                          <w:color w:val="323E4F" w:themeColor="text2" w:themeShade="BF"/>
                        </w:rPr>
                        <w:t xml:space="preserve"> there is no need to scan, zone, OCR, etc</w:t>
                      </w:r>
                      <w:r>
                        <w:rPr>
                          <w:rStyle w:val="PlaceholderText"/>
                          <w:i/>
                          <w:iCs/>
                          <w:color w:val="323E4F" w:themeColor="text2" w:themeShade="BF"/>
                        </w:rPr>
                        <w:t>.</w:t>
                      </w:r>
                      <w:r w:rsidR="00D17A3A">
                        <w:rPr>
                          <w:rStyle w:val="PlaceholderText"/>
                          <w:i/>
                          <w:iCs/>
                          <w:color w:val="323E4F" w:themeColor="text2" w:themeShade="BF"/>
                        </w:rPr>
                        <w:t>,</w:t>
                      </w:r>
                      <w:r w:rsidRPr="00321137">
                        <w:rPr>
                          <w:rStyle w:val="PlaceholderText"/>
                          <w:i/>
                          <w:iCs/>
                          <w:color w:val="323E4F" w:themeColor="text2" w:themeShade="BF"/>
                        </w:rPr>
                        <w:t xml:space="preserve"> and the time savings from that alone is </w:t>
                      </w:r>
                      <w:r w:rsidR="00CA6BEA">
                        <w:rPr>
                          <w:rStyle w:val="PlaceholderText"/>
                          <w:i/>
                          <w:iCs/>
                          <w:color w:val="323E4F" w:themeColor="text2" w:themeShade="BF"/>
                        </w:rPr>
                        <w:t>huge</w:t>
                      </w:r>
                      <w:r w:rsidRPr="00321137">
                        <w:rPr>
                          <w:rStyle w:val="PlaceholderText"/>
                          <w:i/>
                          <w:iCs/>
                          <w:color w:val="323E4F" w:themeColor="text2" w:themeShade="BF"/>
                        </w:rPr>
                        <w:t>!</w:t>
                      </w:r>
                      <w:r>
                        <w:rPr>
                          <w:rStyle w:val="PlaceholderText"/>
                          <w:i/>
                          <w:iCs/>
                          <w:color w:val="323E4F" w:themeColor="text2" w:themeShade="BF"/>
                        </w:rPr>
                        <w:t>” (MI)</w:t>
                      </w:r>
                    </w:p>
                    <w:p w14:paraId="6423B860" w14:textId="2632F6A8" w:rsidR="00104A9E" w:rsidRPr="00321137" w:rsidRDefault="00321137" w:rsidP="00692AD9">
                      <w:pPr>
                        <w:pStyle w:val="ListParagraph"/>
                        <w:numPr>
                          <w:ilvl w:val="0"/>
                          <w:numId w:val="3"/>
                        </w:numPr>
                        <w:spacing w:after="240"/>
                        <w:ind w:left="360"/>
                        <w:contextualSpacing w:val="0"/>
                        <w:rPr>
                          <w:rStyle w:val="PlaceholderText"/>
                          <w:i/>
                          <w:iCs/>
                          <w:color w:val="323E4F" w:themeColor="text2" w:themeShade="BF"/>
                        </w:rPr>
                      </w:pPr>
                      <w:r>
                        <w:rPr>
                          <w:rStyle w:val="PlaceholderText"/>
                          <w:i/>
                          <w:iCs/>
                          <w:color w:val="323E4F" w:themeColor="text2" w:themeShade="BF"/>
                        </w:rPr>
                        <w:t>“</w:t>
                      </w:r>
                      <w:r w:rsidRPr="00321137">
                        <w:rPr>
                          <w:rStyle w:val="PlaceholderText"/>
                          <w:i/>
                          <w:iCs/>
                          <w:color w:val="323E4F" w:themeColor="text2" w:themeShade="BF"/>
                        </w:rPr>
                        <w:t>When available, the NIMAS files</w:t>
                      </w:r>
                      <w:r w:rsidR="002A21DF">
                        <w:rPr>
                          <w:rStyle w:val="PlaceholderText"/>
                          <w:i/>
                          <w:iCs/>
                          <w:color w:val="323E4F" w:themeColor="text2" w:themeShade="BF"/>
                        </w:rPr>
                        <w:t xml:space="preserve"> </w:t>
                      </w:r>
                      <w:r w:rsidRPr="00321137">
                        <w:rPr>
                          <w:rStyle w:val="PlaceholderText"/>
                          <w:i/>
                          <w:iCs/>
                          <w:color w:val="323E4F" w:themeColor="text2" w:themeShade="BF"/>
                        </w:rPr>
                        <w:t>speed up my process since it</w:t>
                      </w:r>
                      <w:r w:rsidR="002A21DF">
                        <w:rPr>
                          <w:rStyle w:val="PlaceholderText"/>
                          <w:i/>
                          <w:iCs/>
                          <w:color w:val="323E4F" w:themeColor="text2" w:themeShade="BF"/>
                        </w:rPr>
                        <w:t>’</w:t>
                      </w:r>
                      <w:r w:rsidRPr="00321137">
                        <w:rPr>
                          <w:rStyle w:val="PlaceholderText"/>
                          <w:i/>
                          <w:iCs/>
                          <w:color w:val="323E4F" w:themeColor="text2" w:themeShade="BF"/>
                        </w:rPr>
                        <w:t>s usually more accurate than OCR.</w:t>
                      </w:r>
                      <w:r>
                        <w:rPr>
                          <w:rStyle w:val="PlaceholderText"/>
                          <w:i/>
                          <w:iCs/>
                          <w:color w:val="323E4F" w:themeColor="text2" w:themeShade="BF"/>
                        </w:rPr>
                        <w:t>” (MI)</w:t>
                      </w:r>
                    </w:p>
                    <w:p w14:paraId="52A1A7EB" w14:textId="6291A680" w:rsidR="00321137" w:rsidRPr="00321137" w:rsidRDefault="00321137" w:rsidP="00692AD9">
                      <w:pPr>
                        <w:pStyle w:val="ListParagraph"/>
                        <w:numPr>
                          <w:ilvl w:val="0"/>
                          <w:numId w:val="2"/>
                        </w:numPr>
                        <w:spacing w:after="240" w:line="240" w:lineRule="auto"/>
                        <w:ind w:left="360"/>
                        <w:contextualSpacing w:val="0"/>
                        <w:rPr>
                          <w:rStyle w:val="PlaceholderText"/>
                          <w:i/>
                          <w:iCs/>
                          <w:color w:val="323E4F" w:themeColor="text2" w:themeShade="BF"/>
                        </w:rPr>
                      </w:pPr>
                      <w:r>
                        <w:rPr>
                          <w:rStyle w:val="PlaceholderText"/>
                          <w:i/>
                          <w:iCs/>
                          <w:color w:val="323E4F" w:themeColor="text2" w:themeShade="BF"/>
                        </w:rPr>
                        <w:t>“</w:t>
                      </w:r>
                      <w:r w:rsidRPr="00321137">
                        <w:rPr>
                          <w:rStyle w:val="PlaceholderText"/>
                          <w:i/>
                          <w:iCs/>
                          <w:color w:val="323E4F" w:themeColor="text2" w:themeShade="BF"/>
                        </w:rPr>
                        <w:t>When materials are already in the NIMAS file format</w:t>
                      </w:r>
                      <w:r w:rsidR="00D17A3A">
                        <w:rPr>
                          <w:rStyle w:val="PlaceholderText"/>
                          <w:i/>
                          <w:iCs/>
                          <w:color w:val="323E4F" w:themeColor="text2" w:themeShade="BF"/>
                        </w:rPr>
                        <w:t>,</w:t>
                      </w:r>
                      <w:r w:rsidRPr="00321137">
                        <w:rPr>
                          <w:rStyle w:val="PlaceholderText"/>
                          <w:i/>
                          <w:iCs/>
                          <w:color w:val="323E4F" w:themeColor="text2" w:themeShade="BF"/>
                        </w:rPr>
                        <w:t xml:space="preserve"> they are immediately available for download to an AMP account</w:t>
                      </w:r>
                      <w:r>
                        <w:rPr>
                          <w:rStyle w:val="PlaceholderText"/>
                          <w:i/>
                          <w:iCs/>
                          <w:color w:val="323E4F" w:themeColor="text2" w:themeShade="BF"/>
                        </w:rPr>
                        <w:t>.” (NC)</w:t>
                      </w:r>
                    </w:p>
                  </w:txbxContent>
                </v:textbox>
                <w10:anchorlock/>
              </v:rect>
            </w:pict>
          </mc:Fallback>
        </mc:AlternateContent>
      </w:r>
    </w:p>
    <w:p w14:paraId="3E22DB27" w14:textId="77777777" w:rsidR="00FD5797" w:rsidRDefault="00FD5797" w:rsidP="00FD5797">
      <w:pPr>
        <w:spacing w:after="0"/>
      </w:pPr>
    </w:p>
    <w:p w14:paraId="7DC5C95D" w14:textId="77777777" w:rsidR="00522C5A" w:rsidRDefault="00522C5A" w:rsidP="00FD5797">
      <w:pPr>
        <w:spacing w:after="0"/>
      </w:pPr>
    </w:p>
    <w:p w14:paraId="2DCE8E45" w14:textId="77777777" w:rsidR="0066500A" w:rsidRPr="00FD5797" w:rsidRDefault="0066500A" w:rsidP="00FD5797">
      <w:pPr>
        <w:spacing w:after="0"/>
      </w:pPr>
    </w:p>
    <w:p w14:paraId="057C6BA5" w14:textId="6301B3DC" w:rsidR="006C0B3D" w:rsidRPr="005919AC" w:rsidRDefault="00F745AF" w:rsidP="00B4146C">
      <w:pPr>
        <w:pStyle w:val="Heading3"/>
      </w:pPr>
      <w:bookmarkStart w:id="26" w:name="_Toc222903996"/>
      <w:r>
        <w:lastRenderedPageBreak/>
        <w:t xml:space="preserve">Impacts of Timely Delivery and Use of </w:t>
      </w:r>
      <w:r w:rsidR="00B33D10">
        <w:t xml:space="preserve">Accessible </w:t>
      </w:r>
      <w:r>
        <w:t>E</w:t>
      </w:r>
      <w:r w:rsidR="00B33D10">
        <w:t xml:space="preserve">ducational </w:t>
      </w:r>
      <w:r>
        <w:t>M</w:t>
      </w:r>
      <w:r w:rsidR="00B33D10">
        <w:t>aterials (AEM)</w:t>
      </w:r>
      <w:bookmarkEnd w:id="26"/>
      <w:r w:rsidR="006C0B3D" w:rsidRPr="005919AC">
        <w:t xml:space="preserve"> </w:t>
      </w:r>
    </w:p>
    <w:p w14:paraId="124561D9" w14:textId="7C224059" w:rsidR="006C0B3D" w:rsidRPr="005919AC" w:rsidRDefault="006C0B3D" w:rsidP="00344B14">
      <w:pPr>
        <w:spacing w:after="0" w:line="276" w:lineRule="auto"/>
        <w:rPr>
          <w:rFonts w:ascii="Calibri" w:hAnsi="Calibri" w:cs="Calibri"/>
          <w:sz w:val="24"/>
          <w:szCs w:val="24"/>
        </w:rPr>
      </w:pPr>
    </w:p>
    <w:p w14:paraId="0A57B678" w14:textId="4132A60A" w:rsidR="00464D96" w:rsidRDefault="00B55C67" w:rsidP="00464D96">
      <w:pPr>
        <w:spacing w:after="0" w:line="276" w:lineRule="auto"/>
        <w:rPr>
          <w:rFonts w:ascii="Calibri" w:hAnsi="Calibri" w:cs="Calibri"/>
          <w:sz w:val="24"/>
          <w:szCs w:val="24"/>
        </w:rPr>
      </w:pPr>
      <w:r>
        <w:rPr>
          <w:rFonts w:ascii="ZWAdobeF" w:hAnsi="ZWAdobeF" w:cs="ZWAdobeF"/>
          <w:sz w:val="2"/>
          <w:szCs w:val="2"/>
        </w:rPr>
        <w:t>117B</w:t>
      </w:r>
      <w:r w:rsidR="00464D96" w:rsidRPr="00C90FB1">
        <w:rPr>
          <w:rFonts w:ascii="Calibri" w:hAnsi="Calibri" w:cs="Calibri"/>
          <w:sz w:val="24"/>
          <w:szCs w:val="24"/>
        </w:rPr>
        <w:t>Survey</w:t>
      </w:r>
      <w:r w:rsidR="00464D96">
        <w:rPr>
          <w:rFonts w:ascii="Calibri" w:hAnsi="Calibri" w:cs="Calibri"/>
          <w:sz w:val="24"/>
          <w:szCs w:val="24"/>
        </w:rPr>
        <w:t xml:space="preserve"> respondents were asked, “</w:t>
      </w:r>
      <w:r w:rsidR="00464D96" w:rsidRPr="00464D96">
        <w:rPr>
          <w:rFonts w:ascii="Calibri" w:hAnsi="Calibri" w:cs="Calibri"/>
          <w:sz w:val="24"/>
          <w:szCs w:val="24"/>
        </w:rPr>
        <w:t>How often do students with print disabilities or visual impairments use an accessible format that is less than ideal based on their Individualized Education Programs (IEPs)?</w:t>
      </w:r>
      <w:r w:rsidR="00464D96">
        <w:rPr>
          <w:rFonts w:ascii="Calibri" w:hAnsi="Calibri" w:cs="Calibri"/>
          <w:sz w:val="24"/>
          <w:szCs w:val="24"/>
        </w:rPr>
        <w:t>”</w:t>
      </w:r>
      <w:r>
        <w:rPr>
          <w:rFonts w:ascii="ZWAdobeF" w:hAnsi="ZWAdobeF" w:cs="ZWAdobeF"/>
          <w:sz w:val="2"/>
          <w:szCs w:val="2"/>
        </w:rPr>
        <w:t>28F</w:t>
      </w:r>
      <w:r w:rsidR="00C00E5D">
        <w:rPr>
          <w:rStyle w:val="FootnoteReference"/>
          <w:rFonts w:ascii="Calibri" w:hAnsi="Calibri" w:cs="Calibri"/>
          <w:sz w:val="24"/>
          <w:szCs w:val="24"/>
        </w:rPr>
        <w:footnoteReference w:id="30"/>
      </w:r>
      <w:r w:rsidR="00464D96">
        <w:rPr>
          <w:rFonts w:ascii="Calibri" w:hAnsi="Calibri" w:cs="Calibri"/>
          <w:sz w:val="24"/>
          <w:szCs w:val="24"/>
        </w:rPr>
        <w:t xml:space="preserve"> Figure </w:t>
      </w:r>
      <w:r w:rsidR="00EE4A78">
        <w:rPr>
          <w:rFonts w:ascii="Calibri" w:hAnsi="Calibri" w:cs="Calibri"/>
          <w:sz w:val="24"/>
          <w:szCs w:val="24"/>
        </w:rPr>
        <w:t>8</w:t>
      </w:r>
      <w:r w:rsidR="00464D96">
        <w:rPr>
          <w:rFonts w:ascii="Calibri" w:hAnsi="Calibri" w:cs="Calibri"/>
          <w:sz w:val="24"/>
          <w:szCs w:val="24"/>
        </w:rPr>
        <w:t xml:space="preserve"> shows that </w:t>
      </w:r>
      <w:r w:rsidR="008D30F3">
        <w:rPr>
          <w:rFonts w:ascii="Calibri" w:hAnsi="Calibri" w:cs="Calibri"/>
          <w:sz w:val="24"/>
          <w:szCs w:val="24"/>
        </w:rPr>
        <w:t>nearly all</w:t>
      </w:r>
      <w:r w:rsidR="00464D96">
        <w:rPr>
          <w:rFonts w:ascii="Calibri" w:hAnsi="Calibri" w:cs="Calibri"/>
          <w:sz w:val="24"/>
          <w:szCs w:val="24"/>
        </w:rPr>
        <w:t xml:space="preserve"> respondents</w:t>
      </w:r>
      <w:r w:rsidR="00ED6947">
        <w:rPr>
          <w:rFonts w:ascii="Calibri" w:hAnsi="Calibri" w:cs="Calibri"/>
          <w:sz w:val="24"/>
          <w:szCs w:val="24"/>
        </w:rPr>
        <w:t xml:space="preserve"> </w:t>
      </w:r>
      <w:r w:rsidR="00464D96">
        <w:rPr>
          <w:rFonts w:ascii="Calibri" w:hAnsi="Calibri" w:cs="Calibri"/>
          <w:sz w:val="24"/>
          <w:szCs w:val="24"/>
        </w:rPr>
        <w:t xml:space="preserve">reported </w:t>
      </w:r>
      <w:r w:rsidR="008D30F3">
        <w:rPr>
          <w:rFonts w:ascii="Calibri" w:hAnsi="Calibri" w:cs="Calibri"/>
          <w:sz w:val="24"/>
          <w:szCs w:val="24"/>
        </w:rPr>
        <w:t>that students needing AEM always (3%), often (56%), or sometimes (38%) use less than ideal formats.</w:t>
      </w:r>
      <w:r w:rsidR="006C4B90">
        <w:rPr>
          <w:rFonts w:ascii="Calibri" w:hAnsi="Calibri" w:cs="Calibri"/>
          <w:sz w:val="24"/>
          <w:szCs w:val="24"/>
        </w:rPr>
        <w:t xml:space="preserve"> There were no statistically significant differences by location or role, indicating </w:t>
      </w:r>
      <w:r w:rsidR="004C5D8D">
        <w:rPr>
          <w:rFonts w:ascii="Calibri" w:hAnsi="Calibri" w:cs="Calibri"/>
          <w:sz w:val="24"/>
          <w:szCs w:val="24"/>
        </w:rPr>
        <w:t>similar experiences</w:t>
      </w:r>
      <w:r w:rsidR="00727496">
        <w:rPr>
          <w:rFonts w:ascii="Calibri" w:hAnsi="Calibri" w:cs="Calibri"/>
          <w:sz w:val="24"/>
          <w:szCs w:val="24"/>
        </w:rPr>
        <w:t xml:space="preserve"> </w:t>
      </w:r>
      <w:r w:rsidR="004C5D8D">
        <w:rPr>
          <w:rFonts w:ascii="Calibri" w:hAnsi="Calibri" w:cs="Calibri"/>
          <w:sz w:val="24"/>
          <w:szCs w:val="24"/>
        </w:rPr>
        <w:t xml:space="preserve">with the use of accessible formats that are less than ideal </w:t>
      </w:r>
      <w:r w:rsidR="00727496">
        <w:rPr>
          <w:rFonts w:ascii="Calibri" w:hAnsi="Calibri" w:cs="Calibri"/>
          <w:sz w:val="24"/>
          <w:szCs w:val="24"/>
        </w:rPr>
        <w:t xml:space="preserve">across states and roles. </w:t>
      </w:r>
    </w:p>
    <w:p w14:paraId="1865924B" w14:textId="77777777" w:rsidR="00464D96" w:rsidRDefault="00464D96" w:rsidP="00464D96">
      <w:pPr>
        <w:spacing w:after="0" w:line="276" w:lineRule="auto"/>
        <w:rPr>
          <w:rFonts w:ascii="Calibri" w:hAnsi="Calibri" w:cs="Calibri"/>
          <w:sz w:val="24"/>
          <w:szCs w:val="24"/>
        </w:rPr>
      </w:pPr>
    </w:p>
    <w:p w14:paraId="49620B6F" w14:textId="038E6949" w:rsidR="00B33D10" w:rsidRDefault="00B33D10">
      <w:pPr>
        <w:rPr>
          <w:rFonts w:ascii="Calibri" w:eastAsiaTheme="majorEastAsia" w:hAnsi="Calibri" w:cs="Calibri"/>
          <w:smallCaps/>
          <w:color w:val="44546A" w:themeColor="text2"/>
          <w:sz w:val="24"/>
          <w:szCs w:val="24"/>
        </w:rPr>
      </w:pPr>
    </w:p>
    <w:p w14:paraId="0BAA00CB" w14:textId="4F18A1B4" w:rsidR="00464D96" w:rsidRDefault="00464D96" w:rsidP="004946C3">
      <w:pPr>
        <w:pStyle w:val="Heading4"/>
      </w:pPr>
      <w:bookmarkStart w:id="27" w:name="_Toc222903997"/>
      <w:r w:rsidRPr="005919AC">
        <w:t xml:space="preserve">Figure </w:t>
      </w:r>
      <w:r w:rsidR="00EE4A78">
        <w:t>8</w:t>
      </w:r>
      <w:r w:rsidRPr="005919AC">
        <w:t xml:space="preserve">. </w:t>
      </w:r>
      <w:r>
        <w:t xml:space="preserve">Frequency of </w:t>
      </w:r>
      <w:r w:rsidR="00B00F20">
        <w:t xml:space="preserve">Use of </w:t>
      </w:r>
      <w:r>
        <w:t>Accessible Format</w:t>
      </w:r>
      <w:r w:rsidR="00B00F20">
        <w:t>s</w:t>
      </w:r>
      <w:r>
        <w:t xml:space="preserve"> that </w:t>
      </w:r>
      <w:r w:rsidR="00B00F20">
        <w:t>are</w:t>
      </w:r>
      <w:r>
        <w:t xml:space="preserve"> Less than Ideal</w:t>
      </w:r>
      <w:r w:rsidR="00B55C67">
        <w:rPr>
          <w:rFonts w:ascii="ZWAdobeF" w:hAnsi="ZWAdobeF" w:cs="ZWAdobeF"/>
          <w:i w:val="0"/>
          <w:color w:val="auto"/>
          <w:sz w:val="2"/>
          <w:szCs w:val="2"/>
        </w:rPr>
        <w:t>29F</w:t>
      </w:r>
      <w:r>
        <w:rPr>
          <w:rStyle w:val="FootnoteReference"/>
          <w:rFonts w:cs="Calibri"/>
          <w:smallCaps/>
          <w:color w:val="44546A" w:themeColor="text2"/>
        </w:rPr>
        <w:footnoteReference w:id="31"/>
      </w:r>
      <w:bookmarkEnd w:id="27"/>
    </w:p>
    <w:p w14:paraId="13ED3268" w14:textId="5277F190" w:rsidR="00464D96" w:rsidRPr="007921A0" w:rsidRDefault="00B55C67" w:rsidP="00FD5797">
      <w:pPr>
        <w:jc w:val="center"/>
      </w:pPr>
      <w:r>
        <w:rPr>
          <w:rFonts w:ascii="ZWAdobeF" w:hAnsi="ZWAdobeF" w:cs="ZWAdobeF"/>
          <w:sz w:val="2"/>
          <w:szCs w:val="2"/>
        </w:rPr>
        <w:t>118</w:t>
      </w:r>
      <w:proofErr w:type="gramStart"/>
      <w:r>
        <w:rPr>
          <w:rFonts w:ascii="ZWAdobeF" w:hAnsi="ZWAdobeF" w:cs="ZWAdobeF"/>
          <w:sz w:val="2"/>
          <w:szCs w:val="2"/>
        </w:rPr>
        <w:t>B</w:t>
      </w:r>
      <w:r w:rsidR="00464D96">
        <w:t>(</w:t>
      </w:r>
      <w:proofErr w:type="gramEnd"/>
      <w:r w:rsidR="00464D96" w:rsidRPr="009F1957">
        <w:rPr>
          <w:i/>
          <w:iCs/>
        </w:rPr>
        <w:t>n</w:t>
      </w:r>
      <w:r w:rsidR="00464D96">
        <w:t xml:space="preserve"> = 208)</w:t>
      </w:r>
    </w:p>
    <w:p w14:paraId="0DB37E46" w14:textId="5E392CC9" w:rsidR="00464D96" w:rsidRDefault="00B55C67" w:rsidP="00464D96">
      <w:pPr>
        <w:spacing w:after="0" w:line="276" w:lineRule="auto"/>
        <w:jc w:val="center"/>
        <w:rPr>
          <w:rFonts w:ascii="Calibri" w:hAnsi="Calibri" w:cs="Calibri"/>
          <w:sz w:val="24"/>
          <w:szCs w:val="24"/>
        </w:rPr>
      </w:pPr>
      <w:r>
        <w:rPr>
          <w:rFonts w:ascii="ZWAdobeF" w:hAnsi="ZWAdobeF" w:cs="ZWAdobeF"/>
          <w:sz w:val="2"/>
          <w:szCs w:val="2"/>
        </w:rPr>
        <w:t>119B</w:t>
      </w:r>
      <w:r w:rsidR="00464D96" w:rsidRPr="00FD0A0B">
        <w:rPr>
          <w:rFonts w:ascii="Calibri" w:hAnsi="Calibri" w:cs="Calibri"/>
          <w:noProof/>
        </w:rPr>
        <w:drawing>
          <wp:inline distT="0" distB="0" distL="0" distR="0" wp14:anchorId="3A0009A3" wp14:editId="543DF4E7">
            <wp:extent cx="5016137" cy="2221230"/>
            <wp:effectExtent l="0" t="0" r="0" b="7620"/>
            <wp:docPr id="1840154849" name="Chart 1840154849" descr="Figure 8 is a pie chart showing frequency of use of accessible formats that are less than ideal (n = 208). Thirty-eight percent of respondents indicated that students sometimes use less than ideal formats, 56% responded often, 3% responded always, and 3% responded never or rarely. "/>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2A93EDE" w14:textId="7F004895" w:rsidR="00092830" w:rsidRDefault="00B55C67" w:rsidP="00464D96">
      <w:pPr>
        <w:spacing w:after="0" w:line="276" w:lineRule="auto"/>
        <w:rPr>
          <w:rFonts w:ascii="Calibri" w:hAnsi="Calibri" w:cs="Calibri"/>
          <w:sz w:val="24"/>
          <w:szCs w:val="24"/>
        </w:rPr>
      </w:pPr>
      <w:r>
        <w:rPr>
          <w:rFonts w:ascii="ZWAdobeF" w:hAnsi="ZWAdobeF" w:cs="ZWAdobeF"/>
          <w:sz w:val="2"/>
          <w:szCs w:val="2"/>
        </w:rPr>
        <w:t>120B</w:t>
      </w:r>
      <w:r w:rsidR="00A9711C">
        <w:rPr>
          <w:rFonts w:ascii="Calibri" w:hAnsi="Calibri" w:cs="Calibri"/>
          <w:sz w:val="24"/>
          <w:szCs w:val="24"/>
        </w:rPr>
        <w:t>R</w:t>
      </w:r>
      <w:r w:rsidR="00464D96">
        <w:rPr>
          <w:rFonts w:ascii="Calibri" w:hAnsi="Calibri" w:cs="Calibri"/>
          <w:sz w:val="24"/>
          <w:szCs w:val="24"/>
        </w:rPr>
        <w:t xml:space="preserve">espondents were </w:t>
      </w:r>
      <w:r w:rsidR="00A9711C">
        <w:rPr>
          <w:rFonts w:ascii="Calibri" w:hAnsi="Calibri" w:cs="Calibri"/>
          <w:sz w:val="24"/>
          <w:szCs w:val="24"/>
        </w:rPr>
        <w:t xml:space="preserve">also </w:t>
      </w:r>
      <w:r w:rsidR="00464D96">
        <w:rPr>
          <w:rFonts w:ascii="Calibri" w:hAnsi="Calibri" w:cs="Calibri"/>
          <w:sz w:val="24"/>
          <w:szCs w:val="24"/>
        </w:rPr>
        <w:t>asked, “</w:t>
      </w:r>
      <w:r w:rsidR="00092830" w:rsidRPr="00092830">
        <w:rPr>
          <w:rFonts w:ascii="Calibri" w:hAnsi="Calibri" w:cs="Calibri"/>
          <w:sz w:val="24"/>
          <w:szCs w:val="24"/>
        </w:rPr>
        <w:t>How often are students with print disabilities or visual impairments provided a different curriculum from their class due to a lack of available accessible materials?</w:t>
      </w:r>
      <w:r w:rsidR="00464D96">
        <w:rPr>
          <w:rFonts w:ascii="Calibri" w:hAnsi="Calibri" w:cs="Calibri"/>
          <w:sz w:val="24"/>
          <w:szCs w:val="24"/>
        </w:rPr>
        <w:t>”</w:t>
      </w:r>
      <w:r>
        <w:rPr>
          <w:rFonts w:ascii="ZWAdobeF" w:hAnsi="ZWAdobeF" w:cs="ZWAdobeF"/>
          <w:sz w:val="2"/>
          <w:szCs w:val="2"/>
        </w:rPr>
        <w:t>30F</w:t>
      </w:r>
      <w:r w:rsidR="00F2046F">
        <w:rPr>
          <w:rStyle w:val="FootnoteReference"/>
          <w:rFonts w:ascii="Calibri" w:hAnsi="Calibri" w:cs="Calibri"/>
          <w:sz w:val="24"/>
          <w:szCs w:val="24"/>
        </w:rPr>
        <w:footnoteReference w:id="32"/>
      </w:r>
      <w:r w:rsidR="00464D96">
        <w:rPr>
          <w:rFonts w:ascii="Calibri" w:hAnsi="Calibri" w:cs="Calibri"/>
          <w:sz w:val="24"/>
          <w:szCs w:val="24"/>
        </w:rPr>
        <w:t xml:space="preserve"> </w:t>
      </w:r>
      <w:r w:rsidR="00BE5A64">
        <w:rPr>
          <w:rFonts w:ascii="Calibri" w:hAnsi="Calibri" w:cs="Calibri"/>
          <w:sz w:val="24"/>
          <w:szCs w:val="24"/>
        </w:rPr>
        <w:t xml:space="preserve">Again, the majority reported that students needing AEM always (2%), often (31%), or sometimes (46%) receive a curriculum different from their peers (see </w:t>
      </w:r>
      <w:r w:rsidR="00464D96">
        <w:rPr>
          <w:rFonts w:ascii="Calibri" w:hAnsi="Calibri" w:cs="Calibri"/>
          <w:sz w:val="24"/>
          <w:szCs w:val="24"/>
        </w:rPr>
        <w:t xml:space="preserve">Figure </w:t>
      </w:r>
      <w:r w:rsidR="00EE4A78">
        <w:rPr>
          <w:rFonts w:ascii="Calibri" w:hAnsi="Calibri" w:cs="Calibri"/>
          <w:sz w:val="24"/>
          <w:szCs w:val="24"/>
        </w:rPr>
        <w:t>9</w:t>
      </w:r>
      <w:r w:rsidR="00BE5A64">
        <w:rPr>
          <w:rFonts w:ascii="Calibri" w:hAnsi="Calibri" w:cs="Calibri"/>
          <w:sz w:val="24"/>
          <w:szCs w:val="24"/>
        </w:rPr>
        <w:t>).</w:t>
      </w:r>
      <w:r w:rsidR="00092830">
        <w:rPr>
          <w:rFonts w:ascii="Calibri" w:hAnsi="Calibri" w:cs="Calibri"/>
          <w:sz w:val="24"/>
          <w:szCs w:val="24"/>
        </w:rPr>
        <w:t xml:space="preserve"> </w:t>
      </w:r>
      <w:r w:rsidR="00AE41ED">
        <w:rPr>
          <w:rFonts w:ascii="Calibri" w:hAnsi="Calibri" w:cs="Calibri"/>
          <w:sz w:val="24"/>
          <w:szCs w:val="24"/>
        </w:rPr>
        <w:t>There were no statistically significant differences by location or role</w:t>
      </w:r>
      <w:r w:rsidR="004C5D8D">
        <w:rPr>
          <w:rFonts w:ascii="Calibri" w:hAnsi="Calibri" w:cs="Calibri"/>
          <w:sz w:val="24"/>
          <w:szCs w:val="24"/>
        </w:rPr>
        <w:t>, suggesting similar experiences with the use of different curricula across states and roles.</w:t>
      </w:r>
    </w:p>
    <w:p w14:paraId="74BDC5A8" w14:textId="4BA95303" w:rsidR="000C6610" w:rsidRDefault="000C6610">
      <w:pPr>
        <w:rPr>
          <w:rFonts w:ascii="Calibri" w:hAnsi="Calibri" w:cs="Calibri"/>
          <w:sz w:val="24"/>
          <w:szCs w:val="24"/>
        </w:rPr>
      </w:pPr>
      <w:r>
        <w:rPr>
          <w:rFonts w:ascii="Calibri" w:hAnsi="Calibri" w:cs="Calibri"/>
          <w:sz w:val="24"/>
          <w:szCs w:val="24"/>
        </w:rPr>
        <w:br w:type="page"/>
      </w:r>
    </w:p>
    <w:p w14:paraId="101F47DF" w14:textId="48ED864C" w:rsidR="00092830" w:rsidRDefault="00092830" w:rsidP="004946C3">
      <w:pPr>
        <w:pStyle w:val="Heading4"/>
      </w:pPr>
      <w:bookmarkStart w:id="28" w:name="_Toc222903998"/>
      <w:r w:rsidRPr="005919AC">
        <w:lastRenderedPageBreak/>
        <w:t xml:space="preserve">Figure </w:t>
      </w:r>
      <w:r w:rsidR="00EE4A78">
        <w:t>9</w:t>
      </w:r>
      <w:r w:rsidRPr="005919AC">
        <w:t xml:space="preserve">. </w:t>
      </w:r>
      <w:r>
        <w:t xml:space="preserve">Frequency of </w:t>
      </w:r>
      <w:r w:rsidR="00B00F20">
        <w:t xml:space="preserve">Use of </w:t>
      </w:r>
      <w:r>
        <w:t>Different Curriculum Due to Lack of Available Accessible Materials</w:t>
      </w:r>
      <w:r w:rsidR="00B55C67">
        <w:rPr>
          <w:rFonts w:ascii="ZWAdobeF" w:hAnsi="ZWAdobeF" w:cs="ZWAdobeF"/>
          <w:i w:val="0"/>
          <w:color w:val="auto"/>
          <w:sz w:val="2"/>
          <w:szCs w:val="2"/>
        </w:rPr>
        <w:t>31F</w:t>
      </w:r>
      <w:r>
        <w:rPr>
          <w:rStyle w:val="FootnoteReference"/>
          <w:rFonts w:cs="Calibri"/>
          <w:smallCaps/>
          <w:color w:val="44546A" w:themeColor="text2"/>
        </w:rPr>
        <w:footnoteReference w:id="33"/>
      </w:r>
      <w:bookmarkEnd w:id="28"/>
    </w:p>
    <w:p w14:paraId="1B14F4CE" w14:textId="2ACEB765" w:rsidR="00092830" w:rsidRPr="007921A0" w:rsidRDefault="00B55C67" w:rsidP="00092830">
      <w:pPr>
        <w:jc w:val="center"/>
      </w:pPr>
      <w:r>
        <w:rPr>
          <w:rFonts w:ascii="ZWAdobeF" w:hAnsi="ZWAdobeF" w:cs="ZWAdobeF"/>
          <w:sz w:val="2"/>
          <w:szCs w:val="2"/>
        </w:rPr>
        <w:t>121</w:t>
      </w:r>
      <w:proofErr w:type="gramStart"/>
      <w:r>
        <w:rPr>
          <w:rFonts w:ascii="ZWAdobeF" w:hAnsi="ZWAdobeF" w:cs="ZWAdobeF"/>
          <w:sz w:val="2"/>
          <w:szCs w:val="2"/>
        </w:rPr>
        <w:t>B</w:t>
      </w:r>
      <w:r w:rsidR="00092830">
        <w:t>(</w:t>
      </w:r>
      <w:proofErr w:type="gramEnd"/>
      <w:r w:rsidR="00092830" w:rsidRPr="009F1957">
        <w:rPr>
          <w:i/>
          <w:iCs/>
        </w:rPr>
        <w:t>n</w:t>
      </w:r>
      <w:r w:rsidR="00092830">
        <w:t xml:space="preserve"> = 197)</w:t>
      </w:r>
    </w:p>
    <w:p w14:paraId="4EEC4D3F" w14:textId="0D199DFD" w:rsidR="006636AA" w:rsidRPr="006636AA" w:rsidRDefault="00B55C67" w:rsidP="006636AA">
      <w:pPr>
        <w:spacing w:after="0" w:line="276" w:lineRule="auto"/>
        <w:jc w:val="center"/>
        <w:rPr>
          <w:rFonts w:ascii="Calibri" w:hAnsi="Calibri" w:cs="Calibri"/>
          <w:sz w:val="24"/>
          <w:szCs w:val="24"/>
        </w:rPr>
      </w:pPr>
      <w:r>
        <w:rPr>
          <w:rFonts w:ascii="ZWAdobeF" w:hAnsi="ZWAdobeF" w:cs="ZWAdobeF"/>
          <w:sz w:val="2"/>
          <w:szCs w:val="2"/>
        </w:rPr>
        <w:t>122B</w:t>
      </w:r>
      <w:r w:rsidR="00092830" w:rsidRPr="00FD0A0B">
        <w:rPr>
          <w:rFonts w:ascii="Calibri" w:hAnsi="Calibri" w:cs="Calibri"/>
          <w:noProof/>
        </w:rPr>
        <w:drawing>
          <wp:inline distT="0" distB="0" distL="0" distR="0" wp14:anchorId="7409C1A8" wp14:editId="77D48E04">
            <wp:extent cx="5016137" cy="2221230"/>
            <wp:effectExtent l="0" t="0" r="0" b="7620"/>
            <wp:docPr id="1364993741" name="Chart 1364993741" descr="Figure 9 is a pie chart showing frequency of use of different curriculum due to lack of available accessible materials (n = 197). Twenty-one percent of respondents indicated that students are never or rarely provided a different curriculum, 46% responded sometimes, 31% responded often, and 2% responded always."/>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02261885" w14:textId="5B45E959" w:rsidR="00056D71" w:rsidRDefault="00B55C67" w:rsidP="006636AA">
      <w:pPr>
        <w:spacing w:after="0" w:line="276" w:lineRule="auto"/>
        <w:rPr>
          <w:rFonts w:cstheme="minorHAnsi"/>
          <w:sz w:val="24"/>
          <w:szCs w:val="24"/>
        </w:rPr>
      </w:pPr>
      <w:r>
        <w:rPr>
          <w:rFonts w:ascii="ZWAdobeF" w:hAnsi="ZWAdobeF" w:cs="ZWAdobeF"/>
          <w:sz w:val="2"/>
          <w:szCs w:val="2"/>
        </w:rPr>
        <w:t>123B</w:t>
      </w:r>
      <w:r w:rsidR="006636AA" w:rsidRPr="00BB1752">
        <w:rPr>
          <w:rFonts w:cstheme="minorHAnsi"/>
          <w:sz w:val="24"/>
          <w:szCs w:val="24"/>
        </w:rPr>
        <w:t>To supplement quantitative findings</w:t>
      </w:r>
      <w:r w:rsidR="00040E54">
        <w:rPr>
          <w:rFonts w:cstheme="minorHAnsi"/>
          <w:sz w:val="24"/>
          <w:szCs w:val="24"/>
        </w:rPr>
        <w:t xml:space="preserve"> from surveys</w:t>
      </w:r>
      <w:r w:rsidR="006636AA" w:rsidRPr="00BB1752">
        <w:rPr>
          <w:rFonts w:cstheme="minorHAnsi"/>
          <w:sz w:val="24"/>
          <w:szCs w:val="24"/>
        </w:rPr>
        <w:t xml:space="preserve">, we </w:t>
      </w:r>
      <w:r w:rsidR="006636AA">
        <w:rPr>
          <w:rFonts w:cstheme="minorHAnsi"/>
          <w:sz w:val="24"/>
          <w:szCs w:val="24"/>
        </w:rPr>
        <w:t xml:space="preserve">asked interview participants how often students with print disabilities or visual impairments 1) use an accessible format that is less than ideal based on their IEPs </w:t>
      </w:r>
      <w:r w:rsidR="00B00F20">
        <w:rPr>
          <w:rFonts w:cstheme="minorHAnsi"/>
          <w:sz w:val="24"/>
          <w:szCs w:val="24"/>
        </w:rPr>
        <w:t>and</w:t>
      </w:r>
      <w:r w:rsidR="006636AA">
        <w:rPr>
          <w:rFonts w:cstheme="minorHAnsi"/>
          <w:sz w:val="24"/>
          <w:szCs w:val="24"/>
        </w:rPr>
        <w:t xml:space="preserve"> 2) are </w:t>
      </w:r>
      <w:proofErr w:type="gramStart"/>
      <w:r w:rsidR="006636AA">
        <w:rPr>
          <w:rFonts w:cstheme="minorHAnsi"/>
          <w:sz w:val="24"/>
          <w:szCs w:val="24"/>
        </w:rPr>
        <w:t>provided</w:t>
      </w:r>
      <w:proofErr w:type="gramEnd"/>
      <w:r w:rsidR="006636AA">
        <w:rPr>
          <w:rFonts w:cstheme="minorHAnsi"/>
          <w:sz w:val="24"/>
          <w:szCs w:val="24"/>
        </w:rPr>
        <w:t xml:space="preserve"> a different curriculum from their class due to a lack of available accessible materials. </w:t>
      </w:r>
      <w:r w:rsidR="001A1989">
        <w:rPr>
          <w:rFonts w:cstheme="minorHAnsi"/>
          <w:sz w:val="24"/>
          <w:szCs w:val="24"/>
        </w:rPr>
        <w:t>P</w:t>
      </w:r>
      <w:r w:rsidR="006636AA">
        <w:rPr>
          <w:rFonts w:cstheme="minorHAnsi"/>
          <w:sz w:val="24"/>
          <w:szCs w:val="24"/>
        </w:rPr>
        <w:t xml:space="preserve">articipants’ responses were consistent with survey results. Specifically, a total of 25 excerpts </w:t>
      </w:r>
      <w:r w:rsidR="001A1989">
        <w:rPr>
          <w:rFonts w:cstheme="minorHAnsi"/>
          <w:sz w:val="24"/>
          <w:szCs w:val="24"/>
        </w:rPr>
        <w:t xml:space="preserve">illustrated </w:t>
      </w:r>
      <w:r w:rsidR="006636AA">
        <w:rPr>
          <w:rFonts w:cstheme="minorHAnsi"/>
          <w:sz w:val="24"/>
          <w:szCs w:val="24"/>
        </w:rPr>
        <w:t xml:space="preserve">how often students with print disabilities or visual impairments use accessible formats that are less than ideal, </w:t>
      </w:r>
      <w:r w:rsidR="001A1989">
        <w:rPr>
          <w:rFonts w:cstheme="minorHAnsi"/>
          <w:sz w:val="24"/>
          <w:szCs w:val="24"/>
        </w:rPr>
        <w:t xml:space="preserve">with </w:t>
      </w:r>
      <w:r w:rsidR="006636AA">
        <w:rPr>
          <w:rFonts w:cstheme="minorHAnsi"/>
          <w:sz w:val="24"/>
          <w:szCs w:val="24"/>
        </w:rPr>
        <w:t>1</w:t>
      </w:r>
      <w:r w:rsidR="00056D71">
        <w:rPr>
          <w:rFonts w:cstheme="minorHAnsi"/>
          <w:sz w:val="24"/>
          <w:szCs w:val="24"/>
        </w:rPr>
        <w:t>8</w:t>
      </w:r>
      <w:r w:rsidR="006636AA">
        <w:rPr>
          <w:rFonts w:cstheme="minorHAnsi"/>
          <w:sz w:val="24"/>
          <w:szCs w:val="24"/>
        </w:rPr>
        <w:t xml:space="preserve"> of the</w:t>
      </w:r>
      <w:r w:rsidR="00B00F20">
        <w:rPr>
          <w:rFonts w:cstheme="minorHAnsi"/>
          <w:sz w:val="24"/>
          <w:szCs w:val="24"/>
        </w:rPr>
        <w:t>se</w:t>
      </w:r>
      <w:r w:rsidR="006636AA">
        <w:rPr>
          <w:rFonts w:cstheme="minorHAnsi"/>
          <w:sz w:val="24"/>
          <w:szCs w:val="24"/>
        </w:rPr>
        <w:t xml:space="preserve"> excerpts (</w:t>
      </w:r>
      <w:r w:rsidR="00056D71">
        <w:rPr>
          <w:rFonts w:cstheme="minorHAnsi"/>
          <w:sz w:val="24"/>
          <w:szCs w:val="24"/>
        </w:rPr>
        <w:t>72</w:t>
      </w:r>
      <w:r w:rsidR="006636AA">
        <w:rPr>
          <w:rFonts w:cstheme="minorHAnsi"/>
          <w:sz w:val="24"/>
          <w:szCs w:val="24"/>
        </w:rPr>
        <w:t>%) indicat</w:t>
      </w:r>
      <w:r w:rsidR="001A1989">
        <w:rPr>
          <w:rFonts w:cstheme="minorHAnsi"/>
          <w:sz w:val="24"/>
          <w:szCs w:val="24"/>
        </w:rPr>
        <w:t xml:space="preserve">ing occurrence </w:t>
      </w:r>
      <w:r w:rsidR="00B33D10">
        <w:rPr>
          <w:rFonts w:cstheme="minorHAnsi"/>
          <w:sz w:val="24"/>
          <w:szCs w:val="24"/>
        </w:rPr>
        <w:t>on a regular basis</w:t>
      </w:r>
      <w:r w:rsidR="006636AA">
        <w:rPr>
          <w:rFonts w:cstheme="minorHAnsi"/>
          <w:sz w:val="24"/>
          <w:szCs w:val="24"/>
        </w:rPr>
        <w:t xml:space="preserve"> (see Figure </w:t>
      </w:r>
      <w:r w:rsidR="00EE4A78">
        <w:rPr>
          <w:rFonts w:cstheme="minorHAnsi"/>
          <w:sz w:val="24"/>
          <w:szCs w:val="24"/>
        </w:rPr>
        <w:t>10</w:t>
      </w:r>
      <w:r w:rsidR="00056D71">
        <w:rPr>
          <w:rFonts w:cstheme="minorHAnsi"/>
          <w:sz w:val="24"/>
          <w:szCs w:val="24"/>
        </w:rPr>
        <w:t>).</w:t>
      </w:r>
      <w:r w:rsidR="0018314B">
        <w:rPr>
          <w:rFonts w:cstheme="minorHAnsi"/>
          <w:sz w:val="24"/>
          <w:szCs w:val="24"/>
        </w:rPr>
        <w:t xml:space="preserve"> In addition, a total of 18 excerpts discussed how often students receive a different curriculum than their peers due to a lack of accessible formats, and 11 of the excerpts (61%) indicated that this occurs with some regularity (see Figure </w:t>
      </w:r>
      <w:r w:rsidR="00B33D10">
        <w:rPr>
          <w:rFonts w:cstheme="minorHAnsi"/>
          <w:sz w:val="24"/>
          <w:szCs w:val="24"/>
        </w:rPr>
        <w:t>1</w:t>
      </w:r>
      <w:r w:rsidR="00EE4A78">
        <w:rPr>
          <w:rFonts w:cstheme="minorHAnsi"/>
          <w:sz w:val="24"/>
          <w:szCs w:val="24"/>
        </w:rPr>
        <w:t>1</w:t>
      </w:r>
      <w:r w:rsidR="0018314B">
        <w:rPr>
          <w:rFonts w:cstheme="minorHAnsi"/>
          <w:sz w:val="24"/>
          <w:szCs w:val="24"/>
        </w:rPr>
        <w:t>).</w:t>
      </w:r>
      <w:r w:rsidR="00B00F20">
        <w:rPr>
          <w:rFonts w:cstheme="minorHAnsi"/>
          <w:sz w:val="24"/>
          <w:szCs w:val="24"/>
        </w:rPr>
        <w:t xml:space="preserve"> It is important to note that </w:t>
      </w:r>
      <w:r w:rsidR="0018314B">
        <w:rPr>
          <w:rFonts w:cstheme="minorHAnsi"/>
          <w:sz w:val="24"/>
          <w:szCs w:val="24"/>
        </w:rPr>
        <w:t xml:space="preserve">6 of the 18 excerpts (33%) indicated that students never or rarely receive a different curriculum due to a lack of accessible formats (e.g., </w:t>
      </w:r>
      <w:r w:rsidR="006B274C">
        <w:rPr>
          <w:rFonts w:cstheme="minorHAnsi"/>
          <w:sz w:val="24"/>
          <w:szCs w:val="24"/>
        </w:rPr>
        <w:t>one interview</w:t>
      </w:r>
      <w:r w:rsidR="009854E5">
        <w:rPr>
          <w:rFonts w:cstheme="minorHAnsi"/>
          <w:sz w:val="24"/>
          <w:szCs w:val="24"/>
        </w:rPr>
        <w:t>ee</w:t>
      </w:r>
      <w:r w:rsidR="006B274C">
        <w:rPr>
          <w:rFonts w:cstheme="minorHAnsi"/>
          <w:sz w:val="24"/>
          <w:szCs w:val="24"/>
        </w:rPr>
        <w:t xml:space="preserve"> from Ohio said, “</w:t>
      </w:r>
      <w:r w:rsidR="006B274C" w:rsidRPr="006B274C">
        <w:rPr>
          <w:rFonts w:cstheme="minorHAnsi"/>
          <w:sz w:val="24"/>
          <w:szCs w:val="24"/>
        </w:rPr>
        <w:t>I can't say that I've ever had that happen. I feel like either we're able to get the material or the teachers are able to figure it out and make it work</w:t>
      </w:r>
      <w:r w:rsidR="006B274C">
        <w:rPr>
          <w:rFonts w:cstheme="minorHAnsi"/>
          <w:sz w:val="24"/>
          <w:szCs w:val="24"/>
        </w:rPr>
        <w:t xml:space="preserve">”). </w:t>
      </w:r>
      <w:r w:rsidR="00B00F20">
        <w:rPr>
          <w:rFonts w:cstheme="minorHAnsi"/>
          <w:sz w:val="24"/>
          <w:szCs w:val="24"/>
        </w:rPr>
        <w:t xml:space="preserve">These differing responses suggest variability in how well schools and districts provide </w:t>
      </w:r>
      <w:r w:rsidR="00B33D10">
        <w:rPr>
          <w:rFonts w:cstheme="minorHAnsi"/>
          <w:sz w:val="24"/>
          <w:szCs w:val="24"/>
        </w:rPr>
        <w:t xml:space="preserve">accessible formats that allow students with print disabilities and visual impairments access </w:t>
      </w:r>
      <w:r w:rsidR="009854E5">
        <w:rPr>
          <w:rFonts w:cstheme="minorHAnsi"/>
          <w:sz w:val="24"/>
          <w:szCs w:val="24"/>
        </w:rPr>
        <w:t xml:space="preserve">to </w:t>
      </w:r>
      <w:r w:rsidR="00B00F20">
        <w:rPr>
          <w:rFonts w:cstheme="minorHAnsi"/>
          <w:sz w:val="24"/>
          <w:szCs w:val="24"/>
        </w:rPr>
        <w:t>appropriate curricula</w:t>
      </w:r>
      <w:r w:rsidR="00B33D10">
        <w:rPr>
          <w:rFonts w:cstheme="minorHAnsi"/>
          <w:sz w:val="24"/>
          <w:szCs w:val="24"/>
        </w:rPr>
        <w:t>.</w:t>
      </w:r>
      <w:r>
        <w:rPr>
          <w:rFonts w:ascii="ZWAdobeF" w:hAnsi="ZWAdobeF" w:cs="ZWAdobeF"/>
          <w:sz w:val="2"/>
          <w:szCs w:val="2"/>
        </w:rPr>
        <w:t>32F</w:t>
      </w:r>
      <w:r w:rsidR="00932E2A">
        <w:rPr>
          <w:rStyle w:val="FootnoteReference"/>
          <w:rFonts w:cstheme="minorHAnsi"/>
          <w:sz w:val="24"/>
          <w:szCs w:val="24"/>
        </w:rPr>
        <w:footnoteReference w:id="34"/>
      </w:r>
    </w:p>
    <w:p w14:paraId="55BC7ADA" w14:textId="2528F18C" w:rsidR="00056D71" w:rsidRPr="006846F4" w:rsidRDefault="00056D71" w:rsidP="00396676">
      <w:pPr>
        <w:pStyle w:val="Heading4"/>
        <w:spacing w:after="240"/>
      </w:pPr>
      <w:bookmarkStart w:id="29" w:name="_Toc222903999"/>
      <w:r>
        <w:lastRenderedPageBreak/>
        <w:t xml:space="preserve">Figure </w:t>
      </w:r>
      <w:r w:rsidR="00EE4A78">
        <w:t>10</w:t>
      </w:r>
      <w:r w:rsidRPr="006C7F46">
        <w:t xml:space="preserve">. </w:t>
      </w:r>
      <w:r>
        <w:t>Representative Quotations: Frequency of Students Using Accessible Formats that are Less than Ideal</w:t>
      </w:r>
      <w:bookmarkEnd w:id="29"/>
    </w:p>
    <w:p w14:paraId="3AC1ED10" w14:textId="30CFFCAA" w:rsidR="00056D71" w:rsidRDefault="00B55C67" w:rsidP="00056D71">
      <w:pPr>
        <w:rPr>
          <w:rFonts w:ascii="Calibri" w:hAnsi="Calibri" w:cs="Calibri"/>
          <w:sz w:val="24"/>
          <w:szCs w:val="24"/>
        </w:rPr>
      </w:pPr>
      <w:r>
        <w:rPr>
          <w:rFonts w:ascii="ZWAdobeF" w:hAnsi="ZWAdobeF" w:cs="ZWAdobeF"/>
          <w:sz w:val="2"/>
          <w:szCs w:val="2"/>
        </w:rPr>
        <w:t>124B</w:t>
      </w:r>
      <w:r w:rsidR="00056D71" w:rsidRPr="000A73FC">
        <w:rPr>
          <w:noProof/>
        </w:rPr>
        <mc:AlternateContent>
          <mc:Choice Requires="wps">
            <w:drawing>
              <wp:inline distT="0" distB="0" distL="0" distR="0" wp14:anchorId="555CA3CB" wp14:editId="2E612B37">
                <wp:extent cx="5934710" cy="3187700"/>
                <wp:effectExtent l="0" t="0" r="8890" b="3810"/>
                <wp:docPr id="386194677" name="AutoShape 14" descr="Figure 10. Representative Quotations: Frequency of Students Using Accessible Formats that are Less than Ide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34710" cy="3187700"/>
                        </a:xfrm>
                        <a:prstGeom prst="rect">
                          <a:avLst/>
                        </a:prstGeom>
                        <a:solidFill>
                          <a:schemeClr val="tx2">
                            <a:lumMod val="20000"/>
                            <a:lumOff val="80000"/>
                            <a:alpha val="34902"/>
                          </a:schemeClr>
                        </a:solidFill>
                      </wps:spPr>
                      <wps:txbx>
                        <w:txbxContent>
                          <w:p w14:paraId="5887F6D3" w14:textId="116C2F6D" w:rsidR="00056D71" w:rsidRPr="00056D71" w:rsidRDefault="00056D71" w:rsidP="00692AD9">
                            <w:pPr>
                              <w:pStyle w:val="ListParagraph"/>
                              <w:numPr>
                                <w:ilvl w:val="0"/>
                                <w:numId w:val="2"/>
                              </w:numPr>
                              <w:spacing w:after="240" w:line="240" w:lineRule="auto"/>
                              <w:ind w:left="360"/>
                              <w:contextualSpacing w:val="0"/>
                              <w:rPr>
                                <w:i/>
                                <w:iCs/>
                                <w:color w:val="323E4F" w:themeColor="text2" w:themeShade="BF"/>
                              </w:rPr>
                            </w:pPr>
                            <w:r>
                              <w:rPr>
                                <w:rStyle w:val="PlaceholderText"/>
                                <w:i/>
                                <w:iCs/>
                                <w:color w:val="323E4F" w:themeColor="text2" w:themeShade="BF"/>
                              </w:rPr>
                              <w:t>“</w:t>
                            </w:r>
                            <w:r w:rsidR="00693F06">
                              <w:rPr>
                                <w:rStyle w:val="PlaceholderText"/>
                                <w:i/>
                                <w:iCs/>
                                <w:color w:val="323E4F" w:themeColor="text2" w:themeShade="BF"/>
                              </w:rPr>
                              <w:t>It</w:t>
                            </w:r>
                            <w:r w:rsidRPr="00056D71">
                              <w:rPr>
                                <w:rStyle w:val="PlaceholderText"/>
                                <w:i/>
                                <w:iCs/>
                                <w:color w:val="323E4F" w:themeColor="text2" w:themeShade="BF"/>
                              </w:rPr>
                              <w:t xml:space="preserve"> is probably true that a lot of kids are using either scaled down versions of the full text or if they're in a math or science class, they get the text</w:t>
                            </w:r>
                            <w:r w:rsidR="00B33D10">
                              <w:rPr>
                                <w:rStyle w:val="PlaceholderText"/>
                                <w:i/>
                                <w:iCs/>
                                <w:color w:val="323E4F" w:themeColor="text2" w:themeShade="BF"/>
                              </w:rPr>
                              <w:t>,</w:t>
                            </w:r>
                            <w:r w:rsidRPr="00056D71">
                              <w:rPr>
                                <w:rStyle w:val="PlaceholderText"/>
                                <w:i/>
                                <w:iCs/>
                                <w:color w:val="323E4F" w:themeColor="text2" w:themeShade="BF"/>
                              </w:rPr>
                              <w:t xml:space="preserve"> but they don't always get the </w:t>
                            </w:r>
                            <w:r w:rsidR="00B00F20">
                              <w:rPr>
                                <w:rStyle w:val="PlaceholderText"/>
                                <w:i/>
                                <w:iCs/>
                                <w:color w:val="323E4F" w:themeColor="text2" w:themeShade="BF"/>
                              </w:rPr>
                              <w:t>tactile</w:t>
                            </w:r>
                            <w:r w:rsidRPr="00056D71">
                              <w:rPr>
                                <w:rStyle w:val="PlaceholderText"/>
                                <w:i/>
                                <w:iCs/>
                                <w:color w:val="323E4F" w:themeColor="text2" w:themeShade="BF"/>
                              </w:rPr>
                              <w:t xml:space="preserve"> graphics that go along with it or the charts and graphs that go along with the material. I think that has gotten better in the last 10 to 15 years, but I still don't think it's probably where it needs to be.</w:t>
                            </w:r>
                            <w:r>
                              <w:rPr>
                                <w:rStyle w:val="PlaceholderText"/>
                                <w:i/>
                                <w:iCs/>
                                <w:color w:val="323E4F" w:themeColor="text2" w:themeShade="BF"/>
                              </w:rPr>
                              <w:t>” (OH)</w:t>
                            </w:r>
                          </w:p>
                          <w:p w14:paraId="14F2C41A" w14:textId="3494ABFF" w:rsidR="00B00F20" w:rsidRPr="00B00F20" w:rsidRDefault="00B00F20" w:rsidP="00692AD9">
                            <w:pPr>
                              <w:pStyle w:val="ListParagraph"/>
                              <w:numPr>
                                <w:ilvl w:val="0"/>
                                <w:numId w:val="3"/>
                              </w:numPr>
                              <w:spacing w:after="240"/>
                              <w:ind w:left="360"/>
                              <w:contextualSpacing w:val="0"/>
                              <w:rPr>
                                <w:rStyle w:val="PlaceholderText"/>
                                <w:i/>
                                <w:iCs/>
                                <w:color w:val="323E4F" w:themeColor="text2" w:themeShade="BF"/>
                              </w:rPr>
                            </w:pPr>
                            <w:r>
                              <w:rPr>
                                <w:rStyle w:val="PlaceholderText"/>
                                <w:i/>
                                <w:iCs/>
                                <w:color w:val="323E4F" w:themeColor="text2" w:themeShade="BF"/>
                              </w:rPr>
                              <w:t>“</w:t>
                            </w:r>
                            <w:r w:rsidRPr="00056D71">
                              <w:rPr>
                                <w:rStyle w:val="PlaceholderText"/>
                                <w:i/>
                                <w:iCs/>
                                <w:color w:val="323E4F" w:themeColor="text2" w:themeShade="BF"/>
                              </w:rPr>
                              <w:t>Most of our teams don't have access to</w:t>
                            </w:r>
                            <w:r>
                              <w:rPr>
                                <w:rStyle w:val="PlaceholderText"/>
                                <w:i/>
                                <w:iCs/>
                                <w:color w:val="323E4F" w:themeColor="text2" w:themeShade="BF"/>
                              </w:rPr>
                              <w:t xml:space="preserve"> </w:t>
                            </w:r>
                            <w:r w:rsidR="00B33D10">
                              <w:rPr>
                                <w:rStyle w:val="PlaceholderText"/>
                                <w:i/>
                                <w:iCs/>
                                <w:color w:val="323E4F" w:themeColor="text2" w:themeShade="BF"/>
                              </w:rPr>
                              <w:t>b</w:t>
                            </w:r>
                            <w:r w:rsidRPr="00056D71">
                              <w:rPr>
                                <w:rStyle w:val="PlaceholderText"/>
                                <w:i/>
                                <w:iCs/>
                                <w:color w:val="323E4F" w:themeColor="text2" w:themeShade="BF"/>
                              </w:rPr>
                              <w:t xml:space="preserve">raille transcribers, and most TSVIs </w:t>
                            </w:r>
                            <w:r w:rsidR="00B33D10">
                              <w:rPr>
                                <w:rStyle w:val="PlaceholderText"/>
                                <w:i/>
                                <w:iCs/>
                                <w:color w:val="323E4F" w:themeColor="text2" w:themeShade="BF"/>
                              </w:rPr>
                              <w:t>[</w:t>
                            </w:r>
                            <w:r w:rsidR="00693F06">
                              <w:rPr>
                                <w:rStyle w:val="PlaceholderText"/>
                                <w:i/>
                                <w:iCs/>
                                <w:color w:val="323E4F" w:themeColor="text2" w:themeShade="BF"/>
                              </w:rPr>
                              <w:t>t</w:t>
                            </w:r>
                            <w:r w:rsidR="00B33D10">
                              <w:rPr>
                                <w:rStyle w:val="PlaceholderText"/>
                                <w:i/>
                                <w:iCs/>
                                <w:color w:val="323E4F" w:themeColor="text2" w:themeShade="BF"/>
                              </w:rPr>
                              <w:t xml:space="preserve">eachers of students with visual impairments] </w:t>
                            </w:r>
                            <w:r w:rsidRPr="00056D71">
                              <w:rPr>
                                <w:rStyle w:val="PlaceholderText"/>
                                <w:i/>
                                <w:iCs/>
                                <w:color w:val="323E4F" w:themeColor="text2" w:themeShade="BF"/>
                              </w:rPr>
                              <w:t xml:space="preserve">aren't familiar with braille formatting or tactile graphics standards. I'm sure that a lot of the braille provided to our students is </w:t>
                            </w:r>
                            <w:r>
                              <w:rPr>
                                <w:rStyle w:val="PlaceholderText"/>
                                <w:i/>
                                <w:iCs/>
                                <w:color w:val="323E4F" w:themeColor="text2" w:themeShade="BF"/>
                              </w:rPr>
                              <w:t>‘</w:t>
                            </w:r>
                            <w:r w:rsidRPr="00056D71">
                              <w:rPr>
                                <w:rStyle w:val="PlaceholderText"/>
                                <w:i/>
                                <w:iCs/>
                                <w:color w:val="323E4F" w:themeColor="text2" w:themeShade="BF"/>
                              </w:rPr>
                              <w:t>less than ideal</w:t>
                            </w:r>
                            <w:r>
                              <w:rPr>
                                <w:rStyle w:val="PlaceholderText"/>
                                <w:i/>
                                <w:iCs/>
                                <w:color w:val="323E4F" w:themeColor="text2" w:themeShade="BF"/>
                              </w:rPr>
                              <w:t>.’” (OR)</w:t>
                            </w:r>
                          </w:p>
                          <w:p w14:paraId="3F55EF76" w14:textId="071CB71B" w:rsidR="00056D71" w:rsidRDefault="00056D71" w:rsidP="00692AD9">
                            <w:pPr>
                              <w:pStyle w:val="ListParagraph"/>
                              <w:numPr>
                                <w:ilvl w:val="0"/>
                                <w:numId w:val="2"/>
                              </w:numPr>
                              <w:spacing w:after="240" w:line="240" w:lineRule="auto"/>
                              <w:ind w:left="360"/>
                              <w:contextualSpacing w:val="0"/>
                              <w:rPr>
                                <w:rStyle w:val="PlaceholderText"/>
                                <w:i/>
                                <w:iCs/>
                                <w:color w:val="323E4F" w:themeColor="text2" w:themeShade="BF"/>
                              </w:rPr>
                            </w:pPr>
                            <w:r>
                              <w:rPr>
                                <w:rStyle w:val="PlaceholderText"/>
                                <w:i/>
                                <w:iCs/>
                                <w:color w:val="323E4F" w:themeColor="text2" w:themeShade="BF"/>
                              </w:rPr>
                              <w:t>“</w:t>
                            </w:r>
                            <w:r w:rsidRPr="00056D71">
                              <w:rPr>
                                <w:rStyle w:val="PlaceholderText"/>
                                <w:i/>
                                <w:iCs/>
                                <w:color w:val="323E4F" w:themeColor="text2" w:themeShade="BF"/>
                              </w:rPr>
                              <w:t>I would say on a regular basis</w:t>
                            </w:r>
                            <w:r w:rsidR="00693F06">
                              <w:rPr>
                                <w:rStyle w:val="PlaceholderText"/>
                                <w:i/>
                                <w:iCs/>
                                <w:color w:val="323E4F" w:themeColor="text2" w:themeShade="BF"/>
                              </w:rPr>
                              <w:t>,</w:t>
                            </w:r>
                            <w:r>
                              <w:rPr>
                                <w:rStyle w:val="PlaceholderText"/>
                                <w:i/>
                                <w:iCs/>
                                <w:color w:val="323E4F" w:themeColor="text2" w:themeShade="BF"/>
                              </w:rPr>
                              <w:t xml:space="preserve"> </w:t>
                            </w:r>
                            <w:r w:rsidRPr="00056D71">
                              <w:rPr>
                                <w:rStyle w:val="PlaceholderText"/>
                                <w:i/>
                                <w:iCs/>
                                <w:color w:val="323E4F" w:themeColor="text2" w:themeShade="BF"/>
                              </w:rPr>
                              <w:t xml:space="preserve">a younger </w:t>
                            </w:r>
                            <w:r w:rsidR="006441BF">
                              <w:rPr>
                                <w:rStyle w:val="PlaceholderText"/>
                                <w:i/>
                                <w:iCs/>
                                <w:color w:val="323E4F" w:themeColor="text2" w:themeShade="BF"/>
                              </w:rPr>
                              <w:t>b</w:t>
                            </w:r>
                            <w:r w:rsidRPr="00056D71">
                              <w:rPr>
                                <w:rStyle w:val="PlaceholderText"/>
                                <w:i/>
                                <w:iCs/>
                                <w:color w:val="323E4F" w:themeColor="text2" w:themeShade="BF"/>
                              </w:rPr>
                              <w:t xml:space="preserve">raille student is probably getting </w:t>
                            </w:r>
                            <w:r w:rsidR="006441BF">
                              <w:rPr>
                                <w:rStyle w:val="PlaceholderText"/>
                                <w:i/>
                                <w:iCs/>
                                <w:color w:val="323E4F" w:themeColor="text2" w:themeShade="BF"/>
                              </w:rPr>
                              <w:t>b</w:t>
                            </w:r>
                            <w:r w:rsidRPr="00056D71">
                              <w:rPr>
                                <w:rStyle w:val="PlaceholderText"/>
                                <w:i/>
                                <w:iCs/>
                                <w:color w:val="323E4F" w:themeColor="text2" w:themeShade="BF"/>
                              </w:rPr>
                              <w:t>raille at the same time as their peers maybe 50% of the time. And that might be</w:t>
                            </w:r>
                            <w:r>
                              <w:rPr>
                                <w:rStyle w:val="PlaceholderText"/>
                                <w:i/>
                                <w:iCs/>
                                <w:color w:val="323E4F" w:themeColor="text2" w:themeShade="BF"/>
                              </w:rPr>
                              <w:t xml:space="preserve"> </w:t>
                            </w:r>
                            <w:r w:rsidRPr="00056D71">
                              <w:rPr>
                                <w:rStyle w:val="PlaceholderText"/>
                                <w:i/>
                                <w:iCs/>
                                <w:color w:val="323E4F" w:themeColor="text2" w:themeShade="BF"/>
                              </w:rPr>
                              <w:t>giving the benefit of the doubt</w:t>
                            </w:r>
                            <w:r>
                              <w:rPr>
                                <w:rStyle w:val="PlaceholderText"/>
                                <w:i/>
                                <w:iCs/>
                                <w:color w:val="323E4F" w:themeColor="text2" w:themeShade="BF"/>
                              </w:rPr>
                              <w:t>.” (OR)</w:t>
                            </w:r>
                          </w:p>
                          <w:p w14:paraId="0C010F8B" w14:textId="487E5D79" w:rsidR="00056D71" w:rsidRDefault="00056D71" w:rsidP="00692AD9">
                            <w:pPr>
                              <w:pStyle w:val="ListParagraph"/>
                              <w:numPr>
                                <w:ilvl w:val="0"/>
                                <w:numId w:val="3"/>
                              </w:numPr>
                              <w:spacing w:after="240"/>
                              <w:ind w:left="360"/>
                              <w:contextualSpacing w:val="0"/>
                              <w:rPr>
                                <w:rStyle w:val="PlaceholderText"/>
                                <w:i/>
                                <w:iCs/>
                                <w:color w:val="323E4F" w:themeColor="text2" w:themeShade="BF"/>
                              </w:rPr>
                            </w:pPr>
                            <w:r>
                              <w:rPr>
                                <w:rStyle w:val="PlaceholderText"/>
                                <w:i/>
                                <w:iCs/>
                                <w:color w:val="323E4F" w:themeColor="text2" w:themeShade="BF"/>
                              </w:rPr>
                              <w:t>“</w:t>
                            </w:r>
                            <w:r w:rsidRPr="00056D71">
                              <w:rPr>
                                <w:rStyle w:val="PlaceholderText"/>
                                <w:i/>
                                <w:iCs/>
                                <w:color w:val="323E4F" w:themeColor="text2" w:themeShade="BF"/>
                              </w:rPr>
                              <w:t>I would have to say that if you look at Oregon as a whole</w:t>
                            </w:r>
                            <w:r w:rsidR="00693F06">
                              <w:rPr>
                                <w:rStyle w:val="PlaceholderText"/>
                                <w:i/>
                                <w:iCs/>
                                <w:color w:val="323E4F" w:themeColor="text2" w:themeShade="BF"/>
                              </w:rPr>
                              <w:t>,</w:t>
                            </w:r>
                            <w:r w:rsidRPr="00056D71">
                              <w:rPr>
                                <w:rStyle w:val="PlaceholderText"/>
                                <w:i/>
                                <w:iCs/>
                                <w:color w:val="323E4F" w:themeColor="text2" w:themeShade="BF"/>
                              </w:rPr>
                              <w:t xml:space="preserve"> the majority of </w:t>
                            </w:r>
                            <w:r>
                              <w:rPr>
                                <w:rStyle w:val="PlaceholderText"/>
                                <w:i/>
                                <w:iCs/>
                                <w:color w:val="323E4F" w:themeColor="text2" w:themeShade="BF"/>
                              </w:rPr>
                              <w:t>students</w:t>
                            </w:r>
                            <w:r w:rsidRPr="00056D71">
                              <w:rPr>
                                <w:rStyle w:val="PlaceholderText"/>
                                <w:i/>
                                <w:iCs/>
                                <w:color w:val="323E4F" w:themeColor="text2" w:themeShade="BF"/>
                              </w:rPr>
                              <w:t xml:space="preserve"> are not getting what they need in a timely manner and lots of factors </w:t>
                            </w:r>
                            <w:r>
                              <w:rPr>
                                <w:rStyle w:val="PlaceholderText"/>
                                <w:i/>
                                <w:iCs/>
                                <w:color w:val="323E4F" w:themeColor="text2" w:themeShade="BF"/>
                              </w:rPr>
                              <w:t xml:space="preserve">are </w:t>
                            </w:r>
                            <w:r w:rsidRPr="00056D71">
                              <w:rPr>
                                <w:rStyle w:val="PlaceholderText"/>
                                <w:i/>
                                <w:iCs/>
                                <w:color w:val="323E4F" w:themeColor="text2" w:themeShade="BF"/>
                              </w:rPr>
                              <w:t>involved in tha</w:t>
                            </w:r>
                            <w:r>
                              <w:rPr>
                                <w:rStyle w:val="PlaceholderText"/>
                                <w:i/>
                                <w:iCs/>
                                <w:color w:val="323E4F" w:themeColor="text2" w:themeShade="BF"/>
                              </w:rPr>
                              <w:t>t</w:t>
                            </w:r>
                            <w:r w:rsidRPr="00056D71">
                              <w:rPr>
                                <w:rStyle w:val="PlaceholderText"/>
                                <w:i/>
                                <w:iCs/>
                                <w:color w:val="323E4F" w:themeColor="text2" w:themeShade="BF"/>
                              </w:rPr>
                              <w:t>.</w:t>
                            </w:r>
                            <w:r>
                              <w:rPr>
                                <w:rStyle w:val="PlaceholderText"/>
                                <w:i/>
                                <w:iCs/>
                                <w:color w:val="323E4F" w:themeColor="text2" w:themeShade="BF"/>
                              </w:rPr>
                              <w:t>” (OR)</w:t>
                            </w:r>
                          </w:p>
                        </w:txbxContent>
                      </wps:txbx>
                      <wps:bodyPr rot="0" vert="horz" wrap="square" lIns="182880" tIns="182880" rIns="182880" bIns="182880" anchor="t" anchorCtr="0" upright="1">
                        <a:noAutofit/>
                      </wps:bodyPr>
                    </wps:wsp>
                  </a:graphicData>
                </a:graphic>
              </wp:inline>
            </w:drawing>
          </mc:Choice>
          <mc:Fallback>
            <w:pict>
              <v:rect w14:anchorId="555CA3CB" id="_x0000_s1028" alt="Figure 10. Representative Quotations: Frequency of Students Using Accessible Formats that are Less than Ideal" style="width:467.3pt;height:25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" fillcolor="#d5dce4 [671]" stroked="f">
                <v:fill opacity="22873f"/>
                <v:textbox inset="14.4pt,14.4pt,14.4pt,14.4pt">
                  <w:txbxContent>
                    <w:p w14:paraId="5887F6D3" w14:textId="116C2F6D" w:rsidR="00056D71" w:rsidRPr="00056D71" w:rsidRDefault="00056D71" w:rsidP="00692AD9">
                      <w:pPr>
                        <w:pStyle w:val="ListParagraph"/>
                        <w:numPr>
                          <w:ilvl w:val="0"/>
                          <w:numId w:val="2"/>
                        </w:numPr>
                        <w:spacing w:after="240" w:line="240" w:lineRule="auto"/>
                        <w:ind w:left="360"/>
                        <w:contextualSpacing w:val="0"/>
                        <w:rPr>
                          <w:i/>
                          <w:iCs/>
                          <w:color w:val="323E4F" w:themeColor="text2" w:themeShade="BF"/>
                        </w:rPr>
                      </w:pPr>
                      <w:r>
                        <w:rPr>
                          <w:rStyle w:val="PlaceholderText"/>
                          <w:i/>
                          <w:iCs/>
                          <w:color w:val="323E4F" w:themeColor="text2" w:themeShade="BF"/>
                        </w:rPr>
                        <w:t>“</w:t>
                      </w:r>
                      <w:r w:rsidR="00693F06">
                        <w:rPr>
                          <w:rStyle w:val="PlaceholderText"/>
                          <w:i/>
                          <w:iCs/>
                          <w:color w:val="323E4F" w:themeColor="text2" w:themeShade="BF"/>
                        </w:rPr>
                        <w:t>It</w:t>
                      </w:r>
                      <w:r w:rsidRPr="00056D71">
                        <w:rPr>
                          <w:rStyle w:val="PlaceholderText"/>
                          <w:i/>
                          <w:iCs/>
                          <w:color w:val="323E4F" w:themeColor="text2" w:themeShade="BF"/>
                        </w:rPr>
                        <w:t xml:space="preserve"> is probably true that a lot of kids are using either scaled down versions of the full text or if they're in a math or science class, they get the text</w:t>
                      </w:r>
                      <w:r w:rsidR="00B33D10">
                        <w:rPr>
                          <w:rStyle w:val="PlaceholderText"/>
                          <w:i/>
                          <w:iCs/>
                          <w:color w:val="323E4F" w:themeColor="text2" w:themeShade="BF"/>
                        </w:rPr>
                        <w:t>,</w:t>
                      </w:r>
                      <w:r w:rsidRPr="00056D71">
                        <w:rPr>
                          <w:rStyle w:val="PlaceholderText"/>
                          <w:i/>
                          <w:iCs/>
                          <w:color w:val="323E4F" w:themeColor="text2" w:themeShade="BF"/>
                        </w:rPr>
                        <w:t xml:space="preserve"> but they don't always get the </w:t>
                      </w:r>
                      <w:r w:rsidR="00B00F20">
                        <w:rPr>
                          <w:rStyle w:val="PlaceholderText"/>
                          <w:i/>
                          <w:iCs/>
                          <w:color w:val="323E4F" w:themeColor="text2" w:themeShade="BF"/>
                        </w:rPr>
                        <w:t>tactile</w:t>
                      </w:r>
                      <w:r w:rsidRPr="00056D71">
                        <w:rPr>
                          <w:rStyle w:val="PlaceholderText"/>
                          <w:i/>
                          <w:iCs/>
                          <w:color w:val="323E4F" w:themeColor="text2" w:themeShade="BF"/>
                        </w:rPr>
                        <w:t xml:space="preserve"> graphics that go along with it or the charts and graphs that go along with the material. I think that has gotten better in the last 10 to 15 years, but I still don't think it's probably where it needs to be.</w:t>
                      </w:r>
                      <w:r>
                        <w:rPr>
                          <w:rStyle w:val="PlaceholderText"/>
                          <w:i/>
                          <w:iCs/>
                          <w:color w:val="323E4F" w:themeColor="text2" w:themeShade="BF"/>
                        </w:rPr>
                        <w:t>” (OH)</w:t>
                      </w:r>
                    </w:p>
                    <w:p w14:paraId="14F2C41A" w14:textId="3494ABFF" w:rsidR="00B00F20" w:rsidRPr="00B00F20" w:rsidRDefault="00B00F20" w:rsidP="00692AD9">
                      <w:pPr>
                        <w:pStyle w:val="ListParagraph"/>
                        <w:numPr>
                          <w:ilvl w:val="0"/>
                          <w:numId w:val="3"/>
                        </w:numPr>
                        <w:spacing w:after="240"/>
                        <w:ind w:left="360"/>
                        <w:contextualSpacing w:val="0"/>
                        <w:rPr>
                          <w:rStyle w:val="PlaceholderText"/>
                          <w:i/>
                          <w:iCs/>
                          <w:color w:val="323E4F" w:themeColor="text2" w:themeShade="BF"/>
                        </w:rPr>
                      </w:pPr>
                      <w:r>
                        <w:rPr>
                          <w:rStyle w:val="PlaceholderText"/>
                          <w:i/>
                          <w:iCs/>
                          <w:color w:val="323E4F" w:themeColor="text2" w:themeShade="BF"/>
                        </w:rPr>
                        <w:t>“</w:t>
                      </w:r>
                      <w:r w:rsidRPr="00056D71">
                        <w:rPr>
                          <w:rStyle w:val="PlaceholderText"/>
                          <w:i/>
                          <w:iCs/>
                          <w:color w:val="323E4F" w:themeColor="text2" w:themeShade="BF"/>
                        </w:rPr>
                        <w:t>Most of our teams don't have access to</w:t>
                      </w:r>
                      <w:r>
                        <w:rPr>
                          <w:rStyle w:val="PlaceholderText"/>
                          <w:i/>
                          <w:iCs/>
                          <w:color w:val="323E4F" w:themeColor="text2" w:themeShade="BF"/>
                        </w:rPr>
                        <w:t xml:space="preserve"> </w:t>
                      </w:r>
                      <w:r w:rsidR="00B33D10">
                        <w:rPr>
                          <w:rStyle w:val="PlaceholderText"/>
                          <w:i/>
                          <w:iCs/>
                          <w:color w:val="323E4F" w:themeColor="text2" w:themeShade="BF"/>
                        </w:rPr>
                        <w:t>b</w:t>
                      </w:r>
                      <w:r w:rsidRPr="00056D71">
                        <w:rPr>
                          <w:rStyle w:val="PlaceholderText"/>
                          <w:i/>
                          <w:iCs/>
                          <w:color w:val="323E4F" w:themeColor="text2" w:themeShade="BF"/>
                        </w:rPr>
                        <w:t xml:space="preserve">raille transcribers, and most TSVIs </w:t>
                      </w:r>
                      <w:r w:rsidR="00B33D10">
                        <w:rPr>
                          <w:rStyle w:val="PlaceholderText"/>
                          <w:i/>
                          <w:iCs/>
                          <w:color w:val="323E4F" w:themeColor="text2" w:themeShade="BF"/>
                        </w:rPr>
                        <w:t>[</w:t>
                      </w:r>
                      <w:r w:rsidR="00693F06">
                        <w:rPr>
                          <w:rStyle w:val="PlaceholderText"/>
                          <w:i/>
                          <w:iCs/>
                          <w:color w:val="323E4F" w:themeColor="text2" w:themeShade="BF"/>
                        </w:rPr>
                        <w:t>t</w:t>
                      </w:r>
                      <w:r w:rsidR="00B33D10">
                        <w:rPr>
                          <w:rStyle w:val="PlaceholderText"/>
                          <w:i/>
                          <w:iCs/>
                          <w:color w:val="323E4F" w:themeColor="text2" w:themeShade="BF"/>
                        </w:rPr>
                        <w:t xml:space="preserve">eachers of students with visual impairments] </w:t>
                      </w:r>
                      <w:r w:rsidRPr="00056D71">
                        <w:rPr>
                          <w:rStyle w:val="PlaceholderText"/>
                          <w:i/>
                          <w:iCs/>
                          <w:color w:val="323E4F" w:themeColor="text2" w:themeShade="BF"/>
                        </w:rPr>
                        <w:t xml:space="preserve">aren't familiar with braille formatting or tactile graphics standards. I'm sure that a lot of the braille provided to our students is </w:t>
                      </w:r>
                      <w:r>
                        <w:rPr>
                          <w:rStyle w:val="PlaceholderText"/>
                          <w:i/>
                          <w:iCs/>
                          <w:color w:val="323E4F" w:themeColor="text2" w:themeShade="BF"/>
                        </w:rPr>
                        <w:t>‘</w:t>
                      </w:r>
                      <w:r w:rsidRPr="00056D71">
                        <w:rPr>
                          <w:rStyle w:val="PlaceholderText"/>
                          <w:i/>
                          <w:iCs/>
                          <w:color w:val="323E4F" w:themeColor="text2" w:themeShade="BF"/>
                        </w:rPr>
                        <w:t>less than ideal</w:t>
                      </w:r>
                      <w:r>
                        <w:rPr>
                          <w:rStyle w:val="PlaceholderText"/>
                          <w:i/>
                          <w:iCs/>
                          <w:color w:val="323E4F" w:themeColor="text2" w:themeShade="BF"/>
                        </w:rPr>
                        <w:t>.’” (OR)</w:t>
                      </w:r>
                    </w:p>
                    <w:p w14:paraId="3F55EF76" w14:textId="071CB71B" w:rsidR="00056D71" w:rsidRDefault="00056D71" w:rsidP="00692AD9">
                      <w:pPr>
                        <w:pStyle w:val="ListParagraph"/>
                        <w:numPr>
                          <w:ilvl w:val="0"/>
                          <w:numId w:val="2"/>
                        </w:numPr>
                        <w:spacing w:after="240" w:line="240" w:lineRule="auto"/>
                        <w:ind w:left="360"/>
                        <w:contextualSpacing w:val="0"/>
                        <w:rPr>
                          <w:rStyle w:val="PlaceholderText"/>
                          <w:i/>
                          <w:iCs/>
                          <w:color w:val="323E4F" w:themeColor="text2" w:themeShade="BF"/>
                        </w:rPr>
                      </w:pPr>
                      <w:r>
                        <w:rPr>
                          <w:rStyle w:val="PlaceholderText"/>
                          <w:i/>
                          <w:iCs/>
                          <w:color w:val="323E4F" w:themeColor="text2" w:themeShade="BF"/>
                        </w:rPr>
                        <w:t>“</w:t>
                      </w:r>
                      <w:r w:rsidRPr="00056D71">
                        <w:rPr>
                          <w:rStyle w:val="PlaceholderText"/>
                          <w:i/>
                          <w:iCs/>
                          <w:color w:val="323E4F" w:themeColor="text2" w:themeShade="BF"/>
                        </w:rPr>
                        <w:t>I would say on a regular basis</w:t>
                      </w:r>
                      <w:r w:rsidR="00693F06">
                        <w:rPr>
                          <w:rStyle w:val="PlaceholderText"/>
                          <w:i/>
                          <w:iCs/>
                          <w:color w:val="323E4F" w:themeColor="text2" w:themeShade="BF"/>
                        </w:rPr>
                        <w:t>,</w:t>
                      </w:r>
                      <w:r>
                        <w:rPr>
                          <w:rStyle w:val="PlaceholderText"/>
                          <w:i/>
                          <w:iCs/>
                          <w:color w:val="323E4F" w:themeColor="text2" w:themeShade="BF"/>
                        </w:rPr>
                        <w:t xml:space="preserve"> </w:t>
                      </w:r>
                      <w:r w:rsidRPr="00056D71">
                        <w:rPr>
                          <w:rStyle w:val="PlaceholderText"/>
                          <w:i/>
                          <w:iCs/>
                          <w:color w:val="323E4F" w:themeColor="text2" w:themeShade="BF"/>
                        </w:rPr>
                        <w:t xml:space="preserve">a younger </w:t>
                      </w:r>
                      <w:r w:rsidR="006441BF">
                        <w:rPr>
                          <w:rStyle w:val="PlaceholderText"/>
                          <w:i/>
                          <w:iCs/>
                          <w:color w:val="323E4F" w:themeColor="text2" w:themeShade="BF"/>
                        </w:rPr>
                        <w:t>b</w:t>
                      </w:r>
                      <w:r w:rsidRPr="00056D71">
                        <w:rPr>
                          <w:rStyle w:val="PlaceholderText"/>
                          <w:i/>
                          <w:iCs/>
                          <w:color w:val="323E4F" w:themeColor="text2" w:themeShade="BF"/>
                        </w:rPr>
                        <w:t xml:space="preserve">raille student is probably getting </w:t>
                      </w:r>
                      <w:r w:rsidR="006441BF">
                        <w:rPr>
                          <w:rStyle w:val="PlaceholderText"/>
                          <w:i/>
                          <w:iCs/>
                          <w:color w:val="323E4F" w:themeColor="text2" w:themeShade="BF"/>
                        </w:rPr>
                        <w:t>b</w:t>
                      </w:r>
                      <w:r w:rsidRPr="00056D71">
                        <w:rPr>
                          <w:rStyle w:val="PlaceholderText"/>
                          <w:i/>
                          <w:iCs/>
                          <w:color w:val="323E4F" w:themeColor="text2" w:themeShade="BF"/>
                        </w:rPr>
                        <w:t>raille at the same time as their peers maybe 50% of the time. And that might be</w:t>
                      </w:r>
                      <w:r>
                        <w:rPr>
                          <w:rStyle w:val="PlaceholderText"/>
                          <w:i/>
                          <w:iCs/>
                          <w:color w:val="323E4F" w:themeColor="text2" w:themeShade="BF"/>
                        </w:rPr>
                        <w:t xml:space="preserve"> </w:t>
                      </w:r>
                      <w:r w:rsidRPr="00056D71">
                        <w:rPr>
                          <w:rStyle w:val="PlaceholderText"/>
                          <w:i/>
                          <w:iCs/>
                          <w:color w:val="323E4F" w:themeColor="text2" w:themeShade="BF"/>
                        </w:rPr>
                        <w:t>giving the benefit of the doubt</w:t>
                      </w:r>
                      <w:r>
                        <w:rPr>
                          <w:rStyle w:val="PlaceholderText"/>
                          <w:i/>
                          <w:iCs/>
                          <w:color w:val="323E4F" w:themeColor="text2" w:themeShade="BF"/>
                        </w:rPr>
                        <w:t>.” (OR)</w:t>
                      </w:r>
                    </w:p>
                    <w:p w14:paraId="0C010F8B" w14:textId="487E5D79" w:rsidR="00056D71" w:rsidRDefault="00056D71" w:rsidP="00692AD9">
                      <w:pPr>
                        <w:pStyle w:val="ListParagraph"/>
                        <w:numPr>
                          <w:ilvl w:val="0"/>
                          <w:numId w:val="3"/>
                        </w:numPr>
                        <w:spacing w:after="240"/>
                        <w:ind w:left="360"/>
                        <w:contextualSpacing w:val="0"/>
                        <w:rPr>
                          <w:rStyle w:val="PlaceholderText"/>
                          <w:i/>
                          <w:iCs/>
                          <w:color w:val="323E4F" w:themeColor="text2" w:themeShade="BF"/>
                        </w:rPr>
                      </w:pPr>
                      <w:r>
                        <w:rPr>
                          <w:rStyle w:val="PlaceholderText"/>
                          <w:i/>
                          <w:iCs/>
                          <w:color w:val="323E4F" w:themeColor="text2" w:themeShade="BF"/>
                        </w:rPr>
                        <w:t>“</w:t>
                      </w:r>
                      <w:r w:rsidRPr="00056D71">
                        <w:rPr>
                          <w:rStyle w:val="PlaceholderText"/>
                          <w:i/>
                          <w:iCs/>
                          <w:color w:val="323E4F" w:themeColor="text2" w:themeShade="BF"/>
                        </w:rPr>
                        <w:t>I would have to say that if you look at Oregon as a whole</w:t>
                      </w:r>
                      <w:r w:rsidR="00693F06">
                        <w:rPr>
                          <w:rStyle w:val="PlaceholderText"/>
                          <w:i/>
                          <w:iCs/>
                          <w:color w:val="323E4F" w:themeColor="text2" w:themeShade="BF"/>
                        </w:rPr>
                        <w:t>,</w:t>
                      </w:r>
                      <w:r w:rsidRPr="00056D71">
                        <w:rPr>
                          <w:rStyle w:val="PlaceholderText"/>
                          <w:i/>
                          <w:iCs/>
                          <w:color w:val="323E4F" w:themeColor="text2" w:themeShade="BF"/>
                        </w:rPr>
                        <w:t xml:space="preserve"> the majority of </w:t>
                      </w:r>
                      <w:r>
                        <w:rPr>
                          <w:rStyle w:val="PlaceholderText"/>
                          <w:i/>
                          <w:iCs/>
                          <w:color w:val="323E4F" w:themeColor="text2" w:themeShade="BF"/>
                        </w:rPr>
                        <w:t>students</w:t>
                      </w:r>
                      <w:r w:rsidRPr="00056D71">
                        <w:rPr>
                          <w:rStyle w:val="PlaceholderText"/>
                          <w:i/>
                          <w:iCs/>
                          <w:color w:val="323E4F" w:themeColor="text2" w:themeShade="BF"/>
                        </w:rPr>
                        <w:t xml:space="preserve"> are not getting what they need in a timely manner and lots of factors </w:t>
                      </w:r>
                      <w:r>
                        <w:rPr>
                          <w:rStyle w:val="PlaceholderText"/>
                          <w:i/>
                          <w:iCs/>
                          <w:color w:val="323E4F" w:themeColor="text2" w:themeShade="BF"/>
                        </w:rPr>
                        <w:t xml:space="preserve">are </w:t>
                      </w:r>
                      <w:r w:rsidRPr="00056D71">
                        <w:rPr>
                          <w:rStyle w:val="PlaceholderText"/>
                          <w:i/>
                          <w:iCs/>
                          <w:color w:val="323E4F" w:themeColor="text2" w:themeShade="BF"/>
                        </w:rPr>
                        <w:t>involved in tha</w:t>
                      </w:r>
                      <w:r>
                        <w:rPr>
                          <w:rStyle w:val="PlaceholderText"/>
                          <w:i/>
                          <w:iCs/>
                          <w:color w:val="323E4F" w:themeColor="text2" w:themeShade="BF"/>
                        </w:rPr>
                        <w:t>t</w:t>
                      </w:r>
                      <w:r w:rsidRPr="00056D71">
                        <w:rPr>
                          <w:rStyle w:val="PlaceholderText"/>
                          <w:i/>
                          <w:iCs/>
                          <w:color w:val="323E4F" w:themeColor="text2" w:themeShade="BF"/>
                        </w:rPr>
                        <w:t>.</w:t>
                      </w:r>
                      <w:r>
                        <w:rPr>
                          <w:rStyle w:val="PlaceholderText"/>
                          <w:i/>
                          <w:iCs/>
                          <w:color w:val="323E4F" w:themeColor="text2" w:themeShade="BF"/>
                        </w:rPr>
                        <w:t>” (OR)</w:t>
                      </w:r>
                    </w:p>
                  </w:txbxContent>
                </v:textbox>
                <w10:anchorlock/>
              </v:rect>
            </w:pict>
          </mc:Fallback>
        </mc:AlternateContent>
      </w:r>
    </w:p>
    <w:p w14:paraId="07D72942" w14:textId="77777777" w:rsidR="006636AA" w:rsidRDefault="006636AA" w:rsidP="006636AA">
      <w:pPr>
        <w:spacing w:after="0" w:line="276" w:lineRule="auto"/>
        <w:rPr>
          <w:rFonts w:cstheme="minorHAnsi"/>
          <w:sz w:val="24"/>
          <w:szCs w:val="24"/>
        </w:rPr>
      </w:pPr>
    </w:p>
    <w:p w14:paraId="2BC860FC" w14:textId="4134B5FF" w:rsidR="00CD0D5C" w:rsidRPr="006846F4" w:rsidRDefault="00CD0D5C" w:rsidP="004946C3">
      <w:pPr>
        <w:pStyle w:val="Heading4"/>
      </w:pPr>
      <w:bookmarkStart w:id="30" w:name="_Toc222904000"/>
      <w:r>
        <w:lastRenderedPageBreak/>
        <w:t xml:space="preserve">Figure </w:t>
      </w:r>
      <w:r w:rsidR="00B33D10">
        <w:t>1</w:t>
      </w:r>
      <w:r w:rsidR="00EE4A78">
        <w:t>1</w:t>
      </w:r>
      <w:r w:rsidRPr="006C7F46">
        <w:t xml:space="preserve">. </w:t>
      </w:r>
      <w:r>
        <w:t>Representative Quotations: Frequency of Students Using Different Curriculum Due to a Lack of Accessible Materials</w:t>
      </w:r>
      <w:bookmarkEnd w:id="30"/>
    </w:p>
    <w:p w14:paraId="413D64E2" w14:textId="4E871F7E" w:rsidR="00CD0D5C" w:rsidRDefault="00B55C67" w:rsidP="00CD0D5C">
      <w:pPr>
        <w:rPr>
          <w:rFonts w:ascii="Calibri" w:hAnsi="Calibri" w:cs="Calibri"/>
          <w:sz w:val="24"/>
          <w:szCs w:val="24"/>
        </w:rPr>
      </w:pPr>
      <w:r>
        <w:rPr>
          <w:rFonts w:ascii="ZWAdobeF" w:hAnsi="ZWAdobeF" w:cs="ZWAdobeF"/>
          <w:sz w:val="2"/>
          <w:szCs w:val="2"/>
        </w:rPr>
        <w:t>125B</w:t>
      </w:r>
      <w:r w:rsidR="00CD0D5C" w:rsidRPr="000A73FC">
        <w:rPr>
          <w:noProof/>
        </w:rPr>
        <mc:AlternateContent>
          <mc:Choice Requires="wps">
            <w:drawing>
              <wp:inline distT="0" distB="0" distL="0" distR="0" wp14:anchorId="1499D45C" wp14:editId="06FAC5A5">
                <wp:extent cx="5934710" cy="4692650"/>
                <wp:effectExtent l="0" t="0" r="8890" b="0"/>
                <wp:docPr id="1136646714" name="AutoShape 14" descr="Figure 11. Representative Quotations: Frequency of Students Using Different Curriculum Due to a Lack of Accessible Materials"/>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34710" cy="4692650"/>
                        </a:xfrm>
                        <a:prstGeom prst="rect">
                          <a:avLst/>
                        </a:prstGeom>
                        <a:solidFill>
                          <a:schemeClr val="tx2">
                            <a:lumMod val="20000"/>
                            <a:lumOff val="80000"/>
                            <a:alpha val="34902"/>
                          </a:schemeClr>
                        </a:solidFill>
                      </wps:spPr>
                      <wps:txbx>
                        <w:txbxContent>
                          <w:p w14:paraId="12DF0ECC" w14:textId="6FF43B30" w:rsidR="00A828C5" w:rsidRPr="00A828C5" w:rsidRDefault="00A828C5" w:rsidP="00692AD9">
                            <w:pPr>
                              <w:pStyle w:val="ListParagraph"/>
                              <w:numPr>
                                <w:ilvl w:val="0"/>
                                <w:numId w:val="3"/>
                              </w:numPr>
                              <w:spacing w:after="240"/>
                              <w:ind w:left="360"/>
                              <w:contextualSpacing w:val="0"/>
                              <w:rPr>
                                <w:i/>
                                <w:iCs/>
                                <w:color w:val="323E4F" w:themeColor="text2" w:themeShade="BF"/>
                              </w:rPr>
                            </w:pPr>
                            <w:r>
                              <w:rPr>
                                <w:rStyle w:val="PlaceholderText"/>
                                <w:i/>
                                <w:iCs/>
                                <w:color w:val="323E4F" w:themeColor="text2" w:themeShade="BF"/>
                              </w:rPr>
                              <w:t>“</w:t>
                            </w:r>
                            <w:r w:rsidR="006441BF">
                              <w:rPr>
                                <w:rStyle w:val="PlaceholderText"/>
                                <w:i/>
                                <w:iCs/>
                                <w:color w:val="323E4F" w:themeColor="text2" w:themeShade="BF"/>
                              </w:rPr>
                              <w:t>W</w:t>
                            </w:r>
                            <w:r w:rsidRPr="00A828C5">
                              <w:rPr>
                                <w:rStyle w:val="PlaceholderText"/>
                                <w:i/>
                                <w:iCs/>
                                <w:color w:val="323E4F" w:themeColor="text2" w:themeShade="BF"/>
                              </w:rPr>
                              <w:t>ith full transparency, I would say probably at least 70% of the time</w:t>
                            </w:r>
                            <w:r w:rsidR="009B22BC">
                              <w:rPr>
                                <w:rStyle w:val="PlaceholderText"/>
                                <w:i/>
                                <w:iCs/>
                                <w:color w:val="323E4F" w:themeColor="text2" w:themeShade="BF"/>
                              </w:rPr>
                              <w:t xml:space="preserve">, </w:t>
                            </w:r>
                            <w:r w:rsidR="006441BF">
                              <w:rPr>
                                <w:rStyle w:val="PlaceholderText"/>
                                <w:i/>
                                <w:iCs/>
                                <w:color w:val="323E4F" w:themeColor="text2" w:themeShade="BF"/>
                              </w:rPr>
                              <w:t>students with print disabilities and visual impairments are using a different curriculum due to a lack of accessible mater</w:t>
                            </w:r>
                            <w:r w:rsidR="009B22BC">
                              <w:rPr>
                                <w:rStyle w:val="PlaceholderText"/>
                                <w:i/>
                                <w:iCs/>
                                <w:color w:val="323E4F" w:themeColor="text2" w:themeShade="BF"/>
                              </w:rPr>
                              <w:t>ial</w:t>
                            </w:r>
                            <w:r w:rsidR="006441BF">
                              <w:rPr>
                                <w:rStyle w:val="PlaceholderText"/>
                                <w:i/>
                                <w:iCs/>
                                <w:color w:val="323E4F" w:themeColor="text2" w:themeShade="BF"/>
                              </w:rPr>
                              <w:t>s</w:t>
                            </w:r>
                            <w:r>
                              <w:rPr>
                                <w:rStyle w:val="PlaceholderText"/>
                                <w:i/>
                                <w:iCs/>
                                <w:color w:val="323E4F" w:themeColor="text2" w:themeShade="BF"/>
                              </w:rPr>
                              <w:t>.</w:t>
                            </w:r>
                            <w:r w:rsidRPr="00A828C5">
                              <w:rPr>
                                <w:rStyle w:val="PlaceholderText"/>
                                <w:i/>
                                <w:iCs/>
                                <w:color w:val="323E4F" w:themeColor="text2" w:themeShade="BF"/>
                              </w:rPr>
                              <w:t xml:space="preserve"> </w:t>
                            </w:r>
                            <w:r>
                              <w:rPr>
                                <w:rStyle w:val="PlaceholderText"/>
                                <w:i/>
                                <w:iCs/>
                                <w:color w:val="323E4F" w:themeColor="text2" w:themeShade="BF"/>
                              </w:rPr>
                              <w:t>S</w:t>
                            </w:r>
                            <w:r w:rsidRPr="00A828C5">
                              <w:rPr>
                                <w:rStyle w:val="PlaceholderText"/>
                                <w:i/>
                                <w:iCs/>
                                <w:color w:val="323E4F" w:themeColor="text2" w:themeShade="BF"/>
                              </w:rPr>
                              <w:t>pecifically for my kiddos that were getting math instruction, they needed things that were tangible. So, we would try and stick as close to the curriculum as we could, but they certainly often were not using the textbook that their same age peers were. We were pulling examples and modifying and making examples that were not from the textbook to provide teachable moments for them</w:t>
                            </w:r>
                            <w:r>
                              <w:rPr>
                                <w:rStyle w:val="PlaceholderText"/>
                                <w:i/>
                                <w:iCs/>
                                <w:color w:val="323E4F" w:themeColor="text2" w:themeShade="BF"/>
                              </w:rPr>
                              <w:t>.” (OH)</w:t>
                            </w:r>
                          </w:p>
                          <w:p w14:paraId="421BB24B" w14:textId="2AB994D8" w:rsidR="00CD0D5C" w:rsidRPr="009E68A9" w:rsidRDefault="00A828C5" w:rsidP="00692AD9">
                            <w:pPr>
                              <w:pStyle w:val="ListParagraph"/>
                              <w:numPr>
                                <w:ilvl w:val="0"/>
                                <w:numId w:val="2"/>
                              </w:numPr>
                              <w:spacing w:after="240" w:line="240" w:lineRule="auto"/>
                              <w:ind w:left="360"/>
                              <w:contextualSpacing w:val="0"/>
                              <w:rPr>
                                <w:rStyle w:val="PlaceholderText"/>
                                <w:i/>
                                <w:iCs/>
                                <w:color w:val="323E4F" w:themeColor="text2" w:themeShade="BF"/>
                              </w:rPr>
                            </w:pPr>
                            <w:r>
                              <w:rPr>
                                <w:rStyle w:val="PlaceholderText"/>
                                <w:i/>
                                <w:iCs/>
                                <w:color w:val="323E4F" w:themeColor="text2" w:themeShade="BF"/>
                              </w:rPr>
                              <w:t>“</w:t>
                            </w:r>
                            <w:r w:rsidRPr="00A828C5">
                              <w:rPr>
                                <w:rStyle w:val="PlaceholderText"/>
                                <w:i/>
                                <w:iCs/>
                                <w:color w:val="323E4F" w:themeColor="text2" w:themeShade="BF"/>
                              </w:rPr>
                              <w:t xml:space="preserve">I see </w:t>
                            </w:r>
                            <w:r>
                              <w:rPr>
                                <w:rStyle w:val="PlaceholderText"/>
                                <w:i/>
                                <w:iCs/>
                                <w:color w:val="323E4F" w:themeColor="text2" w:themeShade="BF"/>
                              </w:rPr>
                              <w:t>students being provided a different curriculum</w:t>
                            </w:r>
                            <w:r w:rsidRPr="00A828C5">
                              <w:rPr>
                                <w:rStyle w:val="PlaceholderText"/>
                                <w:i/>
                                <w:iCs/>
                                <w:color w:val="323E4F" w:themeColor="text2" w:themeShade="BF"/>
                              </w:rPr>
                              <w:t xml:space="preserve"> more than I see them getting the curriculum they need.</w:t>
                            </w:r>
                            <w:r>
                              <w:rPr>
                                <w:rStyle w:val="PlaceholderText"/>
                                <w:i/>
                                <w:iCs/>
                                <w:color w:val="323E4F" w:themeColor="text2" w:themeShade="BF"/>
                              </w:rPr>
                              <w:t>” (OR)</w:t>
                            </w:r>
                          </w:p>
                          <w:p w14:paraId="53BE05CB" w14:textId="6995D88A" w:rsidR="00CD0D5C" w:rsidRDefault="00A828C5" w:rsidP="00692AD9">
                            <w:pPr>
                              <w:pStyle w:val="ListParagraph"/>
                              <w:numPr>
                                <w:ilvl w:val="0"/>
                                <w:numId w:val="3"/>
                              </w:numPr>
                              <w:spacing w:after="240"/>
                              <w:ind w:left="360"/>
                              <w:contextualSpacing w:val="0"/>
                              <w:rPr>
                                <w:rStyle w:val="PlaceholderText"/>
                                <w:i/>
                                <w:iCs/>
                                <w:color w:val="323E4F" w:themeColor="text2" w:themeShade="BF"/>
                              </w:rPr>
                            </w:pPr>
                            <w:r>
                              <w:rPr>
                                <w:rStyle w:val="PlaceholderText"/>
                                <w:i/>
                                <w:iCs/>
                                <w:color w:val="323E4F" w:themeColor="text2" w:themeShade="BF"/>
                              </w:rPr>
                              <w:t>“</w:t>
                            </w:r>
                            <w:r w:rsidRPr="00A828C5">
                              <w:rPr>
                                <w:rStyle w:val="PlaceholderText"/>
                                <w:i/>
                                <w:iCs/>
                                <w:color w:val="323E4F" w:themeColor="text2" w:themeShade="BF"/>
                              </w:rPr>
                              <w:t>It happens quite a bit</w:t>
                            </w:r>
                            <w:r w:rsidR="009B22BC">
                              <w:rPr>
                                <w:rStyle w:val="PlaceholderText"/>
                                <w:i/>
                                <w:iCs/>
                                <w:color w:val="323E4F" w:themeColor="text2" w:themeShade="BF"/>
                              </w:rPr>
                              <w:t xml:space="preserve">. </w:t>
                            </w:r>
                            <w:r w:rsidRPr="00A828C5">
                              <w:rPr>
                                <w:rStyle w:val="PlaceholderText"/>
                                <w:i/>
                                <w:iCs/>
                                <w:color w:val="323E4F" w:themeColor="text2" w:themeShade="BF"/>
                              </w:rPr>
                              <w:t>I think that it happens in small ways a lot of the time, and teachers mak</w:t>
                            </w:r>
                            <w:r w:rsidR="009B22BC">
                              <w:rPr>
                                <w:rStyle w:val="PlaceholderText"/>
                                <w:i/>
                                <w:iCs/>
                                <w:color w:val="323E4F" w:themeColor="text2" w:themeShade="BF"/>
                              </w:rPr>
                              <w:t>e</w:t>
                            </w:r>
                            <w:r w:rsidRPr="00A828C5">
                              <w:rPr>
                                <w:rStyle w:val="PlaceholderText"/>
                                <w:i/>
                                <w:iCs/>
                                <w:color w:val="323E4F" w:themeColor="text2" w:themeShade="BF"/>
                              </w:rPr>
                              <w:t xml:space="preserve"> decisions about </w:t>
                            </w:r>
                            <w:r w:rsidR="006441BF">
                              <w:rPr>
                                <w:rStyle w:val="PlaceholderText"/>
                                <w:i/>
                                <w:iCs/>
                                <w:color w:val="323E4F" w:themeColor="text2" w:themeShade="BF"/>
                              </w:rPr>
                              <w:t>students’</w:t>
                            </w:r>
                            <w:r w:rsidRPr="00A828C5">
                              <w:rPr>
                                <w:rStyle w:val="PlaceholderText"/>
                                <w:i/>
                                <w:iCs/>
                                <w:color w:val="323E4F" w:themeColor="text2" w:themeShade="BF"/>
                              </w:rPr>
                              <w:t xml:space="preserve"> abilities. </w:t>
                            </w:r>
                            <w:r w:rsidR="009B22BC">
                              <w:rPr>
                                <w:rStyle w:val="PlaceholderText"/>
                                <w:i/>
                                <w:iCs/>
                                <w:color w:val="323E4F" w:themeColor="text2" w:themeShade="BF"/>
                              </w:rPr>
                              <w:t xml:space="preserve">They may </w:t>
                            </w:r>
                            <w:r w:rsidRPr="00A828C5">
                              <w:rPr>
                                <w:rStyle w:val="PlaceholderText"/>
                                <w:i/>
                                <w:iCs/>
                                <w:color w:val="323E4F" w:themeColor="text2" w:themeShade="BF"/>
                              </w:rPr>
                              <w:t xml:space="preserve">or may not be following the IEP for shortened assignments or </w:t>
                            </w:r>
                            <w:r w:rsidR="009B22BC">
                              <w:rPr>
                                <w:rStyle w:val="PlaceholderText"/>
                                <w:i/>
                                <w:iCs/>
                                <w:color w:val="323E4F" w:themeColor="text2" w:themeShade="BF"/>
                              </w:rPr>
                              <w:t>some</w:t>
                            </w:r>
                            <w:r w:rsidRPr="00A828C5">
                              <w:rPr>
                                <w:rStyle w:val="PlaceholderText"/>
                                <w:i/>
                                <w:iCs/>
                                <w:color w:val="323E4F" w:themeColor="text2" w:themeShade="BF"/>
                              </w:rPr>
                              <w:t xml:space="preserve"> things because of how big braille is or their own thoughts about i</w:t>
                            </w:r>
                            <w:r>
                              <w:rPr>
                                <w:rStyle w:val="PlaceholderText"/>
                                <w:i/>
                                <w:iCs/>
                                <w:color w:val="323E4F" w:themeColor="text2" w:themeShade="BF"/>
                              </w:rPr>
                              <w:t>t</w:t>
                            </w:r>
                            <w:r w:rsidR="009B22BC">
                              <w:rPr>
                                <w:rStyle w:val="PlaceholderText"/>
                                <w:i/>
                                <w:iCs/>
                                <w:color w:val="323E4F" w:themeColor="text2" w:themeShade="BF"/>
                              </w:rPr>
                              <w:t xml:space="preserve">. </w:t>
                            </w:r>
                            <w:r w:rsidRPr="00A828C5">
                              <w:rPr>
                                <w:rStyle w:val="PlaceholderText"/>
                                <w:i/>
                                <w:iCs/>
                                <w:color w:val="323E4F" w:themeColor="text2" w:themeShade="BF"/>
                              </w:rPr>
                              <w:t xml:space="preserve">I see that it's not always the full curriculum, but definitely either paring down or taking away pieces, not giving the students full exposure to what </w:t>
                            </w:r>
                            <w:r>
                              <w:rPr>
                                <w:rStyle w:val="PlaceholderText"/>
                                <w:i/>
                                <w:iCs/>
                                <w:color w:val="323E4F" w:themeColor="text2" w:themeShade="BF"/>
                              </w:rPr>
                              <w:t>sighted</w:t>
                            </w:r>
                            <w:r w:rsidRPr="00A828C5">
                              <w:rPr>
                                <w:rStyle w:val="PlaceholderText"/>
                                <w:i/>
                                <w:iCs/>
                                <w:color w:val="323E4F" w:themeColor="text2" w:themeShade="BF"/>
                              </w:rPr>
                              <w:t xml:space="preserve"> students in their class are accessing.</w:t>
                            </w:r>
                            <w:r>
                              <w:rPr>
                                <w:rStyle w:val="PlaceholderText"/>
                                <w:i/>
                                <w:iCs/>
                                <w:color w:val="323E4F" w:themeColor="text2" w:themeShade="BF"/>
                              </w:rPr>
                              <w:t>”</w:t>
                            </w:r>
                            <w:r w:rsidR="00B00F20">
                              <w:rPr>
                                <w:rStyle w:val="PlaceholderText"/>
                                <w:i/>
                                <w:iCs/>
                                <w:color w:val="323E4F" w:themeColor="text2" w:themeShade="BF"/>
                              </w:rPr>
                              <w:t xml:space="preserve"> </w:t>
                            </w:r>
                            <w:r>
                              <w:rPr>
                                <w:rStyle w:val="PlaceholderText"/>
                                <w:i/>
                                <w:iCs/>
                                <w:color w:val="323E4F" w:themeColor="text2" w:themeShade="BF"/>
                              </w:rPr>
                              <w:t>(OR)</w:t>
                            </w:r>
                          </w:p>
                          <w:p w14:paraId="67E74BAE" w14:textId="0DCE5C8F" w:rsidR="00A828C5" w:rsidRPr="009E68A9" w:rsidRDefault="00A828C5" w:rsidP="00692AD9">
                            <w:pPr>
                              <w:pStyle w:val="ListParagraph"/>
                              <w:numPr>
                                <w:ilvl w:val="0"/>
                                <w:numId w:val="3"/>
                              </w:numPr>
                              <w:spacing w:after="240"/>
                              <w:ind w:left="360"/>
                              <w:contextualSpacing w:val="0"/>
                              <w:rPr>
                                <w:rStyle w:val="PlaceholderText"/>
                                <w:i/>
                                <w:iCs/>
                                <w:color w:val="323E4F" w:themeColor="text2" w:themeShade="BF"/>
                              </w:rPr>
                            </w:pPr>
                            <w:r>
                              <w:rPr>
                                <w:rStyle w:val="PlaceholderText"/>
                                <w:i/>
                                <w:iCs/>
                                <w:color w:val="323E4F" w:themeColor="text2" w:themeShade="BF"/>
                              </w:rPr>
                              <w:t>“</w:t>
                            </w:r>
                            <w:r w:rsidRPr="00A828C5">
                              <w:rPr>
                                <w:rStyle w:val="PlaceholderText"/>
                                <w:i/>
                                <w:iCs/>
                                <w:color w:val="323E4F" w:themeColor="text2" w:themeShade="BF"/>
                              </w:rPr>
                              <w:t xml:space="preserve">It happens a lot in learning resource centers because a lot of the time it's hard to adapt curriculum to every individual student in a special education classroom. And so, they'll be like, </w:t>
                            </w:r>
                            <w:r w:rsidR="00B00F20">
                              <w:rPr>
                                <w:rStyle w:val="PlaceholderText"/>
                                <w:i/>
                                <w:iCs/>
                                <w:color w:val="323E4F" w:themeColor="text2" w:themeShade="BF"/>
                              </w:rPr>
                              <w:t>‘</w:t>
                            </w:r>
                            <w:r>
                              <w:rPr>
                                <w:rStyle w:val="PlaceholderText"/>
                                <w:i/>
                                <w:iCs/>
                                <w:color w:val="323E4F" w:themeColor="text2" w:themeShade="BF"/>
                              </w:rPr>
                              <w:t>W</w:t>
                            </w:r>
                            <w:r w:rsidRPr="00A828C5">
                              <w:rPr>
                                <w:rStyle w:val="PlaceholderText"/>
                                <w:i/>
                                <w:iCs/>
                                <w:color w:val="323E4F" w:themeColor="text2" w:themeShade="BF"/>
                              </w:rPr>
                              <w:t>ell, we're learning this math concept</w:t>
                            </w:r>
                            <w:r>
                              <w:rPr>
                                <w:rStyle w:val="PlaceholderText"/>
                                <w:i/>
                                <w:iCs/>
                                <w:color w:val="323E4F" w:themeColor="text2" w:themeShade="BF"/>
                              </w:rPr>
                              <w:t>,</w:t>
                            </w:r>
                            <w:r w:rsidR="00B00F20">
                              <w:rPr>
                                <w:rStyle w:val="PlaceholderText"/>
                                <w:i/>
                                <w:iCs/>
                                <w:color w:val="323E4F" w:themeColor="text2" w:themeShade="BF"/>
                              </w:rPr>
                              <w:t xml:space="preserve">’ </w:t>
                            </w:r>
                            <w:r w:rsidRPr="00A828C5">
                              <w:rPr>
                                <w:rStyle w:val="PlaceholderText"/>
                                <w:i/>
                                <w:iCs/>
                                <w:color w:val="323E4F" w:themeColor="text2" w:themeShade="BF"/>
                              </w:rPr>
                              <w:t xml:space="preserve">and then the teacher comes to me and </w:t>
                            </w:r>
                            <w:r w:rsidR="00C72DEB">
                              <w:rPr>
                                <w:rStyle w:val="PlaceholderText"/>
                                <w:i/>
                                <w:iCs/>
                                <w:color w:val="323E4F" w:themeColor="text2" w:themeShade="BF"/>
                              </w:rPr>
                              <w:t>is</w:t>
                            </w:r>
                            <w:r w:rsidRPr="00A828C5">
                              <w:rPr>
                                <w:rStyle w:val="PlaceholderText"/>
                                <w:i/>
                                <w:iCs/>
                                <w:color w:val="323E4F" w:themeColor="text2" w:themeShade="BF"/>
                              </w:rPr>
                              <w:t xml:space="preserve"> like, </w:t>
                            </w:r>
                            <w:r w:rsidR="00B00F20">
                              <w:rPr>
                                <w:rStyle w:val="PlaceholderText"/>
                                <w:i/>
                                <w:iCs/>
                                <w:color w:val="323E4F" w:themeColor="text2" w:themeShade="BF"/>
                              </w:rPr>
                              <w:t>‘</w:t>
                            </w:r>
                            <w:r>
                              <w:rPr>
                                <w:rStyle w:val="PlaceholderText"/>
                                <w:i/>
                                <w:iCs/>
                                <w:color w:val="323E4F" w:themeColor="text2" w:themeShade="BF"/>
                              </w:rPr>
                              <w:t>O</w:t>
                            </w:r>
                            <w:r w:rsidRPr="00A828C5">
                              <w:rPr>
                                <w:rStyle w:val="PlaceholderText"/>
                                <w:i/>
                                <w:iCs/>
                                <w:color w:val="323E4F" w:themeColor="text2" w:themeShade="BF"/>
                              </w:rPr>
                              <w:t>kay, so what books do you have that cover this math concept in this grad</w:t>
                            </w:r>
                            <w:r>
                              <w:rPr>
                                <w:rStyle w:val="PlaceholderText"/>
                                <w:i/>
                                <w:iCs/>
                                <w:color w:val="323E4F" w:themeColor="text2" w:themeShade="BF"/>
                              </w:rPr>
                              <w:t>e?</w:t>
                            </w:r>
                            <w:r w:rsidR="00B00F20">
                              <w:rPr>
                                <w:rStyle w:val="PlaceholderText"/>
                                <w:i/>
                                <w:iCs/>
                                <w:color w:val="323E4F" w:themeColor="text2" w:themeShade="BF"/>
                              </w:rPr>
                              <w:t>’</w:t>
                            </w:r>
                            <w:r w:rsidR="00C72DEB">
                              <w:rPr>
                                <w:rStyle w:val="PlaceholderText"/>
                                <w:i/>
                                <w:iCs/>
                                <w:color w:val="323E4F" w:themeColor="text2" w:themeShade="BF"/>
                              </w:rPr>
                              <w:t xml:space="preserve"> T</w:t>
                            </w:r>
                            <w:r w:rsidRPr="00A828C5">
                              <w:rPr>
                                <w:rStyle w:val="PlaceholderText"/>
                                <w:i/>
                                <w:iCs/>
                                <w:color w:val="323E4F" w:themeColor="text2" w:themeShade="BF"/>
                              </w:rPr>
                              <w:t>hen</w:t>
                            </w:r>
                            <w:r w:rsidR="00C72DEB">
                              <w:rPr>
                                <w:rStyle w:val="PlaceholderText"/>
                                <w:i/>
                                <w:iCs/>
                                <w:color w:val="323E4F" w:themeColor="text2" w:themeShade="BF"/>
                              </w:rPr>
                              <w:t>,</w:t>
                            </w:r>
                            <w:r w:rsidRPr="00A828C5">
                              <w:rPr>
                                <w:rStyle w:val="PlaceholderText"/>
                                <w:i/>
                                <w:iCs/>
                                <w:color w:val="323E4F" w:themeColor="text2" w:themeShade="BF"/>
                              </w:rPr>
                              <w:t xml:space="preserve"> we kind of go from there and </w:t>
                            </w:r>
                            <w:r>
                              <w:rPr>
                                <w:rStyle w:val="PlaceholderText"/>
                                <w:i/>
                                <w:iCs/>
                                <w:color w:val="323E4F" w:themeColor="text2" w:themeShade="BF"/>
                              </w:rPr>
                              <w:t>obtain</w:t>
                            </w:r>
                            <w:r w:rsidRPr="00A828C5">
                              <w:rPr>
                                <w:rStyle w:val="PlaceholderText"/>
                                <w:i/>
                                <w:iCs/>
                                <w:color w:val="323E4F" w:themeColor="text2" w:themeShade="BF"/>
                              </w:rPr>
                              <w:t xml:space="preserve"> files and piecemeal something together, but it's not necessarily this real curriculum.</w:t>
                            </w:r>
                            <w:r>
                              <w:rPr>
                                <w:rStyle w:val="PlaceholderText"/>
                                <w:i/>
                                <w:iCs/>
                                <w:color w:val="323E4F" w:themeColor="text2" w:themeShade="BF"/>
                              </w:rPr>
                              <w:t>” (OR)</w:t>
                            </w:r>
                          </w:p>
                        </w:txbxContent>
                      </wps:txbx>
                      <wps:bodyPr rot="0" vert="horz" wrap="square" lIns="182880" tIns="182880" rIns="182880" bIns="182880" anchor="t" anchorCtr="0" upright="1">
                        <a:noAutofit/>
                      </wps:bodyPr>
                    </wps:wsp>
                  </a:graphicData>
                </a:graphic>
              </wp:inline>
            </w:drawing>
          </mc:Choice>
          <mc:Fallback>
            <w:pict>
              <v:rect w14:anchorId="1499D45C" id="_x0000_s1029" alt="Figure 11. Representative Quotations: Frequency of Students Using Different Curriculum Due to a Lack of Accessible Materials" style="width:467.3pt;height:36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" fillcolor="#d5dce4 [671]" stroked="f">
                <v:fill opacity="22873f"/>
                <v:textbox inset="14.4pt,14.4pt,14.4pt,14.4pt">
                  <w:txbxContent>
                    <w:p w14:paraId="12DF0ECC" w14:textId="6FF43B30" w:rsidR="00A828C5" w:rsidRPr="00A828C5" w:rsidRDefault="00A828C5" w:rsidP="00692AD9">
                      <w:pPr>
                        <w:pStyle w:val="ListParagraph"/>
                        <w:numPr>
                          <w:ilvl w:val="0"/>
                          <w:numId w:val="3"/>
                        </w:numPr>
                        <w:spacing w:after="240"/>
                        <w:ind w:left="360"/>
                        <w:contextualSpacing w:val="0"/>
                        <w:rPr>
                          <w:i/>
                          <w:iCs/>
                          <w:color w:val="323E4F" w:themeColor="text2" w:themeShade="BF"/>
                        </w:rPr>
                      </w:pPr>
                      <w:r>
                        <w:rPr>
                          <w:rStyle w:val="PlaceholderText"/>
                          <w:i/>
                          <w:iCs/>
                          <w:color w:val="323E4F" w:themeColor="text2" w:themeShade="BF"/>
                        </w:rPr>
                        <w:t>“</w:t>
                      </w:r>
                      <w:r w:rsidR="006441BF">
                        <w:rPr>
                          <w:rStyle w:val="PlaceholderText"/>
                          <w:i/>
                          <w:iCs/>
                          <w:color w:val="323E4F" w:themeColor="text2" w:themeShade="BF"/>
                        </w:rPr>
                        <w:t>W</w:t>
                      </w:r>
                      <w:r w:rsidRPr="00A828C5">
                        <w:rPr>
                          <w:rStyle w:val="PlaceholderText"/>
                          <w:i/>
                          <w:iCs/>
                          <w:color w:val="323E4F" w:themeColor="text2" w:themeShade="BF"/>
                        </w:rPr>
                        <w:t>ith full transparency, I would say probably at least 70% of the time</w:t>
                      </w:r>
                      <w:r w:rsidR="009B22BC">
                        <w:rPr>
                          <w:rStyle w:val="PlaceholderText"/>
                          <w:i/>
                          <w:iCs/>
                          <w:color w:val="323E4F" w:themeColor="text2" w:themeShade="BF"/>
                        </w:rPr>
                        <w:t xml:space="preserve">, </w:t>
                      </w:r>
                      <w:r w:rsidR="006441BF">
                        <w:rPr>
                          <w:rStyle w:val="PlaceholderText"/>
                          <w:i/>
                          <w:iCs/>
                          <w:color w:val="323E4F" w:themeColor="text2" w:themeShade="BF"/>
                        </w:rPr>
                        <w:t>students with print disabilities and visual impairments are using a different curriculum due to a lack of accessible mater</w:t>
                      </w:r>
                      <w:r w:rsidR="009B22BC">
                        <w:rPr>
                          <w:rStyle w:val="PlaceholderText"/>
                          <w:i/>
                          <w:iCs/>
                          <w:color w:val="323E4F" w:themeColor="text2" w:themeShade="BF"/>
                        </w:rPr>
                        <w:t>ial</w:t>
                      </w:r>
                      <w:r w:rsidR="006441BF">
                        <w:rPr>
                          <w:rStyle w:val="PlaceholderText"/>
                          <w:i/>
                          <w:iCs/>
                          <w:color w:val="323E4F" w:themeColor="text2" w:themeShade="BF"/>
                        </w:rPr>
                        <w:t>s</w:t>
                      </w:r>
                      <w:r>
                        <w:rPr>
                          <w:rStyle w:val="PlaceholderText"/>
                          <w:i/>
                          <w:iCs/>
                          <w:color w:val="323E4F" w:themeColor="text2" w:themeShade="BF"/>
                        </w:rPr>
                        <w:t>.</w:t>
                      </w:r>
                      <w:r w:rsidRPr="00A828C5">
                        <w:rPr>
                          <w:rStyle w:val="PlaceholderText"/>
                          <w:i/>
                          <w:iCs/>
                          <w:color w:val="323E4F" w:themeColor="text2" w:themeShade="BF"/>
                        </w:rPr>
                        <w:t xml:space="preserve"> </w:t>
                      </w:r>
                      <w:r>
                        <w:rPr>
                          <w:rStyle w:val="PlaceholderText"/>
                          <w:i/>
                          <w:iCs/>
                          <w:color w:val="323E4F" w:themeColor="text2" w:themeShade="BF"/>
                        </w:rPr>
                        <w:t>S</w:t>
                      </w:r>
                      <w:r w:rsidRPr="00A828C5">
                        <w:rPr>
                          <w:rStyle w:val="PlaceholderText"/>
                          <w:i/>
                          <w:iCs/>
                          <w:color w:val="323E4F" w:themeColor="text2" w:themeShade="BF"/>
                        </w:rPr>
                        <w:t>pecifically for my kiddos that were getting math instruction, they needed things that were tangible. So, we would try and stick as close to the curriculum as we could, but they certainly often were not using the textbook that their same age peers were. We were pulling examples and modifying and making examples that were not from the textbook to provide teachable moments for them</w:t>
                      </w:r>
                      <w:r>
                        <w:rPr>
                          <w:rStyle w:val="PlaceholderText"/>
                          <w:i/>
                          <w:iCs/>
                          <w:color w:val="323E4F" w:themeColor="text2" w:themeShade="BF"/>
                        </w:rPr>
                        <w:t>.” (OH)</w:t>
                      </w:r>
                    </w:p>
                    <w:p w14:paraId="421BB24B" w14:textId="2AB994D8" w:rsidR="00CD0D5C" w:rsidRPr="009E68A9" w:rsidRDefault="00A828C5" w:rsidP="00692AD9">
                      <w:pPr>
                        <w:pStyle w:val="ListParagraph"/>
                        <w:numPr>
                          <w:ilvl w:val="0"/>
                          <w:numId w:val="2"/>
                        </w:numPr>
                        <w:spacing w:after="240" w:line="240" w:lineRule="auto"/>
                        <w:ind w:left="360"/>
                        <w:contextualSpacing w:val="0"/>
                        <w:rPr>
                          <w:rStyle w:val="PlaceholderText"/>
                          <w:i/>
                          <w:iCs/>
                          <w:color w:val="323E4F" w:themeColor="text2" w:themeShade="BF"/>
                        </w:rPr>
                      </w:pPr>
                      <w:r>
                        <w:rPr>
                          <w:rStyle w:val="PlaceholderText"/>
                          <w:i/>
                          <w:iCs/>
                          <w:color w:val="323E4F" w:themeColor="text2" w:themeShade="BF"/>
                        </w:rPr>
                        <w:t>“</w:t>
                      </w:r>
                      <w:r w:rsidRPr="00A828C5">
                        <w:rPr>
                          <w:rStyle w:val="PlaceholderText"/>
                          <w:i/>
                          <w:iCs/>
                          <w:color w:val="323E4F" w:themeColor="text2" w:themeShade="BF"/>
                        </w:rPr>
                        <w:t xml:space="preserve">I see </w:t>
                      </w:r>
                      <w:r>
                        <w:rPr>
                          <w:rStyle w:val="PlaceholderText"/>
                          <w:i/>
                          <w:iCs/>
                          <w:color w:val="323E4F" w:themeColor="text2" w:themeShade="BF"/>
                        </w:rPr>
                        <w:t>students being provided a different curriculum</w:t>
                      </w:r>
                      <w:r w:rsidRPr="00A828C5">
                        <w:rPr>
                          <w:rStyle w:val="PlaceholderText"/>
                          <w:i/>
                          <w:iCs/>
                          <w:color w:val="323E4F" w:themeColor="text2" w:themeShade="BF"/>
                        </w:rPr>
                        <w:t xml:space="preserve"> more than I see them getting the curriculum they need.</w:t>
                      </w:r>
                      <w:r>
                        <w:rPr>
                          <w:rStyle w:val="PlaceholderText"/>
                          <w:i/>
                          <w:iCs/>
                          <w:color w:val="323E4F" w:themeColor="text2" w:themeShade="BF"/>
                        </w:rPr>
                        <w:t>” (OR)</w:t>
                      </w:r>
                    </w:p>
                    <w:p w14:paraId="53BE05CB" w14:textId="6995D88A" w:rsidR="00CD0D5C" w:rsidRDefault="00A828C5" w:rsidP="00692AD9">
                      <w:pPr>
                        <w:pStyle w:val="ListParagraph"/>
                        <w:numPr>
                          <w:ilvl w:val="0"/>
                          <w:numId w:val="3"/>
                        </w:numPr>
                        <w:spacing w:after="240"/>
                        <w:ind w:left="360"/>
                        <w:contextualSpacing w:val="0"/>
                        <w:rPr>
                          <w:rStyle w:val="PlaceholderText"/>
                          <w:i/>
                          <w:iCs/>
                          <w:color w:val="323E4F" w:themeColor="text2" w:themeShade="BF"/>
                        </w:rPr>
                      </w:pPr>
                      <w:r>
                        <w:rPr>
                          <w:rStyle w:val="PlaceholderText"/>
                          <w:i/>
                          <w:iCs/>
                          <w:color w:val="323E4F" w:themeColor="text2" w:themeShade="BF"/>
                        </w:rPr>
                        <w:t>“</w:t>
                      </w:r>
                      <w:r w:rsidRPr="00A828C5">
                        <w:rPr>
                          <w:rStyle w:val="PlaceholderText"/>
                          <w:i/>
                          <w:iCs/>
                          <w:color w:val="323E4F" w:themeColor="text2" w:themeShade="BF"/>
                        </w:rPr>
                        <w:t>It happens quite a bit</w:t>
                      </w:r>
                      <w:r w:rsidR="009B22BC">
                        <w:rPr>
                          <w:rStyle w:val="PlaceholderText"/>
                          <w:i/>
                          <w:iCs/>
                          <w:color w:val="323E4F" w:themeColor="text2" w:themeShade="BF"/>
                        </w:rPr>
                        <w:t xml:space="preserve">. </w:t>
                      </w:r>
                      <w:r w:rsidRPr="00A828C5">
                        <w:rPr>
                          <w:rStyle w:val="PlaceholderText"/>
                          <w:i/>
                          <w:iCs/>
                          <w:color w:val="323E4F" w:themeColor="text2" w:themeShade="BF"/>
                        </w:rPr>
                        <w:t>I think that it happens in small ways a lot of the time, and teachers mak</w:t>
                      </w:r>
                      <w:r w:rsidR="009B22BC">
                        <w:rPr>
                          <w:rStyle w:val="PlaceholderText"/>
                          <w:i/>
                          <w:iCs/>
                          <w:color w:val="323E4F" w:themeColor="text2" w:themeShade="BF"/>
                        </w:rPr>
                        <w:t>e</w:t>
                      </w:r>
                      <w:r w:rsidRPr="00A828C5">
                        <w:rPr>
                          <w:rStyle w:val="PlaceholderText"/>
                          <w:i/>
                          <w:iCs/>
                          <w:color w:val="323E4F" w:themeColor="text2" w:themeShade="BF"/>
                        </w:rPr>
                        <w:t xml:space="preserve"> decisions about </w:t>
                      </w:r>
                      <w:r w:rsidR="006441BF">
                        <w:rPr>
                          <w:rStyle w:val="PlaceholderText"/>
                          <w:i/>
                          <w:iCs/>
                          <w:color w:val="323E4F" w:themeColor="text2" w:themeShade="BF"/>
                        </w:rPr>
                        <w:t>students’</w:t>
                      </w:r>
                      <w:r w:rsidRPr="00A828C5">
                        <w:rPr>
                          <w:rStyle w:val="PlaceholderText"/>
                          <w:i/>
                          <w:iCs/>
                          <w:color w:val="323E4F" w:themeColor="text2" w:themeShade="BF"/>
                        </w:rPr>
                        <w:t xml:space="preserve"> abilities. </w:t>
                      </w:r>
                      <w:r w:rsidR="009B22BC">
                        <w:rPr>
                          <w:rStyle w:val="PlaceholderText"/>
                          <w:i/>
                          <w:iCs/>
                          <w:color w:val="323E4F" w:themeColor="text2" w:themeShade="BF"/>
                        </w:rPr>
                        <w:t xml:space="preserve">They may </w:t>
                      </w:r>
                      <w:r w:rsidRPr="00A828C5">
                        <w:rPr>
                          <w:rStyle w:val="PlaceholderText"/>
                          <w:i/>
                          <w:iCs/>
                          <w:color w:val="323E4F" w:themeColor="text2" w:themeShade="BF"/>
                        </w:rPr>
                        <w:t xml:space="preserve">or may not be following the IEP for shortened assignments or </w:t>
                      </w:r>
                      <w:r w:rsidR="009B22BC">
                        <w:rPr>
                          <w:rStyle w:val="PlaceholderText"/>
                          <w:i/>
                          <w:iCs/>
                          <w:color w:val="323E4F" w:themeColor="text2" w:themeShade="BF"/>
                        </w:rPr>
                        <w:t>some</w:t>
                      </w:r>
                      <w:r w:rsidRPr="00A828C5">
                        <w:rPr>
                          <w:rStyle w:val="PlaceholderText"/>
                          <w:i/>
                          <w:iCs/>
                          <w:color w:val="323E4F" w:themeColor="text2" w:themeShade="BF"/>
                        </w:rPr>
                        <w:t xml:space="preserve"> things because of how big braille is or their own thoughts about i</w:t>
                      </w:r>
                      <w:r>
                        <w:rPr>
                          <w:rStyle w:val="PlaceholderText"/>
                          <w:i/>
                          <w:iCs/>
                          <w:color w:val="323E4F" w:themeColor="text2" w:themeShade="BF"/>
                        </w:rPr>
                        <w:t>t</w:t>
                      </w:r>
                      <w:r w:rsidR="009B22BC">
                        <w:rPr>
                          <w:rStyle w:val="PlaceholderText"/>
                          <w:i/>
                          <w:iCs/>
                          <w:color w:val="323E4F" w:themeColor="text2" w:themeShade="BF"/>
                        </w:rPr>
                        <w:t xml:space="preserve">. </w:t>
                      </w:r>
                      <w:r w:rsidRPr="00A828C5">
                        <w:rPr>
                          <w:rStyle w:val="PlaceholderText"/>
                          <w:i/>
                          <w:iCs/>
                          <w:color w:val="323E4F" w:themeColor="text2" w:themeShade="BF"/>
                        </w:rPr>
                        <w:t xml:space="preserve">I see that it's not always the full curriculum, but definitely either paring down or taking away pieces, not giving the students full exposure to what </w:t>
                      </w:r>
                      <w:r>
                        <w:rPr>
                          <w:rStyle w:val="PlaceholderText"/>
                          <w:i/>
                          <w:iCs/>
                          <w:color w:val="323E4F" w:themeColor="text2" w:themeShade="BF"/>
                        </w:rPr>
                        <w:t>sighted</w:t>
                      </w:r>
                      <w:r w:rsidRPr="00A828C5">
                        <w:rPr>
                          <w:rStyle w:val="PlaceholderText"/>
                          <w:i/>
                          <w:iCs/>
                          <w:color w:val="323E4F" w:themeColor="text2" w:themeShade="BF"/>
                        </w:rPr>
                        <w:t xml:space="preserve"> students in their class are accessing.</w:t>
                      </w:r>
                      <w:r>
                        <w:rPr>
                          <w:rStyle w:val="PlaceholderText"/>
                          <w:i/>
                          <w:iCs/>
                          <w:color w:val="323E4F" w:themeColor="text2" w:themeShade="BF"/>
                        </w:rPr>
                        <w:t>”</w:t>
                      </w:r>
                      <w:r w:rsidR="00B00F20">
                        <w:rPr>
                          <w:rStyle w:val="PlaceholderText"/>
                          <w:i/>
                          <w:iCs/>
                          <w:color w:val="323E4F" w:themeColor="text2" w:themeShade="BF"/>
                        </w:rPr>
                        <w:t xml:space="preserve"> </w:t>
                      </w:r>
                      <w:r>
                        <w:rPr>
                          <w:rStyle w:val="PlaceholderText"/>
                          <w:i/>
                          <w:iCs/>
                          <w:color w:val="323E4F" w:themeColor="text2" w:themeShade="BF"/>
                        </w:rPr>
                        <w:t>(OR)</w:t>
                      </w:r>
                    </w:p>
                    <w:p w14:paraId="67E74BAE" w14:textId="0DCE5C8F" w:rsidR="00A828C5" w:rsidRPr="009E68A9" w:rsidRDefault="00A828C5" w:rsidP="00692AD9">
                      <w:pPr>
                        <w:pStyle w:val="ListParagraph"/>
                        <w:numPr>
                          <w:ilvl w:val="0"/>
                          <w:numId w:val="3"/>
                        </w:numPr>
                        <w:spacing w:after="240"/>
                        <w:ind w:left="360"/>
                        <w:contextualSpacing w:val="0"/>
                        <w:rPr>
                          <w:rStyle w:val="PlaceholderText"/>
                          <w:i/>
                          <w:iCs/>
                          <w:color w:val="323E4F" w:themeColor="text2" w:themeShade="BF"/>
                        </w:rPr>
                      </w:pPr>
                      <w:r>
                        <w:rPr>
                          <w:rStyle w:val="PlaceholderText"/>
                          <w:i/>
                          <w:iCs/>
                          <w:color w:val="323E4F" w:themeColor="text2" w:themeShade="BF"/>
                        </w:rPr>
                        <w:t>“</w:t>
                      </w:r>
                      <w:r w:rsidRPr="00A828C5">
                        <w:rPr>
                          <w:rStyle w:val="PlaceholderText"/>
                          <w:i/>
                          <w:iCs/>
                          <w:color w:val="323E4F" w:themeColor="text2" w:themeShade="BF"/>
                        </w:rPr>
                        <w:t xml:space="preserve">It happens a lot in learning resource centers because a lot of the time it's hard to adapt curriculum to every individual student in a special education classroom. And so, they'll be like, </w:t>
                      </w:r>
                      <w:r w:rsidR="00B00F20">
                        <w:rPr>
                          <w:rStyle w:val="PlaceholderText"/>
                          <w:i/>
                          <w:iCs/>
                          <w:color w:val="323E4F" w:themeColor="text2" w:themeShade="BF"/>
                        </w:rPr>
                        <w:t>‘</w:t>
                      </w:r>
                      <w:r>
                        <w:rPr>
                          <w:rStyle w:val="PlaceholderText"/>
                          <w:i/>
                          <w:iCs/>
                          <w:color w:val="323E4F" w:themeColor="text2" w:themeShade="BF"/>
                        </w:rPr>
                        <w:t>W</w:t>
                      </w:r>
                      <w:r w:rsidRPr="00A828C5">
                        <w:rPr>
                          <w:rStyle w:val="PlaceholderText"/>
                          <w:i/>
                          <w:iCs/>
                          <w:color w:val="323E4F" w:themeColor="text2" w:themeShade="BF"/>
                        </w:rPr>
                        <w:t>ell, we're learning this math concept</w:t>
                      </w:r>
                      <w:r>
                        <w:rPr>
                          <w:rStyle w:val="PlaceholderText"/>
                          <w:i/>
                          <w:iCs/>
                          <w:color w:val="323E4F" w:themeColor="text2" w:themeShade="BF"/>
                        </w:rPr>
                        <w:t>,</w:t>
                      </w:r>
                      <w:r w:rsidR="00B00F20">
                        <w:rPr>
                          <w:rStyle w:val="PlaceholderText"/>
                          <w:i/>
                          <w:iCs/>
                          <w:color w:val="323E4F" w:themeColor="text2" w:themeShade="BF"/>
                        </w:rPr>
                        <w:t xml:space="preserve">’ </w:t>
                      </w:r>
                      <w:r w:rsidRPr="00A828C5">
                        <w:rPr>
                          <w:rStyle w:val="PlaceholderText"/>
                          <w:i/>
                          <w:iCs/>
                          <w:color w:val="323E4F" w:themeColor="text2" w:themeShade="BF"/>
                        </w:rPr>
                        <w:t xml:space="preserve">and then the teacher comes to me and </w:t>
                      </w:r>
                      <w:r w:rsidR="00C72DEB">
                        <w:rPr>
                          <w:rStyle w:val="PlaceholderText"/>
                          <w:i/>
                          <w:iCs/>
                          <w:color w:val="323E4F" w:themeColor="text2" w:themeShade="BF"/>
                        </w:rPr>
                        <w:t>is</w:t>
                      </w:r>
                      <w:r w:rsidRPr="00A828C5">
                        <w:rPr>
                          <w:rStyle w:val="PlaceholderText"/>
                          <w:i/>
                          <w:iCs/>
                          <w:color w:val="323E4F" w:themeColor="text2" w:themeShade="BF"/>
                        </w:rPr>
                        <w:t xml:space="preserve"> like, </w:t>
                      </w:r>
                      <w:r w:rsidR="00B00F20">
                        <w:rPr>
                          <w:rStyle w:val="PlaceholderText"/>
                          <w:i/>
                          <w:iCs/>
                          <w:color w:val="323E4F" w:themeColor="text2" w:themeShade="BF"/>
                        </w:rPr>
                        <w:t>‘</w:t>
                      </w:r>
                      <w:r>
                        <w:rPr>
                          <w:rStyle w:val="PlaceholderText"/>
                          <w:i/>
                          <w:iCs/>
                          <w:color w:val="323E4F" w:themeColor="text2" w:themeShade="BF"/>
                        </w:rPr>
                        <w:t>O</w:t>
                      </w:r>
                      <w:r w:rsidRPr="00A828C5">
                        <w:rPr>
                          <w:rStyle w:val="PlaceholderText"/>
                          <w:i/>
                          <w:iCs/>
                          <w:color w:val="323E4F" w:themeColor="text2" w:themeShade="BF"/>
                        </w:rPr>
                        <w:t>kay, so what books do you have that cover this math concept in this grad</w:t>
                      </w:r>
                      <w:r>
                        <w:rPr>
                          <w:rStyle w:val="PlaceholderText"/>
                          <w:i/>
                          <w:iCs/>
                          <w:color w:val="323E4F" w:themeColor="text2" w:themeShade="BF"/>
                        </w:rPr>
                        <w:t>e?</w:t>
                      </w:r>
                      <w:r w:rsidR="00B00F20">
                        <w:rPr>
                          <w:rStyle w:val="PlaceholderText"/>
                          <w:i/>
                          <w:iCs/>
                          <w:color w:val="323E4F" w:themeColor="text2" w:themeShade="BF"/>
                        </w:rPr>
                        <w:t>’</w:t>
                      </w:r>
                      <w:r w:rsidR="00C72DEB">
                        <w:rPr>
                          <w:rStyle w:val="PlaceholderText"/>
                          <w:i/>
                          <w:iCs/>
                          <w:color w:val="323E4F" w:themeColor="text2" w:themeShade="BF"/>
                        </w:rPr>
                        <w:t xml:space="preserve"> T</w:t>
                      </w:r>
                      <w:r w:rsidRPr="00A828C5">
                        <w:rPr>
                          <w:rStyle w:val="PlaceholderText"/>
                          <w:i/>
                          <w:iCs/>
                          <w:color w:val="323E4F" w:themeColor="text2" w:themeShade="BF"/>
                        </w:rPr>
                        <w:t>hen</w:t>
                      </w:r>
                      <w:r w:rsidR="00C72DEB">
                        <w:rPr>
                          <w:rStyle w:val="PlaceholderText"/>
                          <w:i/>
                          <w:iCs/>
                          <w:color w:val="323E4F" w:themeColor="text2" w:themeShade="BF"/>
                        </w:rPr>
                        <w:t>,</w:t>
                      </w:r>
                      <w:r w:rsidRPr="00A828C5">
                        <w:rPr>
                          <w:rStyle w:val="PlaceholderText"/>
                          <w:i/>
                          <w:iCs/>
                          <w:color w:val="323E4F" w:themeColor="text2" w:themeShade="BF"/>
                        </w:rPr>
                        <w:t xml:space="preserve"> we kind of go from there and </w:t>
                      </w:r>
                      <w:r>
                        <w:rPr>
                          <w:rStyle w:val="PlaceholderText"/>
                          <w:i/>
                          <w:iCs/>
                          <w:color w:val="323E4F" w:themeColor="text2" w:themeShade="BF"/>
                        </w:rPr>
                        <w:t>obtain</w:t>
                      </w:r>
                      <w:r w:rsidRPr="00A828C5">
                        <w:rPr>
                          <w:rStyle w:val="PlaceholderText"/>
                          <w:i/>
                          <w:iCs/>
                          <w:color w:val="323E4F" w:themeColor="text2" w:themeShade="BF"/>
                        </w:rPr>
                        <w:t xml:space="preserve"> files and piecemeal something together, but it's not necessarily this real curriculum.</w:t>
                      </w:r>
                      <w:r>
                        <w:rPr>
                          <w:rStyle w:val="PlaceholderText"/>
                          <w:i/>
                          <w:iCs/>
                          <w:color w:val="323E4F" w:themeColor="text2" w:themeShade="BF"/>
                        </w:rPr>
                        <w:t>” (OR)</w:t>
                      </w:r>
                    </w:p>
                  </w:txbxContent>
                </v:textbox>
                <w10:anchorlock/>
              </v:rect>
            </w:pict>
          </mc:Fallback>
        </mc:AlternateContent>
      </w:r>
    </w:p>
    <w:p w14:paraId="7C457C0F" w14:textId="77777777" w:rsidR="00DC4F93" w:rsidRDefault="00DC4F93" w:rsidP="0056503D">
      <w:pPr>
        <w:spacing w:after="0" w:line="276" w:lineRule="auto"/>
        <w:rPr>
          <w:rFonts w:ascii="Calibri" w:hAnsi="Calibri" w:cs="Calibri"/>
          <w:sz w:val="24"/>
          <w:szCs w:val="24"/>
        </w:rPr>
      </w:pPr>
    </w:p>
    <w:p w14:paraId="422DE048" w14:textId="77777777" w:rsidR="0066500A" w:rsidRDefault="0066500A" w:rsidP="0056503D">
      <w:pPr>
        <w:spacing w:after="0" w:line="276" w:lineRule="auto"/>
        <w:rPr>
          <w:rFonts w:ascii="Calibri" w:hAnsi="Calibri" w:cs="Calibri"/>
          <w:sz w:val="24"/>
          <w:szCs w:val="24"/>
        </w:rPr>
      </w:pPr>
    </w:p>
    <w:p w14:paraId="77BC8005" w14:textId="75CCBDEA" w:rsidR="008C4A19" w:rsidRDefault="00B55C67" w:rsidP="008C4A19">
      <w:pPr>
        <w:spacing w:after="0" w:line="276" w:lineRule="auto"/>
        <w:rPr>
          <w:rFonts w:ascii="Calibri" w:hAnsi="Calibri" w:cs="Calibri"/>
          <w:sz w:val="24"/>
          <w:szCs w:val="24"/>
        </w:rPr>
      </w:pPr>
      <w:r>
        <w:rPr>
          <w:rFonts w:ascii="ZWAdobeF" w:hAnsi="ZWAdobeF" w:cs="ZWAdobeF"/>
          <w:sz w:val="2"/>
          <w:szCs w:val="2"/>
        </w:rPr>
        <w:t>126B</w:t>
      </w:r>
      <w:r w:rsidR="00724ABB">
        <w:rPr>
          <w:rFonts w:ascii="Calibri" w:hAnsi="Calibri" w:cs="Calibri"/>
          <w:sz w:val="24"/>
          <w:szCs w:val="24"/>
        </w:rPr>
        <w:t xml:space="preserve">In addition to exploring how often students with print disabilities and visual impairments use accessible formats that are less than ideal or are provided with a different curriculum than their peers, we asked interview participants to describe </w:t>
      </w:r>
      <w:r w:rsidR="00D5447E">
        <w:rPr>
          <w:rFonts w:ascii="Calibri" w:hAnsi="Calibri" w:cs="Calibri"/>
          <w:sz w:val="24"/>
          <w:szCs w:val="24"/>
        </w:rPr>
        <w:t>the impacts on</w:t>
      </w:r>
      <w:r w:rsidR="00724ABB">
        <w:rPr>
          <w:rFonts w:ascii="Calibri" w:hAnsi="Calibri" w:cs="Calibri"/>
          <w:sz w:val="24"/>
          <w:szCs w:val="24"/>
        </w:rPr>
        <w:t xml:space="preserve"> students and teachers in these situations. </w:t>
      </w:r>
      <w:r w:rsidR="00CB70E3">
        <w:rPr>
          <w:rFonts w:ascii="Calibri" w:hAnsi="Calibri" w:cs="Calibri"/>
          <w:sz w:val="24"/>
          <w:szCs w:val="24"/>
        </w:rPr>
        <w:t>As shown</w:t>
      </w:r>
      <w:r w:rsidR="008C4A19">
        <w:rPr>
          <w:rFonts w:ascii="Calibri" w:hAnsi="Calibri" w:cs="Calibri"/>
          <w:sz w:val="24"/>
          <w:szCs w:val="24"/>
        </w:rPr>
        <w:t xml:space="preserve"> in Table </w:t>
      </w:r>
      <w:r w:rsidR="00CC2CB0">
        <w:rPr>
          <w:rFonts w:ascii="Calibri" w:hAnsi="Calibri" w:cs="Calibri"/>
          <w:sz w:val="24"/>
          <w:szCs w:val="24"/>
        </w:rPr>
        <w:t>7</w:t>
      </w:r>
      <w:r w:rsidR="00CB70E3">
        <w:rPr>
          <w:rFonts w:ascii="Calibri" w:hAnsi="Calibri" w:cs="Calibri"/>
          <w:sz w:val="24"/>
          <w:szCs w:val="24"/>
        </w:rPr>
        <w:t>, t</w:t>
      </w:r>
      <w:r w:rsidR="00D5447E">
        <w:rPr>
          <w:rFonts w:ascii="Calibri" w:hAnsi="Calibri" w:cs="Calibri"/>
          <w:sz w:val="24"/>
          <w:szCs w:val="24"/>
        </w:rPr>
        <w:t xml:space="preserve">he impact described most often was decreased academic achievement (21 excerpts), followed by increased teacher stress and responsibility (5 excerpts), and mental health consequences </w:t>
      </w:r>
      <w:r w:rsidR="00175DC5">
        <w:rPr>
          <w:rFonts w:ascii="Calibri" w:hAnsi="Calibri" w:cs="Calibri"/>
          <w:sz w:val="24"/>
          <w:szCs w:val="24"/>
        </w:rPr>
        <w:t xml:space="preserve">for students </w:t>
      </w:r>
      <w:r w:rsidR="00D5447E">
        <w:rPr>
          <w:rFonts w:ascii="Calibri" w:hAnsi="Calibri" w:cs="Calibri"/>
          <w:sz w:val="24"/>
          <w:szCs w:val="24"/>
        </w:rPr>
        <w:t xml:space="preserve">(4 excerpts). </w:t>
      </w:r>
    </w:p>
    <w:p w14:paraId="38A0E2D7" w14:textId="77777777" w:rsidR="00D5447E" w:rsidRDefault="00D5447E" w:rsidP="008C4A19">
      <w:pPr>
        <w:spacing w:after="0" w:line="276" w:lineRule="auto"/>
        <w:rPr>
          <w:rFonts w:ascii="Calibri" w:hAnsi="Calibri" w:cs="Calibri"/>
          <w:sz w:val="24"/>
          <w:szCs w:val="24"/>
        </w:rPr>
      </w:pPr>
    </w:p>
    <w:p w14:paraId="00BC29FC" w14:textId="77777777" w:rsidR="00D5447E" w:rsidRDefault="00D5447E" w:rsidP="008C4A19">
      <w:pPr>
        <w:spacing w:after="0" w:line="276" w:lineRule="auto"/>
        <w:rPr>
          <w:rFonts w:ascii="Calibri" w:hAnsi="Calibri" w:cs="Calibri"/>
          <w:sz w:val="24"/>
          <w:szCs w:val="24"/>
        </w:rPr>
      </w:pPr>
    </w:p>
    <w:p w14:paraId="0DA9B3E4" w14:textId="77777777" w:rsidR="00D5447E" w:rsidRDefault="00D5447E" w:rsidP="008C4A19">
      <w:pPr>
        <w:spacing w:after="0" w:line="276" w:lineRule="auto"/>
        <w:rPr>
          <w:rFonts w:ascii="Calibri" w:hAnsi="Calibri" w:cs="Calibri"/>
          <w:sz w:val="24"/>
          <w:szCs w:val="24"/>
        </w:rPr>
      </w:pPr>
    </w:p>
    <w:p w14:paraId="03F5AACB" w14:textId="77777777" w:rsidR="00D5447E" w:rsidRDefault="00D5447E" w:rsidP="008C4A19">
      <w:pPr>
        <w:spacing w:after="0" w:line="276" w:lineRule="auto"/>
        <w:rPr>
          <w:rFonts w:ascii="Calibri" w:hAnsi="Calibri" w:cs="Calibri"/>
          <w:sz w:val="24"/>
          <w:szCs w:val="24"/>
        </w:rPr>
      </w:pPr>
    </w:p>
    <w:p w14:paraId="4779F35E" w14:textId="77777777" w:rsidR="008C4A19" w:rsidRDefault="008C4A19" w:rsidP="008C4A19">
      <w:pPr>
        <w:spacing w:after="0" w:line="276" w:lineRule="auto"/>
        <w:rPr>
          <w:rFonts w:ascii="Times New Roman" w:hAnsi="Times New Roman" w:cs="Times New Roman"/>
          <w:sz w:val="24"/>
          <w:szCs w:val="24"/>
        </w:rPr>
      </w:pPr>
    </w:p>
    <w:p w14:paraId="2C7A36FD" w14:textId="465A7B5D" w:rsidR="008C4A19" w:rsidRPr="005919AC" w:rsidRDefault="008C4A19" w:rsidP="004946C3">
      <w:pPr>
        <w:pStyle w:val="Heading4"/>
      </w:pPr>
      <w:bookmarkStart w:id="31" w:name="_Toc222904001"/>
      <w:r w:rsidRPr="005919AC">
        <w:lastRenderedPageBreak/>
        <w:t xml:space="preserve">Table </w:t>
      </w:r>
      <w:r w:rsidR="00CC2CB0">
        <w:t>7</w:t>
      </w:r>
      <w:r w:rsidRPr="005919AC">
        <w:t xml:space="preserve">. </w:t>
      </w:r>
      <w:r>
        <w:t>Qualitative Descriptions of the Impacts of</w:t>
      </w:r>
      <w:r w:rsidR="00175DC5">
        <w:t xml:space="preserve"> Using</w:t>
      </w:r>
      <w:r>
        <w:t xml:space="preserve"> Less</w:t>
      </w:r>
      <w:r w:rsidR="00175DC5">
        <w:t xml:space="preserve"> t</w:t>
      </w:r>
      <w:r>
        <w:t>han Ideal Formats and Curricula</w:t>
      </w:r>
      <w:r w:rsidR="00175DC5">
        <w:t xml:space="preserve"> That </w:t>
      </w:r>
      <w:r w:rsidR="00006D03">
        <w:t>are</w:t>
      </w:r>
      <w:r w:rsidR="00175DC5">
        <w:t xml:space="preserve"> Different from Peers</w:t>
      </w:r>
      <w:bookmarkEnd w:id="31"/>
    </w:p>
    <w:p w14:paraId="679C5994" w14:textId="1363AFCD" w:rsidR="008C4A19" w:rsidRPr="009F1957" w:rsidRDefault="00B55C67" w:rsidP="008C4A19">
      <w:pPr>
        <w:jc w:val="center"/>
        <w:rPr>
          <w:rFonts w:ascii="Calibri" w:hAnsi="Calibri" w:cs="Calibri"/>
        </w:rPr>
      </w:pPr>
      <w:r>
        <w:rPr>
          <w:rFonts w:ascii="ZWAdobeF" w:hAnsi="ZWAdobeF" w:cs="ZWAdobeF"/>
          <w:sz w:val="2"/>
          <w:szCs w:val="2"/>
        </w:rPr>
        <w:t>127</w:t>
      </w:r>
      <w:proofErr w:type="gramStart"/>
      <w:r>
        <w:rPr>
          <w:rFonts w:ascii="ZWAdobeF" w:hAnsi="ZWAdobeF" w:cs="ZWAdobeF"/>
          <w:sz w:val="2"/>
          <w:szCs w:val="2"/>
        </w:rPr>
        <w:t>B</w:t>
      </w:r>
      <w:r w:rsidR="008C4A19" w:rsidRPr="009F1957">
        <w:rPr>
          <w:rFonts w:ascii="Calibri" w:hAnsi="Calibri" w:cs="Calibri"/>
        </w:rPr>
        <w:t>(</w:t>
      </w:r>
      <w:proofErr w:type="gramEnd"/>
      <w:r w:rsidR="00175DC5">
        <w:rPr>
          <w:rFonts w:ascii="Calibri" w:hAnsi="Calibri" w:cs="Calibri"/>
        </w:rPr>
        <w:t>30</w:t>
      </w:r>
      <w:r w:rsidR="008C4A19" w:rsidRPr="009F1957">
        <w:rPr>
          <w:rFonts w:ascii="Calibri" w:hAnsi="Calibri" w:cs="Calibri"/>
        </w:rPr>
        <w:t xml:space="preserve"> excerpts)</w:t>
      </w:r>
    </w:p>
    <w:tbl>
      <w:tblPr>
        <w:tblStyle w:val="GridTable4"/>
        <w:tblW w:w="9355" w:type="dxa"/>
        <w:tblLook w:val="04A0" w:firstRow="1" w:lastRow="0" w:firstColumn="1" w:lastColumn="0" w:noHBand="0" w:noVBand="1"/>
        <w:tblCaption w:val="Table 6. Qualitative Descriptions of the Impacts of Using Less than Ideal Formats and Curricula That are Different from Peers"/>
      </w:tblPr>
      <w:tblGrid>
        <w:gridCol w:w="2335"/>
        <w:gridCol w:w="7020"/>
      </w:tblGrid>
      <w:tr w:rsidR="008C4A19" w:rsidRPr="00CD254C" w14:paraId="325AFE40" w14:textId="77777777" w:rsidTr="0046722F">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335" w:type="dxa"/>
            <w:shd w:val="clear" w:color="auto" w:fill="44546A" w:themeFill="text2"/>
            <w:vAlign w:val="center"/>
          </w:tcPr>
          <w:p w14:paraId="74258284" w14:textId="76392181" w:rsidR="008C4A19" w:rsidRPr="00A43A85" w:rsidRDefault="008C4A19" w:rsidP="00193DCE">
            <w:pPr>
              <w:jc w:val="center"/>
              <w:rPr>
                <w:rFonts w:cstheme="minorHAnsi"/>
              </w:rPr>
            </w:pPr>
            <w:bookmarkStart w:id="32" w:name="_Hlk215998195"/>
            <w:r>
              <w:rPr>
                <w:rFonts w:cstheme="minorHAnsi"/>
              </w:rPr>
              <w:t xml:space="preserve">Impacts of </w:t>
            </w:r>
            <w:r w:rsidR="00175DC5">
              <w:rPr>
                <w:rFonts w:cstheme="minorHAnsi"/>
              </w:rPr>
              <w:t xml:space="preserve">Using </w:t>
            </w:r>
            <w:r w:rsidR="00B00F20">
              <w:rPr>
                <w:rFonts w:cstheme="minorHAnsi"/>
              </w:rPr>
              <w:t>Less</w:t>
            </w:r>
            <w:r w:rsidR="00175DC5">
              <w:rPr>
                <w:rFonts w:cstheme="minorHAnsi"/>
              </w:rPr>
              <w:t xml:space="preserve"> </w:t>
            </w:r>
            <w:r w:rsidR="00B00F20">
              <w:rPr>
                <w:rFonts w:cstheme="minorHAnsi"/>
              </w:rPr>
              <w:t>than</w:t>
            </w:r>
            <w:r w:rsidR="00175DC5">
              <w:rPr>
                <w:rFonts w:cstheme="minorHAnsi"/>
              </w:rPr>
              <w:t xml:space="preserve"> </w:t>
            </w:r>
            <w:r w:rsidR="00B00F20">
              <w:rPr>
                <w:rFonts w:cstheme="minorHAnsi"/>
              </w:rPr>
              <w:t>Ideal</w:t>
            </w:r>
            <w:r>
              <w:rPr>
                <w:rFonts w:cstheme="minorHAnsi"/>
              </w:rPr>
              <w:t xml:space="preserve"> Formats and Curricula</w:t>
            </w:r>
          </w:p>
        </w:tc>
        <w:tc>
          <w:tcPr>
            <w:tcW w:w="7020" w:type="dxa"/>
            <w:shd w:val="clear" w:color="auto" w:fill="44546A" w:themeFill="text2"/>
            <w:vAlign w:val="center"/>
          </w:tcPr>
          <w:p w14:paraId="5E0CF68A" w14:textId="77777777" w:rsidR="008C4A19" w:rsidRPr="00A43A85" w:rsidRDefault="008C4A19" w:rsidP="00193DCE">
            <w:pPr>
              <w:jc w:val="center"/>
              <w:cnfStyle w:val="100000000000" w:firstRow="1" w:lastRow="0" w:firstColumn="0" w:lastColumn="0" w:oddVBand="0" w:evenVBand="0" w:oddHBand="0" w:evenHBand="0" w:firstRowFirstColumn="0" w:firstRowLastColumn="0" w:lastRowFirstColumn="0" w:lastRowLastColumn="0"/>
              <w:rPr>
                <w:rFonts w:cstheme="minorHAnsi"/>
              </w:rPr>
            </w:pPr>
            <w:r>
              <w:rPr>
                <w:rFonts w:cstheme="minorHAnsi"/>
              </w:rPr>
              <w:t>Representative Quotations</w:t>
            </w:r>
          </w:p>
        </w:tc>
      </w:tr>
      <w:tr w:rsidR="008C4A19" w:rsidRPr="00CD254C" w14:paraId="3A6EC329"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67D8A93A" w14:textId="76B0F7E0" w:rsidR="008C4A19" w:rsidRDefault="00D5447E" w:rsidP="00193DCE">
            <w:pPr>
              <w:rPr>
                <w:rFonts w:cstheme="minorHAnsi"/>
              </w:rPr>
            </w:pPr>
            <w:r>
              <w:rPr>
                <w:rFonts w:cstheme="minorHAnsi"/>
              </w:rPr>
              <w:t>Decreased</w:t>
            </w:r>
            <w:r w:rsidR="008C4A19">
              <w:rPr>
                <w:rFonts w:cstheme="minorHAnsi"/>
              </w:rPr>
              <w:t xml:space="preserve"> </w:t>
            </w:r>
            <w:r w:rsidR="00B00F20">
              <w:rPr>
                <w:rFonts w:cstheme="minorHAnsi"/>
              </w:rPr>
              <w:t xml:space="preserve">academic </w:t>
            </w:r>
            <w:r>
              <w:rPr>
                <w:rFonts w:cstheme="minorHAnsi"/>
              </w:rPr>
              <w:t>a</w:t>
            </w:r>
            <w:r w:rsidR="008C4A19">
              <w:rPr>
                <w:rFonts w:cstheme="minorHAnsi"/>
              </w:rPr>
              <w:t>chievement (2</w:t>
            </w:r>
            <w:r w:rsidR="0033709A">
              <w:rPr>
                <w:rFonts w:cstheme="minorHAnsi"/>
              </w:rPr>
              <w:t>1</w:t>
            </w:r>
            <w:r w:rsidR="008C4A19">
              <w:rPr>
                <w:rFonts w:cstheme="minorHAnsi"/>
              </w:rPr>
              <w:t>)</w:t>
            </w:r>
          </w:p>
        </w:tc>
        <w:tc>
          <w:tcPr>
            <w:tcW w:w="7020" w:type="dxa"/>
            <w:shd w:val="clear" w:color="auto" w:fill="D9E2F3"/>
          </w:tcPr>
          <w:p w14:paraId="7DE0F6F3" w14:textId="3FA4AA2B" w:rsidR="008C4A19" w:rsidRPr="004529EC" w:rsidRDefault="00D5447E" w:rsidP="00193DCE">
            <w:pPr>
              <w:cnfStyle w:val="000000100000" w:firstRow="0" w:lastRow="0" w:firstColumn="0" w:lastColumn="0" w:oddVBand="0" w:evenVBand="0" w:oddHBand="1" w:evenHBand="0" w:firstRowFirstColumn="0" w:firstRowLastColumn="0" w:lastRowFirstColumn="0" w:lastRowLastColumn="0"/>
            </w:pPr>
            <w:r w:rsidRPr="00D5447E">
              <w:t xml:space="preserve">I don't know </w:t>
            </w:r>
            <w:proofErr w:type="gramStart"/>
            <w:r w:rsidRPr="00D5447E">
              <w:t>that</w:t>
            </w:r>
            <w:proofErr w:type="gramEnd"/>
            <w:r w:rsidRPr="00D5447E">
              <w:t xml:space="preserve"> watered down is the right idea, but</w:t>
            </w:r>
            <w:r>
              <w:t xml:space="preserve"> with less</w:t>
            </w:r>
            <w:r w:rsidR="00B00F20">
              <w:t>-</w:t>
            </w:r>
            <w:r>
              <w:t>than</w:t>
            </w:r>
            <w:r w:rsidR="00B00F20">
              <w:t>-</w:t>
            </w:r>
            <w:r>
              <w:t xml:space="preserve">ideal </w:t>
            </w:r>
            <w:r w:rsidR="00B00F20">
              <w:t>formats</w:t>
            </w:r>
            <w:r w:rsidR="00EB287E">
              <w:t>,</w:t>
            </w:r>
            <w:r w:rsidRPr="00D5447E">
              <w:t xml:space="preserve"> the language has changed such that it might impact literacy scores because </w:t>
            </w:r>
            <w:r w:rsidR="00EB287E">
              <w:t>students</w:t>
            </w:r>
            <w:r w:rsidRPr="00D5447E">
              <w:t xml:space="preserve"> don't have access to the same vocabulary. And if you are a new teacher thrown into the world of a student who's blind or visually impaired,</w:t>
            </w:r>
            <w:r w:rsidR="00EB287E">
              <w:t xml:space="preserve"> and </w:t>
            </w:r>
            <w:r w:rsidRPr="00D5447E">
              <w:t xml:space="preserve">you're learning braille, it's easier to braille a short word than a long word, </w:t>
            </w:r>
            <w:r w:rsidR="00EB287E">
              <w:t>even if</w:t>
            </w:r>
            <w:r w:rsidRPr="00D5447E">
              <w:t xml:space="preserve"> your student needs the long word.</w:t>
            </w:r>
            <w:r>
              <w:t xml:space="preserve"> (OH)</w:t>
            </w:r>
          </w:p>
        </w:tc>
      </w:tr>
      <w:tr w:rsidR="0033709A" w:rsidRPr="00CD254C" w14:paraId="60AD05A6" w14:textId="77777777" w:rsidTr="0046722F">
        <w:tc>
          <w:tcPr>
            <w:cnfStyle w:val="001000000000" w:firstRow="0" w:lastRow="0" w:firstColumn="1" w:lastColumn="0" w:oddVBand="0" w:evenVBand="0" w:oddHBand="0" w:evenHBand="0" w:firstRowFirstColumn="0" w:firstRowLastColumn="0" w:lastRowFirstColumn="0" w:lastRowLastColumn="0"/>
            <w:tcW w:w="2335" w:type="dxa"/>
          </w:tcPr>
          <w:p w14:paraId="305098A5" w14:textId="77777777" w:rsidR="0033709A" w:rsidRDefault="0033709A" w:rsidP="00193DCE">
            <w:pPr>
              <w:rPr>
                <w:rFonts w:cstheme="minorHAnsi"/>
              </w:rPr>
            </w:pPr>
          </w:p>
        </w:tc>
        <w:tc>
          <w:tcPr>
            <w:tcW w:w="7020" w:type="dxa"/>
          </w:tcPr>
          <w:p w14:paraId="1EFCBB60" w14:textId="2819A7D8" w:rsidR="0033709A" w:rsidRPr="008C4A19" w:rsidRDefault="0033709A" w:rsidP="00193DCE">
            <w:pPr>
              <w:cnfStyle w:val="000000000000" w:firstRow="0" w:lastRow="0" w:firstColumn="0" w:lastColumn="0" w:oddVBand="0" w:evenVBand="0" w:oddHBand="0" w:evenHBand="0" w:firstRowFirstColumn="0" w:firstRowLastColumn="0" w:lastRowFirstColumn="0" w:lastRowLastColumn="0"/>
            </w:pPr>
            <w:r w:rsidRPr="008C4A19">
              <w:t xml:space="preserve">I would say it unfortunately forces </w:t>
            </w:r>
            <w:r>
              <w:t>students</w:t>
            </w:r>
            <w:r w:rsidRPr="008C4A19">
              <w:t xml:space="preserve"> into a modified diploma track because they are just simply not able to access </w:t>
            </w:r>
            <w:r>
              <w:t>G</w:t>
            </w:r>
            <w:r w:rsidRPr="008C4A19">
              <w:t xml:space="preserve">en </w:t>
            </w:r>
            <w:r>
              <w:t>E</w:t>
            </w:r>
            <w:r w:rsidRPr="008C4A19">
              <w:t>d curriculum, which means we have no choice but to modify materials for them at a different level or us</w:t>
            </w:r>
            <w:r w:rsidR="008F3AB3">
              <w:t>e</w:t>
            </w:r>
            <w:r w:rsidRPr="008C4A19">
              <w:t xml:space="preserve"> slightly different curriculum to support their learning.</w:t>
            </w:r>
            <w:r>
              <w:t xml:space="preserve"> (OR)</w:t>
            </w:r>
          </w:p>
        </w:tc>
      </w:tr>
      <w:tr w:rsidR="0033709A" w:rsidRPr="00CD254C" w14:paraId="6CAE414A"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65B3BCEA" w14:textId="77777777" w:rsidR="0033709A" w:rsidRDefault="0033709A" w:rsidP="00193DCE">
            <w:pPr>
              <w:rPr>
                <w:rFonts w:cstheme="minorHAnsi"/>
              </w:rPr>
            </w:pPr>
          </w:p>
        </w:tc>
        <w:tc>
          <w:tcPr>
            <w:tcW w:w="7020" w:type="dxa"/>
            <w:shd w:val="clear" w:color="auto" w:fill="D9E2F3"/>
          </w:tcPr>
          <w:p w14:paraId="3B635485" w14:textId="6EDB5993" w:rsidR="0033709A" w:rsidRPr="009631A0" w:rsidRDefault="0033709A" w:rsidP="00193DCE">
            <w:pPr>
              <w:cnfStyle w:val="000000100000" w:firstRow="0" w:lastRow="0" w:firstColumn="0" w:lastColumn="0" w:oddVBand="0" w:evenVBand="0" w:oddHBand="1" w:evenHBand="0" w:firstRowFirstColumn="0" w:firstRowLastColumn="0" w:lastRowFirstColumn="0" w:lastRowLastColumn="0"/>
            </w:pPr>
            <w:r w:rsidRPr="008C4A19">
              <w:t>I had a student a few years back</w:t>
            </w:r>
            <w:r w:rsidR="008F3AB3">
              <w:t xml:space="preserve">, and </w:t>
            </w:r>
            <w:r w:rsidRPr="008C4A19">
              <w:t xml:space="preserve">we finally came up with a program where we were doing yellow backgrounds, black, bold letters, </w:t>
            </w:r>
            <w:r w:rsidR="008F3AB3">
              <w:t xml:space="preserve">in </w:t>
            </w:r>
            <w:r w:rsidRPr="008C4A19">
              <w:t>large print</w:t>
            </w:r>
            <w:r w:rsidR="008F3AB3">
              <w:t xml:space="preserve">. I </w:t>
            </w:r>
            <w:r w:rsidRPr="008C4A19">
              <w:t>swear I had him in elementary. By the time he got to high school, he was using the exact same books, the exact same material, and getting the exact same lessons</w:t>
            </w:r>
            <w:r w:rsidR="008F3AB3">
              <w:t>,</w:t>
            </w:r>
            <w:r w:rsidRPr="008C4A19">
              <w:t xml:space="preserve"> with no differentiation, nothing anywhere near grade </w:t>
            </w:r>
            <w:r>
              <w:t>level</w:t>
            </w:r>
            <w:r w:rsidR="008F3AB3">
              <w:t>. I</w:t>
            </w:r>
            <w:r w:rsidRPr="008C4A19">
              <w:t>t's kind of depressing.</w:t>
            </w:r>
            <w:r>
              <w:t xml:space="preserve"> (OR)</w:t>
            </w:r>
          </w:p>
        </w:tc>
      </w:tr>
      <w:tr w:rsidR="0033709A" w:rsidRPr="00CD254C" w14:paraId="67D56AEC" w14:textId="77777777" w:rsidTr="0046722F">
        <w:tc>
          <w:tcPr>
            <w:cnfStyle w:val="001000000000" w:firstRow="0" w:lastRow="0" w:firstColumn="1" w:lastColumn="0" w:oddVBand="0" w:evenVBand="0" w:oddHBand="0" w:evenHBand="0" w:firstRowFirstColumn="0" w:firstRowLastColumn="0" w:lastRowFirstColumn="0" w:lastRowLastColumn="0"/>
            <w:tcW w:w="2335" w:type="dxa"/>
          </w:tcPr>
          <w:p w14:paraId="740B9EF4" w14:textId="77777777" w:rsidR="0033709A" w:rsidRDefault="0033709A" w:rsidP="00193DCE">
            <w:pPr>
              <w:rPr>
                <w:rFonts w:cstheme="minorHAnsi"/>
              </w:rPr>
            </w:pPr>
          </w:p>
        </w:tc>
        <w:tc>
          <w:tcPr>
            <w:tcW w:w="7020" w:type="dxa"/>
          </w:tcPr>
          <w:p w14:paraId="7CDDE635" w14:textId="5530F08A" w:rsidR="0033709A" w:rsidRPr="009631A0" w:rsidRDefault="0033709A" w:rsidP="00193DCE">
            <w:pPr>
              <w:cnfStyle w:val="000000000000" w:firstRow="0" w:lastRow="0" w:firstColumn="0" w:lastColumn="0" w:oddVBand="0" w:evenVBand="0" w:oddHBand="0" w:evenHBand="0" w:firstRowFirstColumn="0" w:firstRowLastColumn="0" w:lastRowFirstColumn="0" w:lastRowLastColumn="0"/>
            </w:pPr>
            <w:r>
              <w:t>Some TVI</w:t>
            </w:r>
            <w:r w:rsidR="00B00F20">
              <w:t>s</w:t>
            </w:r>
            <w:r w:rsidRPr="0033709A">
              <w:t xml:space="preserve"> are not qualified to be teaching any of these content areas. So</w:t>
            </w:r>
            <w:r w:rsidR="00B11887">
              <w:t xml:space="preserve">, </w:t>
            </w:r>
            <w:r>
              <w:t>the students are</w:t>
            </w:r>
            <w:r w:rsidRPr="0033709A">
              <w:t xml:space="preserve"> not getting the instruction that they deserve in this area, and we're just making it work. </w:t>
            </w:r>
            <w:r>
              <w:t>(OR)</w:t>
            </w:r>
          </w:p>
        </w:tc>
      </w:tr>
      <w:tr w:rsidR="0033709A" w:rsidRPr="00CD254C" w14:paraId="18F3B339"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0173E0B1" w14:textId="77777777" w:rsidR="0033709A" w:rsidRDefault="0033709A" w:rsidP="00193DCE">
            <w:pPr>
              <w:rPr>
                <w:rFonts w:cstheme="minorHAnsi"/>
              </w:rPr>
            </w:pPr>
          </w:p>
        </w:tc>
        <w:tc>
          <w:tcPr>
            <w:tcW w:w="7020" w:type="dxa"/>
            <w:shd w:val="clear" w:color="auto" w:fill="D9E2F3"/>
          </w:tcPr>
          <w:p w14:paraId="557F8A91" w14:textId="4F3415F2" w:rsidR="0033709A" w:rsidRPr="009631A0" w:rsidRDefault="00DF3E5D" w:rsidP="00193DCE">
            <w:pPr>
              <w:cnfStyle w:val="000000100000" w:firstRow="0" w:lastRow="0" w:firstColumn="0" w:lastColumn="0" w:oddVBand="0" w:evenVBand="0" w:oddHBand="1" w:evenHBand="0" w:firstRowFirstColumn="0" w:firstRowLastColumn="0" w:lastRowFirstColumn="0" w:lastRowLastColumn="0"/>
            </w:pPr>
            <w:r>
              <w:t>I</w:t>
            </w:r>
            <w:r w:rsidR="0033709A" w:rsidRPr="0033709A">
              <w:t xml:space="preserve">f </w:t>
            </w:r>
            <w:r>
              <w:t>kids are not</w:t>
            </w:r>
            <w:r w:rsidR="0033709A" w:rsidRPr="0033709A">
              <w:t xml:space="preserve"> having access and able to read in class</w:t>
            </w:r>
            <w:r>
              <w:t>,</w:t>
            </w:r>
            <w:r w:rsidR="0033709A" w:rsidRPr="0033709A">
              <w:t xml:space="preserve"> and the teacher or whoever's working</w:t>
            </w:r>
            <w:r w:rsidR="0033709A">
              <w:t xml:space="preserve"> with</w:t>
            </w:r>
            <w:r w:rsidR="0033709A" w:rsidRPr="0033709A">
              <w:t xml:space="preserve"> them</w:t>
            </w:r>
            <w:r w:rsidR="0033709A">
              <w:t xml:space="preserve"> is</w:t>
            </w:r>
            <w:r w:rsidR="0033709A" w:rsidRPr="0033709A">
              <w:t xml:space="preserve"> saying, </w:t>
            </w:r>
            <w:r w:rsidR="0033709A">
              <w:t>“W</w:t>
            </w:r>
            <w:r w:rsidR="0033709A" w:rsidRPr="0033709A">
              <w:t>ell, you can just read it to them</w:t>
            </w:r>
            <w:r>
              <w:t>,</w:t>
            </w:r>
            <w:r w:rsidR="0033709A" w:rsidRPr="0033709A">
              <w:t xml:space="preserve"> and they can give the answers verbally</w:t>
            </w:r>
            <w:r w:rsidR="00B00F20">
              <w:t>,</w:t>
            </w:r>
            <w:r w:rsidR="0033709A">
              <w:t>”</w:t>
            </w:r>
            <w:r w:rsidR="0033709A" w:rsidRPr="0033709A">
              <w:t xml:space="preserve"> they're missing out on all these literacy opportunities that just compound</w:t>
            </w:r>
            <w:r>
              <w:t xml:space="preserve">. They aren’t </w:t>
            </w:r>
            <w:r w:rsidR="0033709A" w:rsidRPr="0033709A">
              <w:t>getting what they need or what is outlined in their IEP, and it happens way too often.</w:t>
            </w:r>
            <w:r w:rsidR="0033709A">
              <w:t xml:space="preserve"> (OR)</w:t>
            </w:r>
          </w:p>
        </w:tc>
      </w:tr>
      <w:tr w:rsidR="0033709A" w:rsidRPr="00CD254C" w14:paraId="687B0E69" w14:textId="77777777" w:rsidTr="0046722F">
        <w:tc>
          <w:tcPr>
            <w:cnfStyle w:val="001000000000" w:firstRow="0" w:lastRow="0" w:firstColumn="1" w:lastColumn="0" w:oddVBand="0" w:evenVBand="0" w:oddHBand="0" w:evenHBand="0" w:firstRowFirstColumn="0" w:firstRowLastColumn="0" w:lastRowFirstColumn="0" w:lastRowLastColumn="0"/>
            <w:tcW w:w="2335" w:type="dxa"/>
          </w:tcPr>
          <w:p w14:paraId="1E5BD27C" w14:textId="77777777" w:rsidR="0033709A" w:rsidRDefault="0033709A" w:rsidP="00193DCE">
            <w:pPr>
              <w:rPr>
                <w:rFonts w:cstheme="minorHAnsi"/>
              </w:rPr>
            </w:pPr>
          </w:p>
        </w:tc>
        <w:tc>
          <w:tcPr>
            <w:tcW w:w="7020" w:type="dxa"/>
          </w:tcPr>
          <w:p w14:paraId="43A693A6" w14:textId="3817F8B2" w:rsidR="0033709A" w:rsidRPr="009631A0" w:rsidRDefault="0033709A" w:rsidP="00193DCE">
            <w:pPr>
              <w:cnfStyle w:val="000000000000" w:firstRow="0" w:lastRow="0" w:firstColumn="0" w:lastColumn="0" w:oddVBand="0" w:evenVBand="0" w:oddHBand="0" w:evenHBand="0" w:firstRowFirstColumn="0" w:firstRowLastColumn="0" w:lastRowFirstColumn="0" w:lastRowLastColumn="0"/>
            </w:pPr>
            <w:r w:rsidRPr="0033709A">
              <w:t xml:space="preserve">Well, with </w:t>
            </w:r>
            <w:r w:rsidR="00B00F20" w:rsidRPr="0033709A">
              <w:t>less-than-ideal</w:t>
            </w:r>
            <w:r w:rsidRPr="0033709A">
              <w:t xml:space="preserve"> materials</w:t>
            </w:r>
            <w:r w:rsidR="005B3940">
              <w:t xml:space="preserve">, </w:t>
            </w:r>
            <w:r w:rsidRPr="0033709A">
              <w:t xml:space="preserve">it's often the case that </w:t>
            </w:r>
            <w:r>
              <w:t>students</w:t>
            </w:r>
            <w:r w:rsidRPr="0033709A">
              <w:t xml:space="preserve"> are not able to keep up with their peers. If they have reading comprehension difficulties and </w:t>
            </w:r>
            <w:r w:rsidR="005B3940">
              <w:t>are</w:t>
            </w:r>
            <w:r w:rsidRPr="0033709A">
              <w:t xml:space="preserve"> not getting what they need, many times they start to become disengaged.</w:t>
            </w:r>
            <w:r>
              <w:t xml:space="preserve"> (OR)</w:t>
            </w:r>
          </w:p>
        </w:tc>
      </w:tr>
      <w:tr w:rsidR="0033709A" w:rsidRPr="00CD254C" w14:paraId="3BF979A6"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677276A1" w14:textId="77777777" w:rsidR="0033709A" w:rsidRDefault="0033709A" w:rsidP="00193DCE">
            <w:pPr>
              <w:rPr>
                <w:rFonts w:cstheme="minorHAnsi"/>
              </w:rPr>
            </w:pPr>
          </w:p>
        </w:tc>
        <w:tc>
          <w:tcPr>
            <w:tcW w:w="7020" w:type="dxa"/>
            <w:shd w:val="clear" w:color="auto" w:fill="D9E2F3"/>
          </w:tcPr>
          <w:p w14:paraId="2D3DEEA8" w14:textId="2415F013" w:rsidR="0033709A" w:rsidRPr="009631A0" w:rsidRDefault="006568CB" w:rsidP="00193DCE">
            <w:pPr>
              <w:cnfStyle w:val="000000100000" w:firstRow="0" w:lastRow="0" w:firstColumn="0" w:lastColumn="0" w:oddVBand="0" w:evenVBand="0" w:oddHBand="1" w:evenHBand="0" w:firstRowFirstColumn="0" w:firstRowLastColumn="0" w:lastRowFirstColumn="0" w:lastRowLastColumn="0"/>
            </w:pPr>
            <w:r>
              <w:t>I</w:t>
            </w:r>
            <w:r w:rsidR="0033709A" w:rsidRPr="0033709A">
              <w:t>n the summer program where I worked</w:t>
            </w:r>
            <w:r>
              <w:t>,</w:t>
            </w:r>
            <w:r w:rsidR="0033709A">
              <w:t xml:space="preserve"> </w:t>
            </w:r>
            <w:r w:rsidR="0033709A" w:rsidRPr="0033709A">
              <w:t xml:space="preserve">we were receiving students from all over the state. It was clear that the </w:t>
            </w:r>
            <w:r w:rsidR="00B00F20">
              <w:t>f</w:t>
            </w:r>
            <w:r w:rsidR="0033709A" w:rsidRPr="0033709A">
              <w:t xml:space="preserve">ederal </w:t>
            </w:r>
            <w:r w:rsidR="00B00F20">
              <w:t>l</w:t>
            </w:r>
            <w:r w:rsidR="0033709A" w:rsidRPr="0033709A">
              <w:t>aw to include students in the least restrictive environment did not come with the proper funding nor trained personnel to make the experience a successful one. Students who had age level cognitive skills were not literate. They were not taught braille at all.</w:t>
            </w:r>
            <w:r w:rsidR="0033709A">
              <w:t xml:space="preserve"> </w:t>
            </w:r>
            <w:r w:rsidR="0033709A" w:rsidRPr="0033709A">
              <w:t xml:space="preserve">Things certainly have improved, but I am still not satisfied with the majority of student achievements in </w:t>
            </w:r>
            <w:r w:rsidR="0054413D">
              <w:t>[visual impairment]</w:t>
            </w:r>
            <w:r w:rsidR="0033709A" w:rsidRPr="0033709A">
              <w:t xml:space="preserve"> programs. They still appear to be behind in their language and comprehension skills, and many are several grade levels behind</w:t>
            </w:r>
            <w:r>
              <w:t>.</w:t>
            </w:r>
            <w:r w:rsidR="0033709A">
              <w:t xml:space="preserve"> (NC)</w:t>
            </w:r>
            <w:r w:rsidR="00B55C67">
              <w:rPr>
                <w:rFonts w:ascii="ZWAdobeF" w:hAnsi="ZWAdobeF" w:cs="ZWAdobeF"/>
                <w:sz w:val="2"/>
                <w:szCs w:val="2"/>
              </w:rPr>
              <w:t>33F</w:t>
            </w:r>
            <w:r w:rsidR="00C4518E">
              <w:rPr>
                <w:rStyle w:val="FootnoteReference"/>
              </w:rPr>
              <w:footnoteReference w:id="35"/>
            </w:r>
          </w:p>
        </w:tc>
      </w:tr>
      <w:tr w:rsidR="0033709A" w:rsidRPr="00CD254C" w14:paraId="4CF9EA42" w14:textId="77777777" w:rsidTr="0046722F">
        <w:tc>
          <w:tcPr>
            <w:cnfStyle w:val="001000000000" w:firstRow="0" w:lastRow="0" w:firstColumn="1" w:lastColumn="0" w:oddVBand="0" w:evenVBand="0" w:oddHBand="0" w:evenHBand="0" w:firstRowFirstColumn="0" w:firstRowLastColumn="0" w:lastRowFirstColumn="0" w:lastRowLastColumn="0"/>
            <w:tcW w:w="2335" w:type="dxa"/>
          </w:tcPr>
          <w:p w14:paraId="3D966B63" w14:textId="7E224322" w:rsidR="0033709A" w:rsidRDefault="00D5447E" w:rsidP="00193DCE">
            <w:pPr>
              <w:rPr>
                <w:rFonts w:cstheme="minorHAnsi"/>
              </w:rPr>
            </w:pPr>
            <w:r>
              <w:rPr>
                <w:rFonts w:cstheme="minorHAnsi"/>
              </w:rPr>
              <w:lastRenderedPageBreak/>
              <w:t>Increased teacher stress and responsibility (5)</w:t>
            </w:r>
          </w:p>
        </w:tc>
        <w:tc>
          <w:tcPr>
            <w:tcW w:w="7020" w:type="dxa"/>
          </w:tcPr>
          <w:p w14:paraId="4EA28CA1" w14:textId="1F908DC9" w:rsidR="0033709A" w:rsidRPr="009631A0" w:rsidRDefault="00D5447E" w:rsidP="00193DCE">
            <w:pPr>
              <w:cnfStyle w:val="000000000000" w:firstRow="0" w:lastRow="0" w:firstColumn="0" w:lastColumn="0" w:oddVBand="0" w:evenVBand="0" w:oddHBand="0" w:evenHBand="0" w:firstRowFirstColumn="0" w:firstRowLastColumn="0" w:lastRowFirstColumn="0" w:lastRowLastColumn="0"/>
            </w:pPr>
            <w:r w:rsidRPr="00D5447E">
              <w:t xml:space="preserve">Sometimes it's a matter of what can we do in the meantime? Are we giving them some sort of </w:t>
            </w:r>
            <w:r w:rsidR="00B43404">
              <w:t>handheld</w:t>
            </w:r>
            <w:r w:rsidRPr="00D5447E">
              <w:t xml:space="preserve"> magnifier in order to accommodate themselves? It requires a lot on the student's part</w:t>
            </w:r>
            <w:r w:rsidR="00B43404">
              <w:t>,</w:t>
            </w:r>
            <w:r w:rsidRPr="00D5447E">
              <w:t xml:space="preserve"> and a lot of times plays out in the teacher having to do a lot of copying and stuff like that.</w:t>
            </w:r>
            <w:r>
              <w:t xml:space="preserve"> (OH)</w:t>
            </w:r>
          </w:p>
        </w:tc>
      </w:tr>
      <w:tr w:rsidR="0033709A" w:rsidRPr="00CD254C" w14:paraId="1EC86AED"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23BC357A" w14:textId="77777777" w:rsidR="0033709A" w:rsidRDefault="0033709A" w:rsidP="00193DCE">
            <w:pPr>
              <w:rPr>
                <w:rFonts w:cstheme="minorHAnsi"/>
              </w:rPr>
            </w:pPr>
          </w:p>
        </w:tc>
        <w:tc>
          <w:tcPr>
            <w:tcW w:w="7020" w:type="dxa"/>
            <w:shd w:val="clear" w:color="auto" w:fill="D9E2F3"/>
          </w:tcPr>
          <w:p w14:paraId="065C5228" w14:textId="3ACE6798" w:rsidR="0033709A" w:rsidRPr="009631A0" w:rsidRDefault="00D5447E" w:rsidP="00193DCE">
            <w:pPr>
              <w:cnfStyle w:val="000000100000" w:firstRow="0" w:lastRow="0" w:firstColumn="0" w:lastColumn="0" w:oddVBand="0" w:evenVBand="0" w:oddHBand="1" w:evenHBand="0" w:firstRowFirstColumn="0" w:firstRowLastColumn="0" w:lastRowFirstColumn="0" w:lastRowLastColumn="0"/>
            </w:pPr>
            <w:r w:rsidRPr="00D5447E">
              <w:t>We've had kids who don't have access to the textbook for almost an entire school year, and the vision specialists working with them are frantically sitting in class with them trying to convert materials on the fly so they can participate.</w:t>
            </w:r>
            <w:r>
              <w:t xml:space="preserve"> (OR)</w:t>
            </w:r>
          </w:p>
        </w:tc>
      </w:tr>
      <w:tr w:rsidR="0033709A" w:rsidRPr="00CD254C" w14:paraId="6850A443" w14:textId="77777777" w:rsidTr="0046722F">
        <w:tc>
          <w:tcPr>
            <w:cnfStyle w:val="001000000000" w:firstRow="0" w:lastRow="0" w:firstColumn="1" w:lastColumn="0" w:oddVBand="0" w:evenVBand="0" w:oddHBand="0" w:evenHBand="0" w:firstRowFirstColumn="0" w:firstRowLastColumn="0" w:lastRowFirstColumn="0" w:lastRowLastColumn="0"/>
            <w:tcW w:w="2335" w:type="dxa"/>
          </w:tcPr>
          <w:p w14:paraId="6EA7C968" w14:textId="08C751EB" w:rsidR="0033709A" w:rsidRDefault="00973D52" w:rsidP="00193DCE">
            <w:pPr>
              <w:rPr>
                <w:rFonts w:cstheme="minorHAnsi"/>
              </w:rPr>
            </w:pPr>
            <w:r>
              <w:rPr>
                <w:rFonts w:cstheme="minorHAnsi"/>
              </w:rPr>
              <w:t>M</w:t>
            </w:r>
            <w:r w:rsidR="00D5447E">
              <w:rPr>
                <w:rFonts w:cstheme="minorHAnsi"/>
              </w:rPr>
              <w:t>ental health consequences (4)</w:t>
            </w:r>
          </w:p>
        </w:tc>
        <w:tc>
          <w:tcPr>
            <w:tcW w:w="7020" w:type="dxa"/>
          </w:tcPr>
          <w:p w14:paraId="35E68A33" w14:textId="134ABD41" w:rsidR="0033709A" w:rsidRPr="009631A0" w:rsidRDefault="00D5447E" w:rsidP="00193DCE">
            <w:pPr>
              <w:cnfStyle w:val="000000000000" w:firstRow="0" w:lastRow="0" w:firstColumn="0" w:lastColumn="0" w:oddVBand="0" w:evenVBand="0" w:oddHBand="0" w:evenHBand="0" w:firstRowFirstColumn="0" w:firstRowLastColumn="0" w:lastRowFirstColumn="0" w:lastRowLastColumn="0"/>
            </w:pPr>
            <w:r w:rsidRPr="00D5447E">
              <w:t>A lot of times my students would get really, really frustrated. They would depend on auditory access to obtain all of the information</w:t>
            </w:r>
            <w:r w:rsidR="00891B4E">
              <w:t>. Th</w:t>
            </w:r>
            <w:r w:rsidRPr="00D5447E">
              <w:t>eir auditory access would eventually fatigue</w:t>
            </w:r>
            <w:r w:rsidR="00891B4E">
              <w:t>,</w:t>
            </w:r>
            <w:r w:rsidRPr="00D5447E">
              <w:t xml:space="preserve"> and they would just check out.</w:t>
            </w:r>
            <w:r>
              <w:t xml:space="preserve"> (OH)</w:t>
            </w:r>
          </w:p>
        </w:tc>
      </w:tr>
      <w:tr w:rsidR="0033709A" w:rsidRPr="00CD254C" w14:paraId="26B5750E"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1E04180F" w14:textId="77777777" w:rsidR="0033709A" w:rsidRDefault="0033709A" w:rsidP="00193DCE">
            <w:pPr>
              <w:rPr>
                <w:rFonts w:cstheme="minorHAnsi"/>
              </w:rPr>
            </w:pPr>
          </w:p>
        </w:tc>
        <w:tc>
          <w:tcPr>
            <w:tcW w:w="7020" w:type="dxa"/>
            <w:shd w:val="clear" w:color="auto" w:fill="D9E2F3"/>
          </w:tcPr>
          <w:p w14:paraId="1E1BAC80" w14:textId="70F97205" w:rsidR="0033709A" w:rsidRPr="009631A0" w:rsidRDefault="00D5447E" w:rsidP="00193DCE">
            <w:pPr>
              <w:cnfStyle w:val="000000100000" w:firstRow="0" w:lastRow="0" w:firstColumn="0" w:lastColumn="0" w:oddVBand="0" w:evenVBand="0" w:oddHBand="1" w:evenHBand="0" w:firstRowFirstColumn="0" w:firstRowLastColumn="0" w:lastRowFirstColumn="0" w:lastRowLastColumn="0"/>
            </w:pPr>
            <w:r>
              <w:t>Students</w:t>
            </w:r>
            <w:r w:rsidRPr="00D5447E">
              <w:t xml:space="preserve"> want to be doing the same thing that everyone else is doing</w:t>
            </w:r>
            <w:r w:rsidR="0095612C">
              <w:t>. I</w:t>
            </w:r>
            <w:r w:rsidRPr="00D5447E">
              <w:t xml:space="preserve">t causes anxiety and </w:t>
            </w:r>
            <w:r w:rsidR="0095612C">
              <w:t>s</w:t>
            </w:r>
            <w:r w:rsidRPr="00D5447E">
              <w:t>ad feelings of feeling left out.</w:t>
            </w:r>
            <w:r>
              <w:t xml:space="preserve"> (OH)</w:t>
            </w:r>
          </w:p>
        </w:tc>
      </w:tr>
      <w:tr w:rsidR="0033709A" w:rsidRPr="00CD254C" w14:paraId="593C0CB5" w14:textId="77777777" w:rsidTr="0046722F">
        <w:tc>
          <w:tcPr>
            <w:cnfStyle w:val="001000000000" w:firstRow="0" w:lastRow="0" w:firstColumn="1" w:lastColumn="0" w:oddVBand="0" w:evenVBand="0" w:oddHBand="0" w:evenHBand="0" w:firstRowFirstColumn="0" w:firstRowLastColumn="0" w:lastRowFirstColumn="0" w:lastRowLastColumn="0"/>
            <w:tcW w:w="2335" w:type="dxa"/>
          </w:tcPr>
          <w:p w14:paraId="6E01DFEF" w14:textId="77777777" w:rsidR="0033709A" w:rsidRDefault="0033709A" w:rsidP="00193DCE">
            <w:pPr>
              <w:rPr>
                <w:rFonts w:cstheme="minorHAnsi"/>
              </w:rPr>
            </w:pPr>
          </w:p>
        </w:tc>
        <w:tc>
          <w:tcPr>
            <w:tcW w:w="7020" w:type="dxa"/>
          </w:tcPr>
          <w:p w14:paraId="58F8BB73" w14:textId="05CF1013" w:rsidR="0033709A" w:rsidRPr="009631A0" w:rsidRDefault="00D5447E" w:rsidP="00193DCE">
            <w:pPr>
              <w:cnfStyle w:val="000000000000" w:firstRow="0" w:lastRow="0" w:firstColumn="0" w:lastColumn="0" w:oddVBand="0" w:evenVBand="0" w:oddHBand="0" w:evenHBand="0" w:firstRowFirstColumn="0" w:firstRowLastColumn="0" w:lastRowFirstColumn="0" w:lastRowLastColumn="0"/>
            </w:pPr>
            <w:r w:rsidRPr="00D5447E">
              <w:t>They are losing interest</w:t>
            </w:r>
            <w:r w:rsidR="0095612C">
              <w:t>;</w:t>
            </w:r>
            <w:r w:rsidRPr="00D5447E">
              <w:t xml:space="preserve"> they are getting frustrated. It often impacts self-esteem because they don't have what they need</w:t>
            </w:r>
            <w:r w:rsidR="0095612C">
              <w:t>,</w:t>
            </w:r>
            <w:r w:rsidRPr="00D5447E">
              <w:t xml:space="preserve"> and they take it as if they're doing something wrong.</w:t>
            </w:r>
            <w:r>
              <w:t xml:space="preserve"> (OR)</w:t>
            </w:r>
          </w:p>
        </w:tc>
      </w:tr>
      <w:bookmarkEnd w:id="32"/>
    </w:tbl>
    <w:p w14:paraId="6055382D" w14:textId="77777777" w:rsidR="00175DC5" w:rsidRDefault="00175DC5" w:rsidP="008C4A19">
      <w:pPr>
        <w:spacing w:after="0" w:line="276" w:lineRule="auto"/>
        <w:rPr>
          <w:rFonts w:ascii="Calibri" w:hAnsi="Calibri" w:cs="Calibri"/>
          <w:sz w:val="24"/>
          <w:szCs w:val="24"/>
        </w:rPr>
      </w:pPr>
    </w:p>
    <w:p w14:paraId="2E44DE55" w14:textId="78A7BC3A" w:rsidR="00396676" w:rsidRDefault="00B55C67" w:rsidP="0056503D">
      <w:pPr>
        <w:spacing w:after="0" w:line="276" w:lineRule="auto"/>
        <w:rPr>
          <w:rFonts w:ascii="Calibri" w:hAnsi="Calibri" w:cs="Calibri"/>
          <w:sz w:val="24"/>
          <w:szCs w:val="24"/>
        </w:rPr>
      </w:pPr>
      <w:r>
        <w:rPr>
          <w:rFonts w:ascii="ZWAdobeF" w:hAnsi="ZWAdobeF" w:cs="ZWAdobeF"/>
          <w:sz w:val="2"/>
          <w:szCs w:val="2"/>
        </w:rPr>
        <w:t>128B</w:t>
      </w:r>
      <w:r w:rsidR="00DC4F93">
        <w:rPr>
          <w:rFonts w:ascii="Calibri" w:hAnsi="Calibri" w:cs="Calibri"/>
          <w:sz w:val="24"/>
          <w:szCs w:val="24"/>
        </w:rPr>
        <w:t>S</w:t>
      </w:r>
      <w:r w:rsidR="0056503D">
        <w:rPr>
          <w:rFonts w:ascii="Calibri" w:hAnsi="Calibri" w:cs="Calibri"/>
          <w:sz w:val="24"/>
          <w:szCs w:val="24"/>
        </w:rPr>
        <w:t>urvey respondents were asked to rate their agreement with the following statement: “</w:t>
      </w:r>
      <w:r w:rsidR="0056503D" w:rsidRPr="0056503D">
        <w:rPr>
          <w:rFonts w:ascii="Calibri" w:hAnsi="Calibri" w:cs="Calibri"/>
          <w:sz w:val="24"/>
          <w:szCs w:val="24"/>
        </w:rPr>
        <w:t>I am satisfied with the ability of students to access and use accessible formats that are best formatted to meet their needs, as specified in their IEPs</w:t>
      </w:r>
      <w:r w:rsidR="0056503D">
        <w:rPr>
          <w:rFonts w:ascii="Calibri" w:hAnsi="Calibri" w:cs="Calibri"/>
          <w:sz w:val="24"/>
          <w:szCs w:val="24"/>
        </w:rPr>
        <w:t>.”</w:t>
      </w:r>
      <w:r>
        <w:rPr>
          <w:rFonts w:ascii="ZWAdobeF" w:hAnsi="ZWAdobeF" w:cs="ZWAdobeF"/>
          <w:sz w:val="2"/>
          <w:szCs w:val="2"/>
        </w:rPr>
        <w:t>34F</w:t>
      </w:r>
      <w:r w:rsidR="00006D03">
        <w:rPr>
          <w:rStyle w:val="FootnoteReference"/>
          <w:rFonts w:ascii="Calibri" w:hAnsi="Calibri" w:cs="Calibri"/>
          <w:sz w:val="24"/>
          <w:szCs w:val="24"/>
        </w:rPr>
        <w:footnoteReference w:id="36"/>
      </w:r>
      <w:r w:rsidR="0056503D">
        <w:rPr>
          <w:rFonts w:ascii="Calibri" w:hAnsi="Calibri" w:cs="Calibri"/>
          <w:sz w:val="24"/>
          <w:szCs w:val="24"/>
        </w:rPr>
        <w:t xml:space="preserve"> Figure </w:t>
      </w:r>
      <w:r w:rsidR="00293EAC">
        <w:rPr>
          <w:rFonts w:ascii="Calibri" w:hAnsi="Calibri" w:cs="Calibri"/>
          <w:sz w:val="24"/>
          <w:szCs w:val="24"/>
        </w:rPr>
        <w:t>1</w:t>
      </w:r>
      <w:r w:rsidR="00EE4A78">
        <w:rPr>
          <w:rFonts w:ascii="Calibri" w:hAnsi="Calibri" w:cs="Calibri"/>
          <w:sz w:val="24"/>
          <w:szCs w:val="24"/>
        </w:rPr>
        <w:t>2</w:t>
      </w:r>
      <w:r w:rsidR="0056503D">
        <w:rPr>
          <w:rFonts w:ascii="Calibri" w:hAnsi="Calibri" w:cs="Calibri"/>
          <w:sz w:val="24"/>
          <w:szCs w:val="24"/>
        </w:rPr>
        <w:t xml:space="preserve"> shows that </w:t>
      </w:r>
      <w:r w:rsidR="00D53A90">
        <w:rPr>
          <w:rFonts w:ascii="Calibri" w:hAnsi="Calibri" w:cs="Calibri"/>
          <w:sz w:val="24"/>
          <w:szCs w:val="24"/>
        </w:rPr>
        <w:t>nearly two-thirds</w:t>
      </w:r>
      <w:r w:rsidR="0056503D">
        <w:rPr>
          <w:rFonts w:ascii="Calibri" w:hAnsi="Calibri" w:cs="Calibri"/>
          <w:sz w:val="24"/>
          <w:szCs w:val="24"/>
        </w:rPr>
        <w:t xml:space="preserve"> of respondents (62%) </w:t>
      </w:r>
      <w:r w:rsidR="00D53A90">
        <w:rPr>
          <w:rFonts w:ascii="Calibri" w:hAnsi="Calibri" w:cs="Calibri"/>
          <w:sz w:val="24"/>
          <w:szCs w:val="24"/>
        </w:rPr>
        <w:t>disagreed with this statement</w:t>
      </w:r>
      <w:r w:rsidR="00481B93">
        <w:rPr>
          <w:rFonts w:ascii="Calibri" w:hAnsi="Calibri" w:cs="Calibri"/>
          <w:sz w:val="24"/>
          <w:szCs w:val="24"/>
        </w:rPr>
        <w:t xml:space="preserve">, providing additional evidence that </w:t>
      </w:r>
      <w:r w:rsidR="00D5447E">
        <w:rPr>
          <w:rFonts w:ascii="Calibri" w:hAnsi="Calibri" w:cs="Calibri"/>
          <w:sz w:val="24"/>
          <w:szCs w:val="24"/>
        </w:rPr>
        <w:t xml:space="preserve">students with print disabilities and visual impairments frequently </w:t>
      </w:r>
      <w:r w:rsidR="00481B93">
        <w:rPr>
          <w:rFonts w:ascii="Calibri" w:hAnsi="Calibri" w:cs="Calibri"/>
          <w:sz w:val="24"/>
          <w:szCs w:val="24"/>
        </w:rPr>
        <w:t>receive</w:t>
      </w:r>
      <w:r w:rsidR="00D5447E">
        <w:rPr>
          <w:rFonts w:ascii="Calibri" w:hAnsi="Calibri" w:cs="Calibri"/>
          <w:sz w:val="24"/>
          <w:szCs w:val="24"/>
        </w:rPr>
        <w:t xml:space="preserve"> less than ideal </w:t>
      </w:r>
      <w:r w:rsidR="00481B93">
        <w:rPr>
          <w:rFonts w:ascii="Calibri" w:hAnsi="Calibri" w:cs="Calibri"/>
          <w:sz w:val="24"/>
          <w:szCs w:val="24"/>
        </w:rPr>
        <w:t xml:space="preserve">formats or </w:t>
      </w:r>
      <w:r w:rsidR="00D5447E">
        <w:rPr>
          <w:rFonts w:ascii="Calibri" w:hAnsi="Calibri" w:cs="Calibri"/>
          <w:sz w:val="24"/>
          <w:szCs w:val="24"/>
        </w:rPr>
        <w:t xml:space="preserve">curriculum (as described above). </w:t>
      </w:r>
      <w:r w:rsidR="00D47407">
        <w:rPr>
          <w:rFonts w:ascii="Calibri" w:hAnsi="Calibri" w:cs="Calibri"/>
          <w:sz w:val="24"/>
          <w:szCs w:val="24"/>
        </w:rPr>
        <w:t>There were no statistically significant differences by location or role.</w:t>
      </w:r>
    </w:p>
    <w:p w14:paraId="0629F6CB" w14:textId="6A85E8E7" w:rsidR="0056503D" w:rsidRDefault="00D47407" w:rsidP="0056503D">
      <w:pPr>
        <w:spacing w:after="0" w:line="276" w:lineRule="auto"/>
        <w:rPr>
          <w:rFonts w:ascii="Calibri" w:hAnsi="Calibri" w:cs="Calibri"/>
          <w:sz w:val="24"/>
          <w:szCs w:val="24"/>
        </w:rPr>
      </w:pPr>
      <w:r>
        <w:rPr>
          <w:rFonts w:ascii="Calibri" w:hAnsi="Calibri" w:cs="Calibri"/>
          <w:sz w:val="24"/>
          <w:szCs w:val="24"/>
        </w:rPr>
        <w:t xml:space="preserve"> </w:t>
      </w:r>
    </w:p>
    <w:p w14:paraId="69758524" w14:textId="55ECE72B" w:rsidR="0056503D" w:rsidRDefault="0056503D" w:rsidP="004946C3">
      <w:pPr>
        <w:pStyle w:val="Heading4"/>
      </w:pPr>
      <w:bookmarkStart w:id="33" w:name="_Toc222904002"/>
      <w:r w:rsidRPr="005919AC">
        <w:t xml:space="preserve">Figure </w:t>
      </w:r>
      <w:r w:rsidR="00293EAC">
        <w:t>1</w:t>
      </w:r>
      <w:r w:rsidR="00EE4A78">
        <w:t>2</w:t>
      </w:r>
      <w:r w:rsidRPr="005919AC">
        <w:t xml:space="preserve">. </w:t>
      </w:r>
      <w:r>
        <w:t>Satisfaction with Access to and Use of Accessible Formats</w:t>
      </w:r>
      <w:r w:rsidR="00B55C67">
        <w:rPr>
          <w:rFonts w:ascii="ZWAdobeF" w:hAnsi="ZWAdobeF" w:cs="ZWAdobeF"/>
          <w:i w:val="0"/>
          <w:color w:val="auto"/>
          <w:sz w:val="2"/>
          <w:szCs w:val="2"/>
        </w:rPr>
        <w:t>35F</w:t>
      </w:r>
      <w:r>
        <w:rPr>
          <w:rStyle w:val="FootnoteReference"/>
          <w:rFonts w:cs="Calibri"/>
          <w:smallCaps/>
          <w:color w:val="44546A" w:themeColor="text2"/>
        </w:rPr>
        <w:footnoteReference w:id="37"/>
      </w:r>
      <w:bookmarkEnd w:id="33"/>
    </w:p>
    <w:p w14:paraId="5C819802" w14:textId="6BBC4E82" w:rsidR="0056503D" w:rsidRPr="007921A0" w:rsidRDefault="00B55C67" w:rsidP="00FD5797">
      <w:pPr>
        <w:jc w:val="center"/>
      </w:pPr>
      <w:r>
        <w:rPr>
          <w:rFonts w:ascii="ZWAdobeF" w:hAnsi="ZWAdobeF" w:cs="ZWAdobeF"/>
          <w:sz w:val="2"/>
          <w:szCs w:val="2"/>
        </w:rPr>
        <w:t>129</w:t>
      </w:r>
      <w:proofErr w:type="gramStart"/>
      <w:r>
        <w:rPr>
          <w:rFonts w:ascii="ZWAdobeF" w:hAnsi="ZWAdobeF" w:cs="ZWAdobeF"/>
          <w:sz w:val="2"/>
          <w:szCs w:val="2"/>
        </w:rPr>
        <w:t>B</w:t>
      </w:r>
      <w:r w:rsidR="0056503D">
        <w:t>(</w:t>
      </w:r>
      <w:proofErr w:type="gramEnd"/>
      <w:r w:rsidR="0056503D" w:rsidRPr="009F1957">
        <w:rPr>
          <w:i/>
          <w:iCs/>
        </w:rPr>
        <w:t>n</w:t>
      </w:r>
      <w:r w:rsidR="0056503D">
        <w:t xml:space="preserve"> = 221)</w:t>
      </w:r>
    </w:p>
    <w:p w14:paraId="72B16E13" w14:textId="1D3A96EA" w:rsidR="0056503D" w:rsidRDefault="00B55C67" w:rsidP="0056503D">
      <w:pPr>
        <w:spacing w:after="0" w:line="276" w:lineRule="auto"/>
        <w:jc w:val="center"/>
        <w:rPr>
          <w:rFonts w:ascii="Calibri" w:hAnsi="Calibri" w:cs="Calibri"/>
          <w:sz w:val="24"/>
          <w:szCs w:val="24"/>
        </w:rPr>
      </w:pPr>
      <w:r>
        <w:rPr>
          <w:rFonts w:ascii="ZWAdobeF" w:hAnsi="ZWAdobeF" w:cs="ZWAdobeF"/>
          <w:sz w:val="2"/>
          <w:szCs w:val="2"/>
        </w:rPr>
        <w:t>130B</w:t>
      </w:r>
      <w:r w:rsidR="0056503D" w:rsidRPr="00FD0A0B">
        <w:rPr>
          <w:rFonts w:ascii="Calibri" w:hAnsi="Calibri" w:cs="Calibri"/>
          <w:noProof/>
        </w:rPr>
        <w:drawing>
          <wp:inline distT="0" distB="0" distL="0" distR="0" wp14:anchorId="64077929" wp14:editId="6BF9AE2E">
            <wp:extent cx="4711194" cy="1916163"/>
            <wp:effectExtent l="0" t="0" r="0" b="8255"/>
            <wp:docPr id="1176328932" name="Chart 1176328932" descr="Figure 12 is a pie chart demonstrating respondent satisfaction with access to and use of accessible formats (n = 221). Fourteen percent of respondents strongly disagree that they are satisfied, 48% disagree, 32% agree, and 6% strongly agree."/>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6CDFDD6D" w14:textId="7C6D3E40" w:rsidR="001F7AED" w:rsidRDefault="00B55C67" w:rsidP="001F7AED">
      <w:pPr>
        <w:rPr>
          <w:rFonts w:ascii="Calibri" w:hAnsi="Calibri" w:cs="Calibri"/>
          <w:sz w:val="24"/>
          <w:szCs w:val="24"/>
          <w:highlight w:val="yellow"/>
        </w:rPr>
      </w:pPr>
      <w:r>
        <w:rPr>
          <w:rFonts w:ascii="ZWAdobeF" w:hAnsi="ZWAdobeF" w:cs="ZWAdobeF"/>
          <w:sz w:val="2"/>
          <w:szCs w:val="2"/>
        </w:rPr>
        <w:lastRenderedPageBreak/>
        <w:t>131B</w:t>
      </w:r>
      <w:r w:rsidR="002D1DC5">
        <w:rPr>
          <w:rFonts w:ascii="Calibri" w:hAnsi="Calibri" w:cs="Calibri"/>
          <w:sz w:val="24"/>
          <w:szCs w:val="24"/>
        </w:rPr>
        <w:t>S</w:t>
      </w:r>
      <w:r w:rsidR="001F7AED">
        <w:rPr>
          <w:rFonts w:ascii="Calibri" w:hAnsi="Calibri" w:cs="Calibri"/>
          <w:sz w:val="24"/>
          <w:szCs w:val="24"/>
        </w:rPr>
        <w:t>urvey respondents</w:t>
      </w:r>
      <w:r w:rsidR="001F7AED" w:rsidRPr="00290E68">
        <w:rPr>
          <w:rFonts w:ascii="Calibri" w:hAnsi="Calibri" w:cs="Calibri"/>
          <w:sz w:val="24"/>
          <w:szCs w:val="24"/>
        </w:rPr>
        <w:t xml:space="preserve"> were asked, </w:t>
      </w:r>
      <w:r w:rsidR="001F7AED">
        <w:rPr>
          <w:rFonts w:ascii="Calibri" w:hAnsi="Calibri" w:cs="Calibri"/>
          <w:sz w:val="24"/>
          <w:szCs w:val="24"/>
        </w:rPr>
        <w:t>“</w:t>
      </w:r>
      <w:r w:rsidR="001F7AED" w:rsidRPr="001F7AED">
        <w:rPr>
          <w:rFonts w:ascii="Calibri" w:hAnsi="Calibri" w:cs="Calibri"/>
          <w:sz w:val="24"/>
          <w:szCs w:val="24"/>
        </w:rPr>
        <w:t>Which of the following negatively impact the use of accessible formats that are best formatted to meet students’ needs, as specified in their IEPs?</w:t>
      </w:r>
      <w:r w:rsidR="001F7AED">
        <w:rPr>
          <w:rFonts w:ascii="Calibri" w:hAnsi="Calibri" w:cs="Calibri"/>
          <w:sz w:val="24"/>
          <w:szCs w:val="24"/>
        </w:rPr>
        <w:t>”</w:t>
      </w:r>
      <w:r>
        <w:rPr>
          <w:rFonts w:ascii="ZWAdobeF" w:hAnsi="ZWAdobeF" w:cs="ZWAdobeF"/>
          <w:sz w:val="2"/>
          <w:szCs w:val="2"/>
        </w:rPr>
        <w:t>36F</w:t>
      </w:r>
      <w:r w:rsidR="00BB4D0B">
        <w:rPr>
          <w:rStyle w:val="FootnoteReference"/>
          <w:rFonts w:ascii="Calibri" w:hAnsi="Calibri" w:cs="Calibri"/>
          <w:sz w:val="24"/>
          <w:szCs w:val="24"/>
        </w:rPr>
        <w:footnoteReference w:id="38"/>
      </w:r>
      <w:r w:rsidR="00BB4D0B">
        <w:rPr>
          <w:rFonts w:ascii="Calibri" w:hAnsi="Calibri" w:cs="Calibri"/>
          <w:sz w:val="24"/>
          <w:szCs w:val="24"/>
        </w:rPr>
        <w:t xml:space="preserve"> </w:t>
      </w:r>
      <w:r w:rsidR="00B90EB8">
        <w:rPr>
          <w:rFonts w:ascii="Calibri" w:hAnsi="Calibri" w:cs="Calibri"/>
          <w:sz w:val="24"/>
          <w:szCs w:val="24"/>
        </w:rPr>
        <w:t>They</w:t>
      </w:r>
      <w:r w:rsidR="002D1DC5">
        <w:rPr>
          <w:rFonts w:ascii="Calibri" w:hAnsi="Calibri" w:cs="Calibri"/>
          <w:sz w:val="24"/>
          <w:szCs w:val="24"/>
        </w:rPr>
        <w:t xml:space="preserve"> were able to select multiple factors that negatively impact the use of accessible formats (all of which are presented in </w:t>
      </w:r>
      <w:r w:rsidR="001F7AED" w:rsidRPr="008B019A">
        <w:rPr>
          <w:rFonts w:ascii="Calibri" w:hAnsi="Calibri" w:cs="Calibri"/>
          <w:sz w:val="24"/>
          <w:szCs w:val="24"/>
        </w:rPr>
        <w:t xml:space="preserve">Figure </w:t>
      </w:r>
      <w:r w:rsidR="00293EAC">
        <w:rPr>
          <w:rFonts w:ascii="Calibri" w:hAnsi="Calibri" w:cs="Calibri"/>
          <w:sz w:val="24"/>
          <w:szCs w:val="24"/>
        </w:rPr>
        <w:t>1</w:t>
      </w:r>
      <w:r w:rsidR="00EE4A78">
        <w:rPr>
          <w:rFonts w:ascii="Calibri" w:hAnsi="Calibri" w:cs="Calibri"/>
          <w:sz w:val="24"/>
          <w:szCs w:val="24"/>
        </w:rPr>
        <w:t>3</w:t>
      </w:r>
      <w:r w:rsidR="002D1DC5">
        <w:rPr>
          <w:rFonts w:ascii="Calibri" w:hAnsi="Calibri" w:cs="Calibri"/>
          <w:sz w:val="24"/>
          <w:szCs w:val="24"/>
        </w:rPr>
        <w:t>).</w:t>
      </w:r>
      <w:r w:rsidR="00BF5C3A">
        <w:rPr>
          <w:rFonts w:ascii="Calibri" w:hAnsi="Calibri" w:cs="Calibri"/>
          <w:sz w:val="24"/>
          <w:szCs w:val="24"/>
        </w:rPr>
        <w:t xml:space="preserve"> </w:t>
      </w:r>
      <w:r w:rsidR="002D1DC5">
        <w:rPr>
          <w:rFonts w:ascii="Calibri" w:hAnsi="Calibri" w:cs="Calibri"/>
          <w:sz w:val="24"/>
          <w:szCs w:val="24"/>
        </w:rPr>
        <w:t>O</w:t>
      </w:r>
      <w:r w:rsidR="00BF5C3A">
        <w:rPr>
          <w:rFonts w:ascii="Calibri" w:hAnsi="Calibri" w:cs="Calibri"/>
          <w:sz w:val="24"/>
          <w:szCs w:val="24"/>
        </w:rPr>
        <w:t xml:space="preserve">ver half of all respondents (n=222) identified four </w:t>
      </w:r>
      <w:r w:rsidR="003E61F4" w:rsidRPr="008B019A">
        <w:rPr>
          <w:rFonts w:ascii="Calibri" w:hAnsi="Calibri" w:cs="Calibri"/>
          <w:sz w:val="24"/>
          <w:szCs w:val="24"/>
        </w:rPr>
        <w:t>factor</w:t>
      </w:r>
      <w:r w:rsidR="00BF5C3A">
        <w:rPr>
          <w:rFonts w:ascii="Calibri" w:hAnsi="Calibri" w:cs="Calibri"/>
          <w:sz w:val="24"/>
          <w:szCs w:val="24"/>
        </w:rPr>
        <w:t>s</w:t>
      </w:r>
      <w:r w:rsidR="003E61F4" w:rsidRPr="008B019A">
        <w:rPr>
          <w:rFonts w:ascii="Calibri" w:hAnsi="Calibri" w:cs="Calibri"/>
          <w:sz w:val="24"/>
          <w:szCs w:val="24"/>
        </w:rPr>
        <w:t xml:space="preserve"> that negatively impact the use of accessible formats</w:t>
      </w:r>
      <w:r w:rsidR="00BF5C3A">
        <w:rPr>
          <w:rFonts w:ascii="Calibri" w:hAnsi="Calibri" w:cs="Calibri"/>
          <w:sz w:val="24"/>
          <w:szCs w:val="24"/>
        </w:rPr>
        <w:t>:</w:t>
      </w:r>
      <w:r w:rsidR="003E61F4" w:rsidRPr="008B019A">
        <w:rPr>
          <w:rFonts w:ascii="Calibri" w:hAnsi="Calibri" w:cs="Calibri"/>
          <w:sz w:val="24"/>
          <w:szCs w:val="24"/>
        </w:rPr>
        <w:t xml:space="preserve"> “</w:t>
      </w:r>
      <w:r w:rsidR="001839BB" w:rsidRPr="008B019A">
        <w:rPr>
          <w:rFonts w:ascii="Calibri" w:hAnsi="Calibri" w:cs="Calibri"/>
          <w:sz w:val="24"/>
          <w:szCs w:val="24"/>
        </w:rPr>
        <w:t>Lack of</w:t>
      </w:r>
      <w:r w:rsidR="001839BB" w:rsidRPr="001839BB">
        <w:rPr>
          <w:rFonts w:ascii="Calibri" w:hAnsi="Calibri" w:cs="Calibri"/>
          <w:sz w:val="24"/>
          <w:szCs w:val="24"/>
        </w:rPr>
        <w:t xml:space="preserve"> instructional support for students to effectively use the accessible formats</w:t>
      </w:r>
      <w:r w:rsidR="001839BB">
        <w:rPr>
          <w:rFonts w:ascii="Calibri" w:hAnsi="Calibri" w:cs="Calibri"/>
          <w:sz w:val="24"/>
          <w:szCs w:val="24"/>
        </w:rPr>
        <w:t>” (62%)</w:t>
      </w:r>
      <w:r w:rsidR="00BF5C3A">
        <w:rPr>
          <w:rFonts w:ascii="Calibri" w:hAnsi="Calibri" w:cs="Calibri"/>
          <w:sz w:val="24"/>
          <w:szCs w:val="24"/>
        </w:rPr>
        <w:t>,</w:t>
      </w:r>
      <w:r w:rsidR="00554CAF">
        <w:rPr>
          <w:rFonts w:ascii="Calibri" w:hAnsi="Calibri" w:cs="Calibri"/>
          <w:sz w:val="24"/>
          <w:szCs w:val="24"/>
        </w:rPr>
        <w:t xml:space="preserve"> </w:t>
      </w:r>
      <w:r w:rsidR="001839BB">
        <w:rPr>
          <w:rFonts w:ascii="Calibri" w:hAnsi="Calibri" w:cs="Calibri"/>
          <w:sz w:val="24"/>
          <w:szCs w:val="24"/>
        </w:rPr>
        <w:t>“</w:t>
      </w:r>
      <w:r w:rsidR="001839BB" w:rsidRPr="001839BB">
        <w:rPr>
          <w:rFonts w:ascii="Calibri" w:hAnsi="Calibri" w:cs="Calibri"/>
          <w:sz w:val="24"/>
          <w:szCs w:val="24"/>
        </w:rPr>
        <w:t>Pressure on teachers to use most readily-available/least expensive format</w:t>
      </w:r>
      <w:r w:rsidR="001839BB">
        <w:rPr>
          <w:rFonts w:ascii="Calibri" w:hAnsi="Calibri" w:cs="Calibri"/>
          <w:sz w:val="24"/>
          <w:szCs w:val="24"/>
        </w:rPr>
        <w:t>”</w:t>
      </w:r>
      <w:r w:rsidR="00BF5C3A">
        <w:rPr>
          <w:rFonts w:ascii="Calibri" w:hAnsi="Calibri" w:cs="Calibri"/>
          <w:sz w:val="24"/>
          <w:szCs w:val="24"/>
        </w:rPr>
        <w:t xml:space="preserve"> (55%),</w:t>
      </w:r>
      <w:r w:rsidR="001839BB">
        <w:rPr>
          <w:rFonts w:ascii="Calibri" w:hAnsi="Calibri" w:cs="Calibri"/>
          <w:sz w:val="24"/>
          <w:szCs w:val="24"/>
        </w:rPr>
        <w:t xml:space="preserve"> “</w:t>
      </w:r>
      <w:r w:rsidR="001839BB" w:rsidRPr="001839BB">
        <w:rPr>
          <w:rFonts w:ascii="Calibri" w:hAnsi="Calibri" w:cs="Calibri"/>
          <w:sz w:val="24"/>
          <w:szCs w:val="24"/>
        </w:rPr>
        <w:t>Lack of availability of assistive technology (AT), such as a refreshable braille device</w:t>
      </w:r>
      <w:r w:rsidR="001839BB">
        <w:rPr>
          <w:rFonts w:ascii="Calibri" w:hAnsi="Calibri" w:cs="Calibri"/>
          <w:sz w:val="24"/>
          <w:szCs w:val="24"/>
        </w:rPr>
        <w:t>”</w:t>
      </w:r>
      <w:r w:rsidR="00BF5C3A">
        <w:rPr>
          <w:rFonts w:ascii="Calibri" w:hAnsi="Calibri" w:cs="Calibri"/>
          <w:sz w:val="24"/>
          <w:szCs w:val="24"/>
        </w:rPr>
        <w:t xml:space="preserve"> (54%),</w:t>
      </w:r>
      <w:r w:rsidR="001839BB">
        <w:rPr>
          <w:rFonts w:ascii="Calibri" w:hAnsi="Calibri" w:cs="Calibri"/>
          <w:sz w:val="24"/>
          <w:szCs w:val="24"/>
        </w:rPr>
        <w:t xml:space="preserve"> and “</w:t>
      </w:r>
      <w:r w:rsidR="001839BB" w:rsidRPr="001839BB">
        <w:rPr>
          <w:rFonts w:ascii="Calibri" w:hAnsi="Calibri" w:cs="Calibri"/>
          <w:sz w:val="24"/>
          <w:szCs w:val="24"/>
        </w:rPr>
        <w:t>Some accessible formats can be cumbersome when using and transporting</w:t>
      </w:r>
      <w:r w:rsidR="001839BB">
        <w:rPr>
          <w:rFonts w:ascii="Calibri" w:hAnsi="Calibri" w:cs="Calibri"/>
          <w:sz w:val="24"/>
          <w:szCs w:val="24"/>
        </w:rPr>
        <w:t>”</w:t>
      </w:r>
      <w:r w:rsidR="00BF5C3A">
        <w:rPr>
          <w:rFonts w:ascii="Calibri" w:hAnsi="Calibri" w:cs="Calibri"/>
          <w:sz w:val="24"/>
          <w:szCs w:val="24"/>
        </w:rPr>
        <w:t xml:space="preserve"> (52%).</w:t>
      </w:r>
      <w:r w:rsidR="001839BB">
        <w:rPr>
          <w:rFonts w:ascii="Calibri" w:hAnsi="Calibri" w:cs="Calibri"/>
          <w:sz w:val="24"/>
          <w:szCs w:val="24"/>
        </w:rPr>
        <w:t xml:space="preserve"> Just under half of respondents (49%) endorsed “</w:t>
      </w:r>
      <w:r w:rsidR="001839BB" w:rsidRPr="001839BB">
        <w:rPr>
          <w:rFonts w:ascii="Calibri" w:hAnsi="Calibri" w:cs="Calibri"/>
          <w:sz w:val="24"/>
          <w:szCs w:val="24"/>
        </w:rPr>
        <w:t xml:space="preserve">Use of </w:t>
      </w:r>
      <w:r w:rsidR="0054413D">
        <w:rPr>
          <w:rFonts w:ascii="Calibri" w:hAnsi="Calibri" w:cs="Calibri"/>
          <w:sz w:val="24"/>
          <w:szCs w:val="24"/>
        </w:rPr>
        <w:t>‘</w:t>
      </w:r>
      <w:r w:rsidR="001839BB" w:rsidRPr="001839BB">
        <w:rPr>
          <w:rFonts w:ascii="Calibri" w:hAnsi="Calibri" w:cs="Calibri"/>
          <w:sz w:val="24"/>
          <w:szCs w:val="24"/>
        </w:rPr>
        <w:t>backup</w:t>
      </w:r>
      <w:r w:rsidR="0054413D">
        <w:rPr>
          <w:rFonts w:ascii="Calibri" w:hAnsi="Calibri" w:cs="Calibri"/>
          <w:sz w:val="24"/>
          <w:szCs w:val="24"/>
        </w:rPr>
        <w:t>’</w:t>
      </w:r>
      <w:r w:rsidR="001839BB" w:rsidRPr="001839BB">
        <w:rPr>
          <w:rFonts w:ascii="Calibri" w:hAnsi="Calibri" w:cs="Calibri"/>
          <w:sz w:val="24"/>
          <w:szCs w:val="24"/>
        </w:rPr>
        <w:t xml:space="preserve"> materials as students wait for appropriate accessible formats</w:t>
      </w:r>
      <w:r w:rsidR="001839BB">
        <w:rPr>
          <w:rFonts w:ascii="Calibri" w:hAnsi="Calibri" w:cs="Calibri"/>
          <w:sz w:val="24"/>
          <w:szCs w:val="24"/>
        </w:rPr>
        <w:t>” and “</w:t>
      </w:r>
      <w:r w:rsidR="001839BB" w:rsidRPr="001839BB">
        <w:rPr>
          <w:rFonts w:ascii="Calibri" w:hAnsi="Calibri" w:cs="Calibri"/>
          <w:sz w:val="24"/>
          <w:szCs w:val="24"/>
        </w:rPr>
        <w:t>Students do not know how to use some accessible formats</w:t>
      </w:r>
      <w:r w:rsidR="001839BB">
        <w:rPr>
          <w:rFonts w:ascii="Calibri" w:hAnsi="Calibri" w:cs="Calibri"/>
          <w:sz w:val="24"/>
          <w:szCs w:val="24"/>
        </w:rPr>
        <w:t xml:space="preserve">.” The two items endorsed </w:t>
      </w:r>
      <w:r w:rsidR="00BF5C3A">
        <w:rPr>
          <w:rFonts w:ascii="Calibri" w:hAnsi="Calibri" w:cs="Calibri"/>
          <w:sz w:val="24"/>
          <w:szCs w:val="24"/>
        </w:rPr>
        <w:t xml:space="preserve">the </w:t>
      </w:r>
      <w:r w:rsidR="001839BB">
        <w:rPr>
          <w:rFonts w:ascii="Calibri" w:hAnsi="Calibri" w:cs="Calibri"/>
          <w:sz w:val="24"/>
          <w:szCs w:val="24"/>
        </w:rPr>
        <w:t>least were “</w:t>
      </w:r>
      <w:r w:rsidR="001839BB" w:rsidRPr="001839BB">
        <w:rPr>
          <w:rFonts w:ascii="Calibri" w:hAnsi="Calibri" w:cs="Calibri"/>
          <w:sz w:val="24"/>
          <w:szCs w:val="24"/>
        </w:rPr>
        <w:t>Accessible formats that are available but of poor quality</w:t>
      </w:r>
      <w:r w:rsidR="001839BB">
        <w:rPr>
          <w:rFonts w:ascii="Calibri" w:hAnsi="Calibri" w:cs="Calibri"/>
          <w:sz w:val="24"/>
          <w:szCs w:val="24"/>
        </w:rPr>
        <w:t>” and “</w:t>
      </w:r>
      <w:r w:rsidR="001839BB" w:rsidRPr="001839BB">
        <w:rPr>
          <w:rFonts w:ascii="Calibri" w:hAnsi="Calibri" w:cs="Calibri"/>
          <w:sz w:val="24"/>
          <w:szCs w:val="24"/>
        </w:rPr>
        <w:t>Stigma associated with using accessible formats</w:t>
      </w:r>
      <w:r w:rsidR="001839BB">
        <w:rPr>
          <w:rFonts w:ascii="Calibri" w:hAnsi="Calibri" w:cs="Calibri"/>
          <w:sz w:val="24"/>
          <w:szCs w:val="24"/>
        </w:rPr>
        <w:t xml:space="preserve">” (endorsed by 44% and 38% of respondents, respectively). </w:t>
      </w:r>
    </w:p>
    <w:p w14:paraId="11760055" w14:textId="77777777" w:rsidR="003049DE" w:rsidRPr="003049DE" w:rsidRDefault="003049DE" w:rsidP="001F7AED">
      <w:pPr>
        <w:rPr>
          <w:rFonts w:ascii="Calibri" w:hAnsi="Calibri" w:cs="Calibri"/>
          <w:sz w:val="24"/>
          <w:szCs w:val="24"/>
          <w:highlight w:val="yellow"/>
        </w:rPr>
      </w:pPr>
    </w:p>
    <w:p w14:paraId="633E9B20" w14:textId="05FA1118" w:rsidR="001F7AED" w:rsidRDefault="001F7AED" w:rsidP="004946C3">
      <w:pPr>
        <w:pStyle w:val="Heading4"/>
      </w:pPr>
      <w:bookmarkStart w:id="35" w:name="_Toc222904003"/>
      <w:r w:rsidRPr="005919AC">
        <w:t xml:space="preserve">Figure </w:t>
      </w:r>
      <w:r w:rsidR="00293EAC">
        <w:t>1</w:t>
      </w:r>
      <w:r w:rsidR="00EE4A78">
        <w:t>3</w:t>
      </w:r>
      <w:r w:rsidRPr="005919AC">
        <w:t xml:space="preserve">. </w:t>
      </w:r>
      <w:r>
        <w:t>Factors Negatively Impacting Use of Accessible Formats</w:t>
      </w:r>
      <w:r w:rsidR="00B55C67">
        <w:rPr>
          <w:rFonts w:ascii="ZWAdobeF" w:hAnsi="ZWAdobeF" w:cs="ZWAdobeF"/>
          <w:i w:val="0"/>
          <w:color w:val="auto"/>
          <w:sz w:val="2"/>
          <w:szCs w:val="2"/>
        </w:rPr>
        <w:t>37F</w:t>
      </w:r>
      <w:r w:rsidRPr="005919AC">
        <w:rPr>
          <w:rStyle w:val="FootnoteReference"/>
          <w:rFonts w:cs="Calibri"/>
          <w:smallCaps/>
          <w:color w:val="44546A" w:themeColor="text2"/>
        </w:rPr>
        <w:footnoteReference w:id="39"/>
      </w:r>
      <w:bookmarkEnd w:id="35"/>
      <w:r>
        <w:t xml:space="preserve"> </w:t>
      </w:r>
    </w:p>
    <w:p w14:paraId="5DBB0FEE" w14:textId="0D6FEA2E" w:rsidR="001F7AED" w:rsidRPr="00293EAC" w:rsidRDefault="008B27DE" w:rsidP="00293EAC">
      <w:pPr>
        <w:jc w:val="center"/>
        <w:rPr>
          <w:color w:val="000000" w:themeColor="text1"/>
        </w:rPr>
      </w:pPr>
      <w:r>
        <w:rPr>
          <w:rFonts w:ascii="Times New Roman" w:hAnsi="Times New Roman" w:cs="Times New Roman"/>
          <w:noProof/>
          <w:sz w:val="24"/>
          <w:szCs w:val="24"/>
        </w:rPr>
        <w:drawing>
          <wp:anchor distT="0" distB="0" distL="114300" distR="114300" simplePos="0" relativeHeight="251668480" behindDoc="0" locked="0" layoutInCell="1" allowOverlap="1" wp14:anchorId="5ACF5B59" wp14:editId="3C5FA0A8">
            <wp:simplePos x="0" y="0"/>
            <wp:positionH relativeFrom="column">
              <wp:posOffset>34290</wp:posOffset>
            </wp:positionH>
            <wp:positionV relativeFrom="paragraph">
              <wp:posOffset>285115</wp:posOffset>
            </wp:positionV>
            <wp:extent cx="5861685" cy="3917950"/>
            <wp:effectExtent l="0" t="0" r="5715" b="6350"/>
            <wp:wrapTopAndBottom/>
            <wp:docPr id="2045040684" name="Chart 2045040684" descr="Figure 13 is a horizontal bar chart showing factors negatively impacting use of accessible formats (n = 222). Respondents identified lack of instructional support for students to effectively use accessible formats (62%), pressure on teachers to use the most readily available or least expensive format (55%), lack of availability of assistive technology such as refreshable braille devices (54%), accessible formats being cumbersome to use or transport (52%), use of “backup” materials while students wait for appropriate accessible formats (49%), students not knowing how to use some accessible formats (49%), accessible formats being available but of poor quality (44%), stigma associated with using accessible formats (38%), and other factors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V relativeFrom="margin">
              <wp14:pctHeight>0</wp14:pctHeight>
            </wp14:sizeRelV>
          </wp:anchor>
        </w:drawing>
      </w:r>
      <w:r w:rsidR="00B55C67">
        <w:rPr>
          <w:rFonts w:ascii="ZWAdobeF" w:hAnsi="ZWAdobeF" w:cs="ZWAdobeF"/>
          <w:sz w:val="2"/>
          <w:szCs w:val="2"/>
        </w:rPr>
        <w:t>132</w:t>
      </w:r>
      <w:proofErr w:type="gramStart"/>
      <w:r w:rsidR="00B55C67">
        <w:rPr>
          <w:rFonts w:ascii="ZWAdobeF" w:hAnsi="ZWAdobeF" w:cs="ZWAdobeF"/>
          <w:sz w:val="2"/>
          <w:szCs w:val="2"/>
        </w:rPr>
        <w:t>B</w:t>
      </w:r>
      <w:r w:rsidR="001F7AED" w:rsidRPr="003A63D1">
        <w:rPr>
          <w:color w:val="000000" w:themeColor="text1"/>
        </w:rPr>
        <w:t>(</w:t>
      </w:r>
      <w:proofErr w:type="gramEnd"/>
      <w:r w:rsidR="001F7AED" w:rsidRPr="003A63D1">
        <w:rPr>
          <w:i/>
          <w:iCs/>
          <w:color w:val="000000" w:themeColor="text1"/>
        </w:rPr>
        <w:t>n</w:t>
      </w:r>
      <w:r w:rsidR="001F7AED" w:rsidRPr="003A63D1">
        <w:rPr>
          <w:color w:val="000000" w:themeColor="text1"/>
        </w:rPr>
        <w:t xml:space="preserve"> = </w:t>
      </w:r>
      <w:r w:rsidR="003A63D1" w:rsidRPr="003A63D1">
        <w:rPr>
          <w:color w:val="000000" w:themeColor="text1"/>
        </w:rPr>
        <w:t>222</w:t>
      </w:r>
      <w:r w:rsidR="001F7AED" w:rsidRPr="003A63D1">
        <w:rPr>
          <w:color w:val="000000" w:themeColor="text1"/>
        </w:rPr>
        <w:t>)</w:t>
      </w:r>
    </w:p>
    <w:p w14:paraId="2BB8A173" w14:textId="01A40C13" w:rsidR="00B74117" w:rsidRDefault="00B55C67" w:rsidP="001F7AED">
      <w:pPr>
        <w:spacing w:after="0" w:line="276" w:lineRule="auto"/>
        <w:rPr>
          <w:rFonts w:cstheme="minorHAnsi"/>
          <w:sz w:val="24"/>
          <w:szCs w:val="24"/>
          <w:highlight w:val="yellow"/>
        </w:rPr>
      </w:pPr>
      <w:r>
        <w:rPr>
          <w:rFonts w:ascii="ZWAdobeF" w:hAnsi="ZWAdobeF" w:cs="ZWAdobeF"/>
          <w:sz w:val="2"/>
          <w:szCs w:val="2"/>
        </w:rPr>
        <w:lastRenderedPageBreak/>
        <w:t>133B</w:t>
      </w:r>
      <w:r w:rsidR="001F7AED" w:rsidRPr="00D5447E">
        <w:rPr>
          <w:rFonts w:cstheme="minorHAnsi"/>
          <w:sz w:val="24"/>
          <w:szCs w:val="24"/>
        </w:rPr>
        <w:t xml:space="preserve">When comparing the pattern of responses displayed in Figure </w:t>
      </w:r>
      <w:r w:rsidR="00293EAC">
        <w:rPr>
          <w:rFonts w:cstheme="minorHAnsi"/>
          <w:sz w:val="24"/>
          <w:szCs w:val="24"/>
        </w:rPr>
        <w:t>1</w:t>
      </w:r>
      <w:r w:rsidR="00EE4A78">
        <w:rPr>
          <w:rFonts w:cstheme="minorHAnsi"/>
          <w:sz w:val="24"/>
          <w:szCs w:val="24"/>
        </w:rPr>
        <w:t>3</w:t>
      </w:r>
      <w:r w:rsidR="001F7AED" w:rsidRPr="00D5447E">
        <w:rPr>
          <w:rFonts w:cstheme="minorHAnsi"/>
          <w:sz w:val="24"/>
          <w:szCs w:val="24"/>
        </w:rPr>
        <w:t xml:space="preserve"> across the three case study states as well as the national survey, </w:t>
      </w:r>
      <w:r w:rsidR="001F7AED" w:rsidRPr="002712E4">
        <w:rPr>
          <w:rFonts w:cstheme="minorHAnsi"/>
          <w:sz w:val="24"/>
          <w:szCs w:val="24"/>
        </w:rPr>
        <w:t xml:space="preserve">there </w:t>
      </w:r>
      <w:r w:rsidR="00B74117" w:rsidRPr="002712E4">
        <w:rPr>
          <w:rFonts w:cstheme="minorHAnsi"/>
          <w:sz w:val="24"/>
          <w:szCs w:val="24"/>
        </w:rPr>
        <w:t>were</w:t>
      </w:r>
      <w:r w:rsidR="001F7AED" w:rsidRPr="002712E4">
        <w:rPr>
          <w:rFonts w:cstheme="minorHAnsi"/>
          <w:i/>
          <w:iCs/>
          <w:sz w:val="24"/>
          <w:szCs w:val="24"/>
        </w:rPr>
        <w:t xml:space="preserve"> </w:t>
      </w:r>
      <w:r w:rsidR="00B74117" w:rsidRPr="002712E4">
        <w:rPr>
          <w:rFonts w:cstheme="minorHAnsi"/>
          <w:i/>
          <w:iCs/>
          <w:color w:val="DC2328"/>
          <w:sz w:val="24"/>
          <w:szCs w:val="24"/>
        </w:rPr>
        <w:t>two</w:t>
      </w:r>
      <w:r w:rsidR="001F7AED" w:rsidRPr="002712E4">
        <w:rPr>
          <w:rFonts w:cstheme="minorHAnsi"/>
          <w:i/>
          <w:iCs/>
          <w:color w:val="DC2328"/>
          <w:sz w:val="24"/>
          <w:szCs w:val="24"/>
        </w:rPr>
        <w:t xml:space="preserve"> statistically significant finding</w:t>
      </w:r>
      <w:r w:rsidR="00B74117" w:rsidRPr="002712E4">
        <w:rPr>
          <w:rFonts w:cstheme="minorHAnsi"/>
          <w:i/>
          <w:iCs/>
          <w:color w:val="DC2328"/>
          <w:sz w:val="24"/>
          <w:szCs w:val="24"/>
        </w:rPr>
        <w:t>s</w:t>
      </w:r>
      <w:r w:rsidR="001F7AED" w:rsidRPr="002712E4">
        <w:rPr>
          <w:rFonts w:cstheme="minorHAnsi"/>
          <w:i/>
          <w:iCs/>
          <w:color w:val="DC2328"/>
          <w:sz w:val="24"/>
          <w:szCs w:val="24"/>
        </w:rPr>
        <w:t>.</w:t>
      </w:r>
      <w:r w:rsidR="001F7AED" w:rsidRPr="00D5447E">
        <w:rPr>
          <w:rFonts w:cstheme="minorHAnsi"/>
          <w:sz w:val="24"/>
          <w:szCs w:val="24"/>
        </w:rPr>
        <w:t xml:space="preserve"> Specifically, respondents in Ohio were more likely than other respondents to endorse “</w:t>
      </w:r>
      <w:r w:rsidR="00B74117" w:rsidRPr="00D5447E">
        <w:rPr>
          <w:rFonts w:cstheme="minorHAnsi"/>
          <w:sz w:val="24"/>
          <w:szCs w:val="24"/>
        </w:rPr>
        <w:t>Lack of availability of assistive technology (AT), such as a refreshable braille device</w:t>
      </w:r>
      <w:r w:rsidR="001F7AED" w:rsidRPr="00D5447E">
        <w:rPr>
          <w:rFonts w:cstheme="minorHAnsi"/>
          <w:sz w:val="24"/>
          <w:szCs w:val="24"/>
        </w:rPr>
        <w:t xml:space="preserve">” as one </w:t>
      </w:r>
      <w:r w:rsidR="00B74117" w:rsidRPr="00D5447E">
        <w:rPr>
          <w:rFonts w:cstheme="minorHAnsi"/>
          <w:sz w:val="24"/>
          <w:szCs w:val="24"/>
        </w:rPr>
        <w:t>factor that negatively impacts use of accessible formats</w:t>
      </w:r>
      <w:r w:rsidR="001F7AED" w:rsidRPr="00D5447E">
        <w:rPr>
          <w:rFonts w:cstheme="minorHAnsi"/>
          <w:sz w:val="24"/>
          <w:szCs w:val="24"/>
        </w:rPr>
        <w:t>, (</w:t>
      </w:r>
      <w:r w:rsidR="001F7AED" w:rsidRPr="00D5447E">
        <w:rPr>
          <w:rFonts w:cstheme="minorHAnsi"/>
          <w:sz w:val="24"/>
          <w:szCs w:val="24"/>
        </w:rPr>
        <w:sym w:font="Symbol" w:char="F063"/>
      </w:r>
      <w:r w:rsidR="001F7AED" w:rsidRPr="00D5447E">
        <w:rPr>
          <w:rFonts w:cstheme="minorHAnsi"/>
          <w:sz w:val="24"/>
          <w:szCs w:val="24"/>
          <w:vertAlign w:val="superscript"/>
        </w:rPr>
        <w:t>2</w:t>
      </w:r>
      <w:r w:rsidR="001F7AED" w:rsidRPr="00D5447E">
        <w:rPr>
          <w:rFonts w:cstheme="minorHAnsi"/>
          <w:sz w:val="24"/>
          <w:szCs w:val="24"/>
        </w:rPr>
        <w:t xml:space="preserve">(3) = </w:t>
      </w:r>
      <w:r w:rsidR="00B74117" w:rsidRPr="00D5447E">
        <w:rPr>
          <w:rFonts w:cstheme="minorHAnsi"/>
          <w:sz w:val="24"/>
          <w:szCs w:val="24"/>
        </w:rPr>
        <w:t>1</w:t>
      </w:r>
      <w:r w:rsidR="00EE3CC6">
        <w:rPr>
          <w:rFonts w:cstheme="minorHAnsi"/>
          <w:sz w:val="24"/>
          <w:szCs w:val="24"/>
        </w:rPr>
        <w:t>5.56</w:t>
      </w:r>
      <w:r w:rsidR="001F7AED" w:rsidRPr="00D5447E">
        <w:rPr>
          <w:rFonts w:cstheme="minorHAnsi"/>
          <w:sz w:val="24"/>
          <w:szCs w:val="24"/>
        </w:rPr>
        <w:t xml:space="preserve">, </w:t>
      </w:r>
      <w:r w:rsidR="001F7AED" w:rsidRPr="00D5447E">
        <w:rPr>
          <w:rFonts w:cstheme="minorHAnsi"/>
          <w:i/>
          <w:iCs/>
          <w:sz w:val="24"/>
          <w:szCs w:val="24"/>
        </w:rPr>
        <w:t>p</w:t>
      </w:r>
      <w:r w:rsidR="001F7AED" w:rsidRPr="00D5447E">
        <w:rPr>
          <w:rFonts w:cstheme="minorHAnsi"/>
          <w:sz w:val="24"/>
          <w:szCs w:val="24"/>
        </w:rPr>
        <w:t xml:space="preserve"> &lt; .</w:t>
      </w:r>
      <w:r w:rsidR="001F7AED" w:rsidRPr="00B74117">
        <w:rPr>
          <w:rFonts w:cstheme="minorHAnsi"/>
          <w:sz w:val="24"/>
          <w:szCs w:val="24"/>
        </w:rPr>
        <w:t>0</w:t>
      </w:r>
      <w:r w:rsidR="00B74117" w:rsidRPr="00B74117">
        <w:rPr>
          <w:rFonts w:cstheme="minorHAnsi"/>
          <w:sz w:val="24"/>
          <w:szCs w:val="24"/>
        </w:rPr>
        <w:t>5</w:t>
      </w:r>
      <w:r w:rsidR="001F7AED" w:rsidRPr="00B74117">
        <w:rPr>
          <w:rFonts w:cstheme="minorHAnsi"/>
          <w:sz w:val="24"/>
          <w:szCs w:val="24"/>
        </w:rPr>
        <w:t>, standardized residual = 2.</w:t>
      </w:r>
      <w:r w:rsidR="00EE3CC6">
        <w:rPr>
          <w:rFonts w:cstheme="minorHAnsi"/>
          <w:sz w:val="24"/>
          <w:szCs w:val="24"/>
        </w:rPr>
        <w:t>0</w:t>
      </w:r>
      <w:r w:rsidR="001F7AED" w:rsidRPr="00B74117">
        <w:rPr>
          <w:rFonts w:cstheme="minorHAnsi"/>
          <w:sz w:val="24"/>
          <w:szCs w:val="24"/>
        </w:rPr>
        <w:t xml:space="preserve">; see Figure </w:t>
      </w:r>
      <w:r w:rsidR="00293EAC">
        <w:rPr>
          <w:rFonts w:cstheme="minorHAnsi"/>
          <w:sz w:val="24"/>
          <w:szCs w:val="24"/>
        </w:rPr>
        <w:t>1</w:t>
      </w:r>
      <w:r w:rsidR="00EE4A78">
        <w:rPr>
          <w:rFonts w:cstheme="minorHAnsi"/>
          <w:sz w:val="24"/>
          <w:szCs w:val="24"/>
        </w:rPr>
        <w:t>4</w:t>
      </w:r>
      <w:r w:rsidR="001F7AED" w:rsidRPr="00B74117">
        <w:rPr>
          <w:rFonts w:cstheme="minorHAnsi"/>
          <w:sz w:val="24"/>
          <w:szCs w:val="24"/>
        </w:rPr>
        <w:t xml:space="preserve">). </w:t>
      </w:r>
      <w:r w:rsidR="00B74117">
        <w:rPr>
          <w:rFonts w:cstheme="minorHAnsi"/>
          <w:sz w:val="24"/>
          <w:szCs w:val="24"/>
        </w:rPr>
        <w:t>Additionally, respondents in Utah were less likely than other respondents to endorse “</w:t>
      </w:r>
      <w:r w:rsidR="00B74117" w:rsidRPr="00B74117">
        <w:rPr>
          <w:rFonts w:cstheme="minorHAnsi"/>
          <w:sz w:val="24"/>
          <w:szCs w:val="24"/>
        </w:rPr>
        <w:t>Lack of instructional support for students to effectively use the accessible formats</w:t>
      </w:r>
      <w:r w:rsidR="00B74117">
        <w:rPr>
          <w:rFonts w:cstheme="minorHAnsi"/>
          <w:sz w:val="24"/>
          <w:szCs w:val="24"/>
        </w:rPr>
        <w:t>”</w:t>
      </w:r>
      <w:r w:rsidR="00496054">
        <w:rPr>
          <w:rFonts w:cstheme="minorHAnsi"/>
          <w:sz w:val="24"/>
          <w:szCs w:val="24"/>
        </w:rPr>
        <w:t xml:space="preserve"> </w:t>
      </w:r>
      <w:r w:rsidR="00EE3CC6" w:rsidRPr="00D5447E">
        <w:rPr>
          <w:rFonts w:cstheme="minorHAnsi"/>
          <w:sz w:val="24"/>
          <w:szCs w:val="24"/>
        </w:rPr>
        <w:t>(</w:t>
      </w:r>
      <w:r w:rsidR="00EE3CC6" w:rsidRPr="00D5447E">
        <w:rPr>
          <w:rFonts w:cstheme="minorHAnsi"/>
          <w:sz w:val="24"/>
          <w:szCs w:val="24"/>
        </w:rPr>
        <w:sym w:font="Symbol" w:char="F063"/>
      </w:r>
      <w:r w:rsidR="00EE3CC6" w:rsidRPr="00D5447E">
        <w:rPr>
          <w:rFonts w:cstheme="minorHAnsi"/>
          <w:sz w:val="24"/>
          <w:szCs w:val="24"/>
          <w:vertAlign w:val="superscript"/>
        </w:rPr>
        <w:t>2</w:t>
      </w:r>
      <w:r w:rsidR="00EE3CC6" w:rsidRPr="00D5447E">
        <w:rPr>
          <w:rFonts w:cstheme="minorHAnsi"/>
          <w:sz w:val="24"/>
          <w:szCs w:val="24"/>
        </w:rPr>
        <w:t xml:space="preserve">(3) = </w:t>
      </w:r>
      <w:r w:rsidR="00EE3CC6">
        <w:rPr>
          <w:rFonts w:cstheme="minorHAnsi"/>
          <w:sz w:val="24"/>
          <w:szCs w:val="24"/>
        </w:rPr>
        <w:t>9.03</w:t>
      </w:r>
      <w:r w:rsidR="00EE3CC6" w:rsidRPr="00D5447E">
        <w:rPr>
          <w:rFonts w:cstheme="minorHAnsi"/>
          <w:sz w:val="24"/>
          <w:szCs w:val="24"/>
        </w:rPr>
        <w:t xml:space="preserve">, </w:t>
      </w:r>
      <w:r w:rsidR="00EE3CC6" w:rsidRPr="00D5447E">
        <w:rPr>
          <w:rFonts w:cstheme="minorHAnsi"/>
          <w:i/>
          <w:iCs/>
          <w:sz w:val="24"/>
          <w:szCs w:val="24"/>
        </w:rPr>
        <w:t>p</w:t>
      </w:r>
      <w:r w:rsidR="00EE3CC6" w:rsidRPr="00D5447E">
        <w:rPr>
          <w:rFonts w:cstheme="minorHAnsi"/>
          <w:sz w:val="24"/>
          <w:szCs w:val="24"/>
        </w:rPr>
        <w:t xml:space="preserve"> &lt; .</w:t>
      </w:r>
      <w:r w:rsidR="00EE3CC6" w:rsidRPr="00B74117">
        <w:rPr>
          <w:rFonts w:cstheme="minorHAnsi"/>
          <w:sz w:val="24"/>
          <w:szCs w:val="24"/>
        </w:rPr>
        <w:t>05, standardized residual = 2.</w:t>
      </w:r>
      <w:r w:rsidR="00EE3CC6">
        <w:rPr>
          <w:rFonts w:cstheme="minorHAnsi"/>
          <w:sz w:val="24"/>
          <w:szCs w:val="24"/>
        </w:rPr>
        <w:t>0</w:t>
      </w:r>
      <w:r w:rsidR="000A2721">
        <w:rPr>
          <w:rFonts w:cstheme="minorHAnsi"/>
          <w:sz w:val="24"/>
          <w:szCs w:val="24"/>
        </w:rPr>
        <w:t xml:space="preserve">; </w:t>
      </w:r>
      <w:r w:rsidR="00B74117" w:rsidRPr="00B74117">
        <w:rPr>
          <w:rFonts w:cstheme="minorHAnsi"/>
          <w:sz w:val="24"/>
          <w:szCs w:val="24"/>
        </w:rPr>
        <w:t xml:space="preserve">see Figure </w:t>
      </w:r>
      <w:r w:rsidR="00293EAC">
        <w:rPr>
          <w:rFonts w:cstheme="minorHAnsi"/>
          <w:sz w:val="24"/>
          <w:szCs w:val="24"/>
        </w:rPr>
        <w:t>1</w:t>
      </w:r>
      <w:r w:rsidR="00EE4A78">
        <w:rPr>
          <w:rFonts w:cstheme="minorHAnsi"/>
          <w:sz w:val="24"/>
          <w:szCs w:val="24"/>
        </w:rPr>
        <w:t>4</w:t>
      </w:r>
      <w:r w:rsidR="00B74117" w:rsidRPr="00B74117">
        <w:rPr>
          <w:rFonts w:cstheme="minorHAnsi"/>
          <w:sz w:val="24"/>
          <w:szCs w:val="24"/>
        </w:rPr>
        <w:t>)</w:t>
      </w:r>
      <w:r w:rsidR="000A2721">
        <w:rPr>
          <w:rFonts w:cstheme="minorHAnsi"/>
          <w:sz w:val="24"/>
          <w:szCs w:val="24"/>
        </w:rPr>
        <w:t xml:space="preserve">. These findings suggest there may be different systems or structures that facilitate </w:t>
      </w:r>
      <w:r w:rsidR="00DA21C8">
        <w:rPr>
          <w:rFonts w:cstheme="minorHAnsi"/>
          <w:sz w:val="24"/>
          <w:szCs w:val="24"/>
        </w:rPr>
        <w:t>AT</w:t>
      </w:r>
      <w:r w:rsidR="000A2721">
        <w:rPr>
          <w:rFonts w:cstheme="minorHAnsi"/>
          <w:sz w:val="24"/>
          <w:szCs w:val="24"/>
        </w:rPr>
        <w:t xml:space="preserve"> access and instructional support for accessible formats in Ohio and Utah as compared to other states. </w:t>
      </w:r>
    </w:p>
    <w:p w14:paraId="4585390B" w14:textId="77777777" w:rsidR="001F7AED" w:rsidRPr="003E61F4" w:rsidRDefault="001F7AED" w:rsidP="001F7AED">
      <w:pPr>
        <w:spacing w:after="0" w:line="276" w:lineRule="auto"/>
        <w:rPr>
          <w:rFonts w:ascii="Times New Roman" w:hAnsi="Times New Roman" w:cs="Times New Roman"/>
          <w:sz w:val="24"/>
          <w:szCs w:val="24"/>
          <w:highlight w:val="yellow"/>
        </w:rPr>
      </w:pPr>
    </w:p>
    <w:p w14:paraId="22EA38A9" w14:textId="656E724D" w:rsidR="001F7AED" w:rsidRPr="000A2721" w:rsidRDefault="001F7AED" w:rsidP="004946C3">
      <w:pPr>
        <w:pStyle w:val="Heading4"/>
      </w:pPr>
      <w:bookmarkStart w:id="36" w:name="_Toc222904004"/>
      <w:r w:rsidRPr="000A2721">
        <w:t xml:space="preserve">Figure </w:t>
      </w:r>
      <w:r w:rsidR="00293EAC">
        <w:t>1</w:t>
      </w:r>
      <w:r w:rsidR="00EE4A78">
        <w:t>4</w:t>
      </w:r>
      <w:r w:rsidRPr="000A2721">
        <w:t xml:space="preserve">. </w:t>
      </w:r>
      <w:r w:rsidR="00B74117" w:rsidRPr="000A2721">
        <w:t>Factors Negatively Impact</w:t>
      </w:r>
      <w:r w:rsidR="000A2721">
        <w:t>ing</w:t>
      </w:r>
      <w:r w:rsidR="00B74117" w:rsidRPr="000A2721">
        <w:t xml:space="preserve"> Use of Accessible Formats</w:t>
      </w:r>
      <w:r w:rsidRPr="000A2721">
        <w:t>: Difference</w:t>
      </w:r>
      <w:r w:rsidR="00E05A9A">
        <w:t>s</w:t>
      </w:r>
      <w:r w:rsidRPr="000A2721">
        <w:t xml:space="preserve"> by Location</w:t>
      </w:r>
      <w:r w:rsidR="00B55C67">
        <w:rPr>
          <w:rFonts w:ascii="ZWAdobeF" w:hAnsi="ZWAdobeF" w:cs="ZWAdobeF"/>
          <w:i w:val="0"/>
          <w:color w:val="auto"/>
          <w:sz w:val="2"/>
          <w:szCs w:val="2"/>
        </w:rPr>
        <w:t>38F</w:t>
      </w:r>
      <w:r w:rsidRPr="000A2721">
        <w:rPr>
          <w:rStyle w:val="FootnoteReference"/>
          <w:rFonts w:cs="Calibri"/>
          <w:smallCaps/>
          <w:color w:val="44546A" w:themeColor="text2"/>
        </w:rPr>
        <w:footnoteReference w:id="40"/>
      </w:r>
      <w:bookmarkEnd w:id="36"/>
    </w:p>
    <w:p w14:paraId="3A6B1F52" w14:textId="40B52D9F" w:rsidR="001F7AED" w:rsidRPr="001E03CC" w:rsidRDefault="00B55C67" w:rsidP="001E03CC">
      <w:pPr>
        <w:jc w:val="center"/>
      </w:pPr>
      <w:r>
        <w:rPr>
          <w:rFonts w:ascii="ZWAdobeF" w:hAnsi="ZWAdobeF" w:cs="ZWAdobeF"/>
          <w:sz w:val="2"/>
          <w:szCs w:val="2"/>
        </w:rPr>
        <w:t>134</w:t>
      </w:r>
      <w:proofErr w:type="gramStart"/>
      <w:r>
        <w:rPr>
          <w:rFonts w:ascii="ZWAdobeF" w:hAnsi="ZWAdobeF" w:cs="ZWAdobeF"/>
          <w:sz w:val="2"/>
          <w:szCs w:val="2"/>
        </w:rPr>
        <w:t>B</w:t>
      </w:r>
      <w:r w:rsidR="001F7AED" w:rsidRPr="000A2721">
        <w:t>(</w:t>
      </w:r>
      <w:proofErr w:type="gramEnd"/>
      <w:r w:rsidR="001F7AED" w:rsidRPr="000A2721">
        <w:rPr>
          <w:i/>
          <w:iCs/>
        </w:rPr>
        <w:t>n</w:t>
      </w:r>
      <w:r w:rsidR="001F7AED" w:rsidRPr="000A2721">
        <w:t xml:space="preserve"> = </w:t>
      </w:r>
      <w:r w:rsidR="00B74117" w:rsidRPr="000A2721">
        <w:t>222</w:t>
      </w:r>
      <w:r w:rsidR="001F7AED" w:rsidRPr="000A2721">
        <w:t>)</w:t>
      </w:r>
    </w:p>
    <w:p w14:paraId="3A9D6E1F" w14:textId="5505204E" w:rsidR="001F7AED" w:rsidRDefault="00B55C67" w:rsidP="001F7AED">
      <w:pPr>
        <w:spacing w:after="0" w:line="276" w:lineRule="auto"/>
        <w:jc w:val="center"/>
        <w:rPr>
          <w:rFonts w:ascii="Times New Roman" w:hAnsi="Times New Roman" w:cs="Times New Roman"/>
          <w:sz w:val="24"/>
          <w:szCs w:val="24"/>
        </w:rPr>
      </w:pPr>
      <w:r>
        <w:rPr>
          <w:rFonts w:ascii="ZWAdobeF" w:hAnsi="ZWAdobeF" w:cs="ZWAdobeF"/>
          <w:sz w:val="2"/>
          <w:szCs w:val="2"/>
        </w:rPr>
        <w:t>135B</w:t>
      </w:r>
      <w:r w:rsidR="001F7AED">
        <w:rPr>
          <w:rFonts w:ascii="Times New Roman" w:hAnsi="Times New Roman" w:cs="Times New Roman"/>
          <w:b/>
          <w:noProof/>
          <w:color w:val="0070C0"/>
        </w:rPr>
        <w:drawing>
          <wp:inline distT="0" distB="0" distL="0" distR="0" wp14:anchorId="2294000A" wp14:editId="07418730">
            <wp:extent cx="6188075" cy="3867150"/>
            <wp:effectExtent l="0" t="0" r="3175" b="0"/>
            <wp:docPr id="1208052707" name="Chart 3" descr="Figure 14 is a grouped bar chart showing differences by location in factors negatively impacting use of accessible formats (n = 222). For lack of availability of assistive technology such as refreshable braille devices, 43% of national survey respondents (n = 75), 70% of Ohio respondents (n = 77), 55% of Oregon respondents (n = 40), and 37% of Utah respondents (n = 30) reported this factor. An asterisk indicates the Ohio responses were statistically significant. For lack of instructional support for students to effectively use accessible formats, 65% of national survey respondents, 70% of Ohio respondents, 58% of Oregon respondents, and 40% of Utah respondents reported this factor. An asterisk indicates the Utah responses were statistically significant."/>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525C19B9" w14:textId="77777777" w:rsidR="007D3806" w:rsidRDefault="007D3806" w:rsidP="001F7AED">
      <w:pPr>
        <w:spacing w:after="0" w:line="276" w:lineRule="auto"/>
        <w:rPr>
          <w:rFonts w:cstheme="minorHAnsi"/>
          <w:sz w:val="24"/>
          <w:szCs w:val="24"/>
        </w:rPr>
      </w:pPr>
    </w:p>
    <w:p w14:paraId="4496733A" w14:textId="1D6C0B95" w:rsidR="001F7AED" w:rsidRDefault="00B55C67" w:rsidP="001F7AED">
      <w:pPr>
        <w:spacing w:after="0" w:line="276" w:lineRule="auto"/>
        <w:rPr>
          <w:rFonts w:ascii="Times New Roman" w:hAnsi="Times New Roman" w:cs="Times New Roman"/>
          <w:sz w:val="24"/>
          <w:szCs w:val="24"/>
        </w:rPr>
      </w:pPr>
      <w:r>
        <w:rPr>
          <w:rFonts w:ascii="ZWAdobeF" w:hAnsi="ZWAdobeF" w:cs="ZWAdobeF"/>
          <w:sz w:val="2"/>
          <w:szCs w:val="2"/>
        </w:rPr>
        <w:t>136B</w:t>
      </w:r>
      <w:r w:rsidR="007D3806">
        <w:rPr>
          <w:rFonts w:cstheme="minorHAnsi"/>
          <w:sz w:val="24"/>
          <w:szCs w:val="24"/>
        </w:rPr>
        <w:t>When examining factors negatively impacting use of accessible formats</w:t>
      </w:r>
      <w:r w:rsidR="00B97F3E">
        <w:rPr>
          <w:rFonts w:cstheme="minorHAnsi"/>
          <w:sz w:val="24"/>
          <w:szCs w:val="24"/>
        </w:rPr>
        <w:t xml:space="preserve"> across roles</w:t>
      </w:r>
      <w:r w:rsidR="007D3806">
        <w:rPr>
          <w:rFonts w:cstheme="minorHAnsi"/>
          <w:sz w:val="24"/>
          <w:szCs w:val="24"/>
        </w:rPr>
        <w:t>, there were no statistically significant differences.</w:t>
      </w:r>
      <w:r w:rsidR="00554CAF">
        <w:rPr>
          <w:rFonts w:cstheme="minorHAnsi"/>
          <w:sz w:val="24"/>
          <w:szCs w:val="24"/>
        </w:rPr>
        <w:t xml:space="preserve"> </w:t>
      </w:r>
    </w:p>
    <w:p w14:paraId="021074DF" w14:textId="073528D4" w:rsidR="00D43A06" w:rsidRDefault="00B55C67" w:rsidP="00D43A06">
      <w:pPr>
        <w:spacing w:after="0" w:line="276" w:lineRule="auto"/>
        <w:rPr>
          <w:rFonts w:cstheme="minorHAnsi"/>
          <w:sz w:val="24"/>
          <w:szCs w:val="24"/>
        </w:rPr>
      </w:pPr>
      <w:r>
        <w:rPr>
          <w:rFonts w:ascii="ZWAdobeF" w:hAnsi="ZWAdobeF" w:cs="ZWAdobeF"/>
          <w:sz w:val="2"/>
          <w:szCs w:val="2"/>
        </w:rPr>
        <w:lastRenderedPageBreak/>
        <w:t>137B</w:t>
      </w:r>
      <w:r w:rsidR="00D43A06" w:rsidRPr="00BB1752">
        <w:rPr>
          <w:rFonts w:cstheme="minorHAnsi"/>
          <w:sz w:val="24"/>
          <w:szCs w:val="24"/>
        </w:rPr>
        <w:t xml:space="preserve">To supplement quantitative </w:t>
      </w:r>
      <w:r w:rsidR="00992978">
        <w:rPr>
          <w:rFonts w:cstheme="minorHAnsi"/>
          <w:sz w:val="24"/>
          <w:szCs w:val="24"/>
        </w:rPr>
        <w:t xml:space="preserve">survey </w:t>
      </w:r>
      <w:r w:rsidR="00D43A06" w:rsidRPr="00BB1752">
        <w:rPr>
          <w:rFonts w:cstheme="minorHAnsi"/>
          <w:sz w:val="24"/>
          <w:szCs w:val="24"/>
        </w:rPr>
        <w:t>findings, we obtained qualitative responses from interview participants and survey respondents</w:t>
      </w:r>
      <w:r w:rsidR="00D43A06">
        <w:rPr>
          <w:rFonts w:cstheme="minorHAnsi"/>
          <w:sz w:val="24"/>
          <w:szCs w:val="24"/>
        </w:rPr>
        <w:t xml:space="preserve">. Interview participants were asked to describe factors that hinder the use of accessible formats that are best formatted to meet </w:t>
      </w:r>
      <w:r w:rsidR="002F052D">
        <w:rPr>
          <w:rFonts w:cstheme="minorHAnsi"/>
          <w:sz w:val="24"/>
          <w:szCs w:val="24"/>
        </w:rPr>
        <w:t>students’</w:t>
      </w:r>
      <w:r w:rsidR="00D43A06">
        <w:rPr>
          <w:rFonts w:cstheme="minorHAnsi"/>
          <w:sz w:val="24"/>
          <w:szCs w:val="24"/>
        </w:rPr>
        <w:t xml:space="preserve"> needs, as specified in their IEPs. Survey respondents were given the opportunity to </w:t>
      </w:r>
      <w:r w:rsidR="009F175B">
        <w:rPr>
          <w:rFonts w:cstheme="minorHAnsi"/>
          <w:sz w:val="24"/>
          <w:szCs w:val="24"/>
        </w:rPr>
        <w:t>suggest</w:t>
      </w:r>
      <w:r w:rsidR="00D43A06">
        <w:rPr>
          <w:rFonts w:cstheme="minorHAnsi"/>
          <w:sz w:val="24"/>
          <w:szCs w:val="24"/>
        </w:rPr>
        <w:t xml:space="preserve"> other factors that hinder the use of accessible formats</w:t>
      </w:r>
      <w:r w:rsidR="00D43A06" w:rsidRPr="00B9406C">
        <w:rPr>
          <w:rFonts w:cstheme="minorHAnsi"/>
          <w:sz w:val="24"/>
          <w:szCs w:val="24"/>
        </w:rPr>
        <w:t xml:space="preserve"> </w:t>
      </w:r>
      <w:r w:rsidR="009F175B">
        <w:rPr>
          <w:rFonts w:cstheme="minorHAnsi"/>
          <w:sz w:val="24"/>
          <w:szCs w:val="24"/>
        </w:rPr>
        <w:t>and to explain</w:t>
      </w:r>
      <w:r w:rsidR="00D43A06" w:rsidRPr="00B9406C">
        <w:rPr>
          <w:rFonts w:cstheme="minorHAnsi"/>
          <w:sz w:val="24"/>
          <w:szCs w:val="24"/>
        </w:rPr>
        <w:t xml:space="preserve"> their selections. </w:t>
      </w:r>
    </w:p>
    <w:p w14:paraId="4C604C87" w14:textId="77777777" w:rsidR="00D43A06" w:rsidRDefault="00D43A06" w:rsidP="00D43A06">
      <w:pPr>
        <w:spacing w:after="0" w:line="276" w:lineRule="auto"/>
        <w:rPr>
          <w:rFonts w:cstheme="minorHAnsi"/>
          <w:sz w:val="24"/>
          <w:szCs w:val="24"/>
        </w:rPr>
      </w:pPr>
    </w:p>
    <w:p w14:paraId="261AFB91" w14:textId="3D89788C" w:rsidR="00496BE9" w:rsidRDefault="00B55C67" w:rsidP="00D43A06">
      <w:pPr>
        <w:spacing w:after="0" w:line="276" w:lineRule="auto"/>
        <w:rPr>
          <w:rFonts w:cstheme="minorHAnsi"/>
          <w:sz w:val="24"/>
          <w:szCs w:val="24"/>
        </w:rPr>
      </w:pPr>
      <w:r>
        <w:rPr>
          <w:rFonts w:ascii="ZWAdobeF" w:hAnsi="ZWAdobeF" w:cs="ZWAdobeF"/>
          <w:sz w:val="2"/>
          <w:szCs w:val="2"/>
        </w:rPr>
        <w:t>138B</w:t>
      </w:r>
      <w:r w:rsidR="002122CE">
        <w:rPr>
          <w:rFonts w:cstheme="minorHAnsi"/>
          <w:sz w:val="24"/>
          <w:szCs w:val="24"/>
        </w:rPr>
        <w:t xml:space="preserve">As shown in Table </w:t>
      </w:r>
      <w:r w:rsidR="00CC2CB0">
        <w:rPr>
          <w:rFonts w:cstheme="minorHAnsi"/>
          <w:sz w:val="24"/>
          <w:szCs w:val="24"/>
        </w:rPr>
        <w:t>8</w:t>
      </w:r>
      <w:r w:rsidR="002122CE">
        <w:rPr>
          <w:rFonts w:cstheme="minorHAnsi"/>
          <w:sz w:val="24"/>
          <w:szCs w:val="24"/>
        </w:rPr>
        <w:t>, p</w:t>
      </w:r>
      <w:r w:rsidR="00D43A06" w:rsidRPr="00B9406C">
        <w:rPr>
          <w:rFonts w:cstheme="minorHAnsi"/>
          <w:sz w:val="24"/>
          <w:szCs w:val="24"/>
        </w:rPr>
        <w:t>articipants’</w:t>
      </w:r>
      <w:r w:rsidR="00D43A06">
        <w:rPr>
          <w:rFonts w:cstheme="minorHAnsi"/>
          <w:sz w:val="24"/>
          <w:szCs w:val="24"/>
        </w:rPr>
        <w:t xml:space="preserve"> </w:t>
      </w:r>
      <w:r w:rsidR="00D43A06" w:rsidRPr="00B9406C">
        <w:rPr>
          <w:rFonts w:cstheme="minorHAnsi"/>
          <w:sz w:val="24"/>
          <w:szCs w:val="24"/>
        </w:rPr>
        <w:t xml:space="preserve">descriptions of </w:t>
      </w:r>
      <w:r w:rsidR="0054413D">
        <w:rPr>
          <w:rFonts w:cstheme="minorHAnsi"/>
          <w:sz w:val="24"/>
          <w:szCs w:val="24"/>
        </w:rPr>
        <w:t>factors negatively impacting the use of accessible formats</w:t>
      </w:r>
      <w:r w:rsidR="00D43A06" w:rsidRPr="00B9406C">
        <w:rPr>
          <w:rFonts w:cstheme="minorHAnsi"/>
          <w:sz w:val="24"/>
          <w:szCs w:val="24"/>
        </w:rPr>
        <w:t xml:space="preserve"> were consistent with </w:t>
      </w:r>
      <w:r w:rsidR="0054413D">
        <w:rPr>
          <w:rFonts w:cstheme="minorHAnsi"/>
          <w:sz w:val="24"/>
          <w:szCs w:val="24"/>
        </w:rPr>
        <w:t>items</w:t>
      </w:r>
      <w:r w:rsidR="00D43A06" w:rsidRPr="00B9406C">
        <w:rPr>
          <w:rFonts w:cstheme="minorHAnsi"/>
          <w:sz w:val="24"/>
          <w:szCs w:val="24"/>
        </w:rPr>
        <w:t xml:space="preserve"> presented in the survey </w:t>
      </w:r>
      <w:r w:rsidR="002122CE">
        <w:rPr>
          <w:rFonts w:cstheme="minorHAnsi"/>
          <w:sz w:val="24"/>
          <w:szCs w:val="24"/>
        </w:rPr>
        <w:t>(see</w:t>
      </w:r>
      <w:r w:rsidR="00D43A06" w:rsidRPr="00B9406C">
        <w:rPr>
          <w:rFonts w:cstheme="minorHAnsi"/>
          <w:sz w:val="24"/>
          <w:szCs w:val="24"/>
        </w:rPr>
        <w:t xml:space="preserve"> Figure </w:t>
      </w:r>
      <w:r w:rsidR="002F052D">
        <w:rPr>
          <w:rFonts w:cstheme="minorHAnsi"/>
          <w:sz w:val="24"/>
          <w:szCs w:val="24"/>
        </w:rPr>
        <w:t>1</w:t>
      </w:r>
      <w:r w:rsidR="00EE4A78">
        <w:rPr>
          <w:rFonts w:cstheme="minorHAnsi"/>
          <w:sz w:val="24"/>
          <w:szCs w:val="24"/>
        </w:rPr>
        <w:t>3</w:t>
      </w:r>
      <w:r w:rsidR="002122CE">
        <w:rPr>
          <w:rFonts w:cstheme="minorHAnsi"/>
          <w:sz w:val="24"/>
          <w:szCs w:val="24"/>
        </w:rPr>
        <w:t>)</w:t>
      </w:r>
      <w:r w:rsidR="00D43A06">
        <w:rPr>
          <w:rFonts w:cstheme="minorHAnsi"/>
          <w:sz w:val="24"/>
          <w:szCs w:val="24"/>
        </w:rPr>
        <w:t>.</w:t>
      </w:r>
      <w:r w:rsidR="00496BE9">
        <w:rPr>
          <w:rFonts w:cstheme="minorHAnsi"/>
          <w:sz w:val="24"/>
          <w:szCs w:val="24"/>
        </w:rPr>
        <w:t xml:space="preserve"> </w:t>
      </w:r>
      <w:r w:rsidR="002C49A1">
        <w:rPr>
          <w:rFonts w:cstheme="minorHAnsi"/>
          <w:sz w:val="24"/>
          <w:szCs w:val="24"/>
        </w:rPr>
        <w:t>More specifically</w:t>
      </w:r>
      <w:r w:rsidR="00496BE9">
        <w:rPr>
          <w:rFonts w:cstheme="minorHAnsi"/>
          <w:sz w:val="24"/>
          <w:szCs w:val="24"/>
        </w:rPr>
        <w:t xml:space="preserve">, the factor hindering the use of accessible formats described most often was lack of knowledgeable instructional support (51 excerpts). In addition to factors presented in the survey, </w:t>
      </w:r>
      <w:r w:rsidR="00232351">
        <w:rPr>
          <w:rFonts w:cstheme="minorHAnsi"/>
          <w:sz w:val="24"/>
          <w:szCs w:val="24"/>
        </w:rPr>
        <w:t>three</w:t>
      </w:r>
      <w:r w:rsidR="00496BE9">
        <w:rPr>
          <w:rFonts w:cstheme="minorHAnsi"/>
          <w:sz w:val="24"/>
          <w:szCs w:val="24"/>
        </w:rPr>
        <w:t xml:space="preserve"> additional themes emerged from the qualitative data: </w:t>
      </w:r>
      <w:r w:rsidR="00232351">
        <w:rPr>
          <w:rFonts w:cstheme="minorHAnsi"/>
          <w:sz w:val="24"/>
          <w:szCs w:val="24"/>
        </w:rPr>
        <w:t xml:space="preserve">challenges associated with </w:t>
      </w:r>
      <w:r w:rsidR="00D87C5E">
        <w:rPr>
          <w:rFonts w:cstheme="minorHAnsi"/>
          <w:sz w:val="24"/>
          <w:szCs w:val="24"/>
        </w:rPr>
        <w:t>AT</w:t>
      </w:r>
      <w:r w:rsidR="00232351">
        <w:rPr>
          <w:rFonts w:cstheme="minorHAnsi"/>
          <w:sz w:val="24"/>
          <w:szCs w:val="24"/>
        </w:rPr>
        <w:t xml:space="preserve"> (13 excerpts), </w:t>
      </w:r>
      <w:r w:rsidR="00496BE9">
        <w:rPr>
          <w:rFonts w:cstheme="minorHAnsi"/>
          <w:sz w:val="24"/>
          <w:szCs w:val="24"/>
        </w:rPr>
        <w:t>materials that claim to be accessible are not accessible (5 excerpts)</w:t>
      </w:r>
      <w:r w:rsidR="00773D54">
        <w:rPr>
          <w:rFonts w:cstheme="minorHAnsi"/>
          <w:sz w:val="24"/>
          <w:szCs w:val="24"/>
        </w:rPr>
        <w:t>,</w:t>
      </w:r>
      <w:r w:rsidR="00496BE9">
        <w:rPr>
          <w:rFonts w:cstheme="minorHAnsi"/>
          <w:sz w:val="24"/>
          <w:szCs w:val="24"/>
        </w:rPr>
        <w:t xml:space="preserve"> and student preferences are not respected (3 excerpts). </w:t>
      </w:r>
    </w:p>
    <w:p w14:paraId="5561B1D4" w14:textId="77777777" w:rsidR="00092830" w:rsidRDefault="00092830" w:rsidP="006F176A">
      <w:pPr>
        <w:spacing w:after="0" w:line="276" w:lineRule="auto"/>
        <w:rPr>
          <w:rFonts w:ascii="Calibri" w:hAnsi="Calibri" w:cs="Calibri"/>
          <w:bCs/>
          <w:sz w:val="24"/>
          <w:szCs w:val="24"/>
        </w:rPr>
      </w:pPr>
    </w:p>
    <w:p w14:paraId="5AD82268" w14:textId="5062D85D" w:rsidR="00D43A06" w:rsidRPr="005919AC" w:rsidRDefault="00D43A06" w:rsidP="004946C3">
      <w:pPr>
        <w:pStyle w:val="Heading4"/>
      </w:pPr>
      <w:bookmarkStart w:id="37" w:name="_Toc222904005"/>
      <w:r w:rsidRPr="005919AC">
        <w:t xml:space="preserve">Table </w:t>
      </w:r>
      <w:r w:rsidR="00CC2CB0">
        <w:t>8</w:t>
      </w:r>
      <w:r w:rsidRPr="005919AC">
        <w:t xml:space="preserve">. </w:t>
      </w:r>
      <w:r>
        <w:t>Qualitative Descriptions of Factors that Hinder the Use of Accessible Formats</w:t>
      </w:r>
      <w:bookmarkEnd w:id="37"/>
    </w:p>
    <w:p w14:paraId="30ACC9EC" w14:textId="4F290DE0" w:rsidR="00D43A06" w:rsidRPr="009F1957" w:rsidRDefault="00B55C67" w:rsidP="00FD5797">
      <w:pPr>
        <w:jc w:val="center"/>
        <w:rPr>
          <w:rFonts w:ascii="Calibri" w:hAnsi="Calibri" w:cs="Calibri"/>
        </w:rPr>
      </w:pPr>
      <w:r>
        <w:rPr>
          <w:rFonts w:ascii="ZWAdobeF" w:hAnsi="ZWAdobeF" w:cs="ZWAdobeF"/>
          <w:sz w:val="2"/>
          <w:szCs w:val="2"/>
        </w:rPr>
        <w:t>139</w:t>
      </w:r>
      <w:proofErr w:type="gramStart"/>
      <w:r>
        <w:rPr>
          <w:rFonts w:ascii="ZWAdobeF" w:hAnsi="ZWAdobeF" w:cs="ZWAdobeF"/>
          <w:sz w:val="2"/>
          <w:szCs w:val="2"/>
        </w:rPr>
        <w:t>B</w:t>
      </w:r>
      <w:r w:rsidR="00D43A06" w:rsidRPr="009F1957">
        <w:rPr>
          <w:rFonts w:ascii="Calibri" w:hAnsi="Calibri" w:cs="Calibri"/>
        </w:rPr>
        <w:t>(</w:t>
      </w:r>
      <w:proofErr w:type="gramEnd"/>
      <w:r w:rsidR="00D43A06">
        <w:rPr>
          <w:rFonts w:ascii="Calibri" w:hAnsi="Calibri" w:cs="Calibri"/>
        </w:rPr>
        <w:t>1</w:t>
      </w:r>
      <w:r w:rsidR="00232351">
        <w:rPr>
          <w:rFonts w:ascii="Calibri" w:hAnsi="Calibri" w:cs="Calibri"/>
        </w:rPr>
        <w:t>58</w:t>
      </w:r>
      <w:r w:rsidR="00D43A06">
        <w:rPr>
          <w:rFonts w:ascii="Calibri" w:hAnsi="Calibri" w:cs="Calibri"/>
        </w:rPr>
        <w:t xml:space="preserve"> </w:t>
      </w:r>
      <w:r w:rsidR="00D43A06" w:rsidRPr="009F1957">
        <w:rPr>
          <w:rFonts w:ascii="Calibri" w:hAnsi="Calibri" w:cs="Calibri"/>
        </w:rPr>
        <w:t>excerpts)</w:t>
      </w:r>
    </w:p>
    <w:tbl>
      <w:tblPr>
        <w:tblStyle w:val="GridTable4"/>
        <w:tblW w:w="9355" w:type="dxa"/>
        <w:tblLook w:val="04A0" w:firstRow="1" w:lastRow="0" w:firstColumn="1" w:lastColumn="0" w:noHBand="0" w:noVBand="1"/>
        <w:tblCaption w:val="Table 7. Qualitative Descriptions of Factors that Hinder the Use of Accessible Formats"/>
      </w:tblPr>
      <w:tblGrid>
        <w:gridCol w:w="2425"/>
        <w:gridCol w:w="6930"/>
      </w:tblGrid>
      <w:tr w:rsidR="00D43A06" w:rsidRPr="00CD254C" w14:paraId="764FA497" w14:textId="77777777" w:rsidTr="00FF38BD">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425" w:type="dxa"/>
            <w:shd w:val="clear" w:color="auto" w:fill="44546A" w:themeFill="text2"/>
            <w:vAlign w:val="center"/>
          </w:tcPr>
          <w:p w14:paraId="6FCB29EA" w14:textId="2DBC64B7" w:rsidR="00D43A06" w:rsidRPr="00A43A85" w:rsidRDefault="0054413D" w:rsidP="00193DCE">
            <w:pPr>
              <w:jc w:val="center"/>
              <w:rPr>
                <w:rFonts w:cstheme="minorHAnsi"/>
              </w:rPr>
            </w:pPr>
            <w:bookmarkStart w:id="38" w:name="_Hlk215998959"/>
            <w:r>
              <w:rPr>
                <w:rFonts w:cstheme="minorHAnsi"/>
              </w:rPr>
              <w:t>Factors that Hinder Use of Accessible Formats</w:t>
            </w:r>
          </w:p>
        </w:tc>
        <w:tc>
          <w:tcPr>
            <w:tcW w:w="6930" w:type="dxa"/>
            <w:shd w:val="clear" w:color="auto" w:fill="44546A" w:themeFill="text2"/>
            <w:vAlign w:val="center"/>
          </w:tcPr>
          <w:p w14:paraId="6013E546" w14:textId="77777777" w:rsidR="00D43A06" w:rsidRPr="00A43A85" w:rsidRDefault="00D43A06" w:rsidP="00193DCE">
            <w:pPr>
              <w:jc w:val="center"/>
              <w:cnfStyle w:val="100000000000" w:firstRow="1" w:lastRow="0" w:firstColumn="0" w:lastColumn="0" w:oddVBand="0" w:evenVBand="0" w:oddHBand="0" w:evenHBand="0" w:firstRowFirstColumn="0" w:firstRowLastColumn="0" w:lastRowFirstColumn="0" w:lastRowLastColumn="0"/>
              <w:rPr>
                <w:rFonts w:cstheme="minorHAnsi"/>
              </w:rPr>
            </w:pPr>
            <w:r>
              <w:rPr>
                <w:rFonts w:cstheme="minorHAnsi"/>
              </w:rPr>
              <w:t>Representative Quotations</w:t>
            </w:r>
          </w:p>
        </w:tc>
      </w:tr>
      <w:tr w:rsidR="00641341" w:rsidRPr="00CD254C" w14:paraId="33BE3998"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686A1FDA" w14:textId="520D1920" w:rsidR="00641341" w:rsidRDefault="00641341" w:rsidP="00193DCE">
            <w:pPr>
              <w:rPr>
                <w:rFonts w:cstheme="minorHAnsi"/>
              </w:rPr>
            </w:pPr>
            <w:r>
              <w:rPr>
                <w:rFonts w:cstheme="minorHAnsi"/>
              </w:rPr>
              <w:t>Lack of knowledgeable instructional support (51)</w:t>
            </w:r>
          </w:p>
        </w:tc>
        <w:tc>
          <w:tcPr>
            <w:tcW w:w="6930" w:type="dxa"/>
            <w:shd w:val="clear" w:color="auto" w:fill="D9E2F3"/>
          </w:tcPr>
          <w:p w14:paraId="4A54D6B8" w14:textId="6785ADDF" w:rsidR="00641341" w:rsidRPr="004529EC" w:rsidRDefault="00641341" w:rsidP="00193DCE">
            <w:pPr>
              <w:cnfStyle w:val="000000100000" w:firstRow="0" w:lastRow="0" w:firstColumn="0" w:lastColumn="0" w:oddVBand="0" w:evenVBand="0" w:oddHBand="1" w:evenHBand="0" w:firstRowFirstColumn="0" w:firstRowLastColumn="0" w:lastRowFirstColumn="0" w:lastRowLastColumn="0"/>
            </w:pPr>
            <w:r w:rsidRPr="00641341">
              <w:t>I do not think many educators outside of TVI</w:t>
            </w:r>
            <w:r w:rsidR="0054413D">
              <w:t>s</w:t>
            </w:r>
            <w:r w:rsidRPr="00641341">
              <w:t xml:space="preserve"> </w:t>
            </w:r>
            <w:r w:rsidR="003049DE">
              <w:t>k</w:t>
            </w:r>
            <w:r w:rsidRPr="00641341">
              <w:t>now how to access or use materials</w:t>
            </w:r>
            <w:r w:rsidR="0054413D">
              <w:t>,</w:t>
            </w:r>
            <w:r w:rsidRPr="00641341">
              <w:t xml:space="preserve"> so they don’t</w:t>
            </w:r>
            <w:r>
              <w:t>. (OH)</w:t>
            </w:r>
          </w:p>
        </w:tc>
      </w:tr>
      <w:tr w:rsidR="00641341" w:rsidRPr="00CD254C" w14:paraId="5CCC215E"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23B45383" w14:textId="77777777" w:rsidR="00641341" w:rsidRDefault="00641341" w:rsidP="00193DCE">
            <w:pPr>
              <w:rPr>
                <w:rFonts w:cstheme="minorHAnsi"/>
              </w:rPr>
            </w:pPr>
          </w:p>
        </w:tc>
        <w:tc>
          <w:tcPr>
            <w:tcW w:w="6930" w:type="dxa"/>
          </w:tcPr>
          <w:p w14:paraId="57F49384" w14:textId="4BE2E605" w:rsidR="00641341" w:rsidRPr="009631A0" w:rsidRDefault="00641341" w:rsidP="00193DCE">
            <w:pPr>
              <w:cnfStyle w:val="000000000000" w:firstRow="0" w:lastRow="0" w:firstColumn="0" w:lastColumn="0" w:oddVBand="0" w:evenVBand="0" w:oddHBand="0" w:evenHBand="0" w:firstRowFirstColumn="0" w:firstRowLastColumn="0" w:lastRowFirstColumn="0" w:lastRowLastColumn="0"/>
            </w:pPr>
            <w:r w:rsidRPr="00641341">
              <w:t>Due to a shortage of teachers of the visually impaired, districts do not always have the support needed to select appropriate materials, access funding options, or instruct students adequately on device/material application.</w:t>
            </w:r>
            <w:r>
              <w:t xml:space="preserve"> (OH)</w:t>
            </w:r>
          </w:p>
        </w:tc>
      </w:tr>
      <w:tr w:rsidR="00641341" w:rsidRPr="00CD254C" w14:paraId="5B147E6E"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738BE776" w14:textId="77777777" w:rsidR="00641341" w:rsidRDefault="00641341" w:rsidP="00193DCE">
            <w:pPr>
              <w:rPr>
                <w:rFonts w:cstheme="minorHAnsi"/>
              </w:rPr>
            </w:pPr>
          </w:p>
        </w:tc>
        <w:tc>
          <w:tcPr>
            <w:tcW w:w="6930" w:type="dxa"/>
            <w:shd w:val="clear" w:color="auto" w:fill="D9E2F3"/>
          </w:tcPr>
          <w:p w14:paraId="593B82C4" w14:textId="0445E2D1" w:rsidR="00641341" w:rsidRPr="009631A0" w:rsidRDefault="00641341" w:rsidP="00193DCE">
            <w:pPr>
              <w:cnfStyle w:val="000000100000" w:firstRow="0" w:lastRow="0" w:firstColumn="0" w:lastColumn="0" w:oddVBand="0" w:evenVBand="0" w:oddHBand="1" w:evenHBand="0" w:firstRowFirstColumn="0" w:firstRowLastColumn="0" w:lastRowFirstColumn="0" w:lastRowLastColumn="0"/>
            </w:pPr>
            <w:r w:rsidRPr="00641341">
              <w:t>I truly believe that teachers simply do not have the training or support to become comfortable navigating these resources. Because of the "low incidence" nature of this disability, serving these students with comfort and instructional excellence takes time and coaching.</w:t>
            </w:r>
            <w:r>
              <w:t xml:space="preserve"> (OH)</w:t>
            </w:r>
          </w:p>
        </w:tc>
      </w:tr>
      <w:tr w:rsidR="00641341" w:rsidRPr="00CD254C" w14:paraId="2CF843F8"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62D4B1A2" w14:textId="77777777" w:rsidR="00641341" w:rsidRDefault="00641341" w:rsidP="00193DCE">
            <w:pPr>
              <w:rPr>
                <w:rFonts w:cstheme="minorHAnsi"/>
              </w:rPr>
            </w:pPr>
          </w:p>
        </w:tc>
        <w:tc>
          <w:tcPr>
            <w:tcW w:w="6930" w:type="dxa"/>
          </w:tcPr>
          <w:p w14:paraId="14AF87C5" w14:textId="274B237F" w:rsidR="00641341" w:rsidRPr="009631A0" w:rsidRDefault="00641341" w:rsidP="00193DCE">
            <w:pPr>
              <w:cnfStyle w:val="000000000000" w:firstRow="0" w:lastRow="0" w:firstColumn="0" w:lastColumn="0" w:oddVBand="0" w:evenVBand="0" w:oddHBand="0" w:evenHBand="0" w:firstRowFirstColumn="0" w:firstRowLastColumn="0" w:lastRowFirstColumn="0" w:lastRowLastColumn="0"/>
            </w:pPr>
            <w:r w:rsidRPr="00641341">
              <w:t>Lack of teacher training to plan for and support student use of accessible formats</w:t>
            </w:r>
            <w:r>
              <w:t>. (OH)</w:t>
            </w:r>
          </w:p>
        </w:tc>
      </w:tr>
      <w:tr w:rsidR="00486953" w:rsidRPr="00CD254C" w14:paraId="01DE2583"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61878FC0" w14:textId="77777777" w:rsidR="00486953" w:rsidRDefault="00486953" w:rsidP="00193DCE">
            <w:pPr>
              <w:rPr>
                <w:rFonts w:cstheme="minorHAnsi"/>
              </w:rPr>
            </w:pPr>
          </w:p>
        </w:tc>
        <w:tc>
          <w:tcPr>
            <w:tcW w:w="6930" w:type="dxa"/>
            <w:shd w:val="clear" w:color="auto" w:fill="D9E2F3"/>
          </w:tcPr>
          <w:p w14:paraId="28A29FEE" w14:textId="081B1B95" w:rsidR="00486953" w:rsidRPr="00641341" w:rsidRDefault="00486953" w:rsidP="00193DCE">
            <w:pPr>
              <w:cnfStyle w:val="000000100000" w:firstRow="0" w:lastRow="0" w:firstColumn="0" w:lastColumn="0" w:oddVBand="0" w:evenVBand="0" w:oddHBand="1" w:evenHBand="0" w:firstRowFirstColumn="0" w:firstRowLastColumn="0" w:lastRowFirstColumn="0" w:lastRowLastColumn="0"/>
            </w:pPr>
            <w:r w:rsidRPr="00486953">
              <w:t>As with any new learning, students and educators need ongoing support to utilize accessible materials effectively. I always think, "knowledge, accessibility, coaching" for our school personnel.</w:t>
            </w:r>
            <w:r>
              <w:t xml:space="preserve"> (OH)</w:t>
            </w:r>
          </w:p>
        </w:tc>
      </w:tr>
      <w:tr w:rsidR="00641341" w:rsidRPr="00CD254C" w14:paraId="1341A428"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41F3D79D" w14:textId="77777777" w:rsidR="00641341" w:rsidRDefault="00641341" w:rsidP="00193DCE">
            <w:pPr>
              <w:rPr>
                <w:rFonts w:cstheme="minorHAnsi"/>
              </w:rPr>
            </w:pPr>
          </w:p>
        </w:tc>
        <w:tc>
          <w:tcPr>
            <w:tcW w:w="6930" w:type="dxa"/>
          </w:tcPr>
          <w:p w14:paraId="42A37162" w14:textId="0E6C43B1" w:rsidR="00641341" w:rsidRPr="009631A0" w:rsidRDefault="00641341" w:rsidP="00193DCE">
            <w:pPr>
              <w:cnfStyle w:val="000000000000" w:firstRow="0" w:lastRow="0" w:firstColumn="0" w:lastColumn="0" w:oddVBand="0" w:evenVBand="0" w:oddHBand="0" w:evenHBand="0" w:firstRowFirstColumn="0" w:firstRowLastColumn="0" w:lastRowFirstColumn="0" w:lastRowLastColumn="0"/>
            </w:pPr>
            <w:r w:rsidRPr="00641341">
              <w:t>I think we have so much confusion about what inclusion is supposed to really look like. We think that if we just put the kids in there, we have inclusion. If we don't have the materials ready</w:t>
            </w:r>
            <w:r w:rsidR="00731AB2">
              <w:t>,</w:t>
            </w:r>
            <w:r w:rsidRPr="00641341">
              <w:t xml:space="preserve"> and if our teachers don't know that they're there and how to use them, we cannot in any way support really meaningful inclusion for our kids with special needs.</w:t>
            </w:r>
            <w:r>
              <w:t xml:space="preserve"> (OH)</w:t>
            </w:r>
          </w:p>
        </w:tc>
      </w:tr>
      <w:tr w:rsidR="00641341" w:rsidRPr="00CD254C" w14:paraId="0E770B80"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1AADC8EB" w14:textId="77777777" w:rsidR="00641341" w:rsidRDefault="00641341" w:rsidP="00193DCE">
            <w:pPr>
              <w:rPr>
                <w:rFonts w:cstheme="minorHAnsi"/>
              </w:rPr>
            </w:pPr>
          </w:p>
        </w:tc>
        <w:tc>
          <w:tcPr>
            <w:tcW w:w="6930" w:type="dxa"/>
            <w:shd w:val="clear" w:color="auto" w:fill="D9E2F3"/>
          </w:tcPr>
          <w:p w14:paraId="18018C7B" w14:textId="200B4B9E" w:rsidR="00641341" w:rsidRPr="009631A0" w:rsidRDefault="00641341" w:rsidP="00193DCE">
            <w:pPr>
              <w:cnfStyle w:val="000000100000" w:firstRow="0" w:lastRow="0" w:firstColumn="0" w:lastColumn="0" w:oddVBand="0" w:evenVBand="0" w:oddHBand="1" w:evenHBand="0" w:firstRowFirstColumn="0" w:firstRowLastColumn="0" w:lastRowFirstColumn="0" w:lastRowLastColumn="0"/>
            </w:pPr>
            <w:r w:rsidRPr="00641341">
              <w:t>Many teachers are not trained and comfortable with alternative formats and technologies. They often revert back to what they know and feel comfortable with.</w:t>
            </w:r>
            <w:r>
              <w:t xml:space="preserve"> (OR)</w:t>
            </w:r>
          </w:p>
        </w:tc>
      </w:tr>
      <w:tr w:rsidR="00641341" w:rsidRPr="00CD254C" w14:paraId="0A1FC213"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1E28FB00" w14:textId="77777777" w:rsidR="00641341" w:rsidRDefault="00641341" w:rsidP="00193DCE">
            <w:pPr>
              <w:rPr>
                <w:rFonts w:cstheme="minorHAnsi"/>
              </w:rPr>
            </w:pPr>
          </w:p>
        </w:tc>
        <w:tc>
          <w:tcPr>
            <w:tcW w:w="6930" w:type="dxa"/>
          </w:tcPr>
          <w:p w14:paraId="2531FF66" w14:textId="06DD8BB7" w:rsidR="00641341" w:rsidRPr="008C4A19" w:rsidRDefault="00731AB2" w:rsidP="00193DCE">
            <w:pPr>
              <w:cnfStyle w:val="000000000000" w:firstRow="0" w:lastRow="0" w:firstColumn="0" w:lastColumn="0" w:oddVBand="0" w:evenVBand="0" w:oddHBand="0" w:evenHBand="0" w:firstRowFirstColumn="0" w:firstRowLastColumn="0" w:lastRowFirstColumn="0" w:lastRowLastColumn="0"/>
            </w:pPr>
            <w:r>
              <w:t>W</w:t>
            </w:r>
            <w:r w:rsidR="00641341" w:rsidRPr="00641341">
              <w:t>e've noticed the teachers or the T</w:t>
            </w:r>
            <w:r>
              <w:t>VI</w:t>
            </w:r>
            <w:r w:rsidR="00641341" w:rsidRPr="00641341">
              <w:t xml:space="preserve"> ordering </w:t>
            </w:r>
            <w:r>
              <w:t>accessible materials</w:t>
            </w:r>
            <w:r w:rsidR="00641341" w:rsidRPr="00641341">
              <w:t>, but they don't know what to do with it</w:t>
            </w:r>
            <w:r>
              <w:t xml:space="preserve"> or h</w:t>
            </w:r>
            <w:r w:rsidR="00641341" w:rsidRPr="00641341">
              <w:t>ow to use it</w:t>
            </w:r>
            <w:r>
              <w:t>.</w:t>
            </w:r>
            <w:r w:rsidR="00641341" w:rsidRPr="00641341">
              <w:t xml:space="preserve"> </w:t>
            </w:r>
            <w:r w:rsidR="00641341">
              <w:t>(UT)</w:t>
            </w:r>
          </w:p>
        </w:tc>
      </w:tr>
      <w:tr w:rsidR="00641341" w:rsidRPr="00CD254C" w14:paraId="3CF0CECA"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7D1CD3C6" w14:textId="77777777" w:rsidR="00641341" w:rsidRDefault="00641341" w:rsidP="00193DCE">
            <w:pPr>
              <w:rPr>
                <w:rFonts w:cstheme="minorHAnsi"/>
              </w:rPr>
            </w:pPr>
          </w:p>
        </w:tc>
        <w:tc>
          <w:tcPr>
            <w:tcW w:w="6930" w:type="dxa"/>
            <w:shd w:val="clear" w:color="auto" w:fill="D9E2F3"/>
          </w:tcPr>
          <w:p w14:paraId="55F541F9" w14:textId="453B8534" w:rsidR="00641341" w:rsidRPr="008C4A19" w:rsidRDefault="00455B80" w:rsidP="00193DCE">
            <w:pPr>
              <w:cnfStyle w:val="000000100000" w:firstRow="0" w:lastRow="0" w:firstColumn="0" w:lastColumn="0" w:oddVBand="0" w:evenVBand="0" w:oddHBand="1" w:evenHBand="0" w:firstRowFirstColumn="0" w:firstRowLastColumn="0" w:lastRowFirstColumn="0" w:lastRowLastColumn="0"/>
            </w:pPr>
            <w:r w:rsidRPr="00455B80">
              <w:t xml:space="preserve">My biggest issue in this area is that teachers, paras, </w:t>
            </w:r>
            <w:r>
              <w:t xml:space="preserve">and </w:t>
            </w:r>
            <w:r w:rsidRPr="00455B80">
              <w:t>other staff in the classroom do not know how to use the technology</w:t>
            </w:r>
            <w:r w:rsidR="00CA51DC">
              <w:t xml:space="preserve"> and </w:t>
            </w:r>
            <w:r w:rsidRPr="00455B80">
              <w:t>therefore cannot assist the student who is required to use it. Training is important and should be increased to guarantee students have access.</w:t>
            </w:r>
            <w:r>
              <w:t xml:space="preserve"> (DE)</w:t>
            </w:r>
          </w:p>
        </w:tc>
      </w:tr>
      <w:tr w:rsidR="00641341" w:rsidRPr="00CD254C" w14:paraId="1280D2E7"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4007D470" w14:textId="2B93FCFF" w:rsidR="00641341" w:rsidRDefault="00486953" w:rsidP="00193DCE">
            <w:pPr>
              <w:rPr>
                <w:rFonts w:cstheme="minorHAnsi"/>
              </w:rPr>
            </w:pPr>
            <w:r>
              <w:rPr>
                <w:rFonts w:cstheme="minorHAnsi"/>
              </w:rPr>
              <w:t>Lack of knowledge/familiarity among students (24)</w:t>
            </w:r>
          </w:p>
        </w:tc>
        <w:tc>
          <w:tcPr>
            <w:tcW w:w="6930" w:type="dxa"/>
          </w:tcPr>
          <w:p w14:paraId="076D9885" w14:textId="339AE14D" w:rsidR="00641341" w:rsidRPr="008C4A19" w:rsidRDefault="00486953" w:rsidP="00193DCE">
            <w:pPr>
              <w:cnfStyle w:val="000000000000" w:firstRow="0" w:lastRow="0" w:firstColumn="0" w:lastColumn="0" w:oddVBand="0" w:evenVBand="0" w:oddHBand="0" w:evenHBand="0" w:firstRowFirstColumn="0" w:firstRowLastColumn="0" w:lastRowFirstColumn="0" w:lastRowLastColumn="0"/>
            </w:pPr>
            <w:r w:rsidRPr="00486953">
              <w:t xml:space="preserve">I confirm </w:t>
            </w:r>
            <w:r w:rsidR="00CA51DC">
              <w:t xml:space="preserve">the importance of </w:t>
            </w:r>
            <w:r w:rsidRPr="00486953">
              <w:t xml:space="preserve">making sure students know how to use their technology to access the material. Sometimes they might have </w:t>
            </w:r>
            <w:r w:rsidR="00CA51DC" w:rsidRPr="00486953">
              <w:t>it</w:t>
            </w:r>
            <w:r w:rsidR="00CA51DC">
              <w:t xml:space="preserve"> but</w:t>
            </w:r>
            <w:r w:rsidRPr="00486953">
              <w:t xml:space="preserve"> </w:t>
            </w:r>
            <w:proofErr w:type="gramStart"/>
            <w:r w:rsidRPr="00486953">
              <w:t>not</w:t>
            </w:r>
            <w:proofErr w:type="gramEnd"/>
            <w:r w:rsidRPr="00486953">
              <w:t xml:space="preserve"> know what to do with it.</w:t>
            </w:r>
            <w:r>
              <w:t xml:space="preserve"> (OH)</w:t>
            </w:r>
          </w:p>
        </w:tc>
      </w:tr>
      <w:tr w:rsidR="00641341" w:rsidRPr="00CD254C" w14:paraId="1B170870"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33BC41FD" w14:textId="77777777" w:rsidR="00641341" w:rsidRDefault="00641341" w:rsidP="00193DCE">
            <w:pPr>
              <w:rPr>
                <w:rFonts w:cstheme="minorHAnsi"/>
              </w:rPr>
            </w:pPr>
          </w:p>
        </w:tc>
        <w:tc>
          <w:tcPr>
            <w:tcW w:w="6930" w:type="dxa"/>
            <w:shd w:val="clear" w:color="auto" w:fill="D9E2F3"/>
          </w:tcPr>
          <w:p w14:paraId="583C445A" w14:textId="5431FF30" w:rsidR="00641341" w:rsidRPr="008C4A19" w:rsidRDefault="003049DE" w:rsidP="00193DCE">
            <w:pPr>
              <w:cnfStyle w:val="000000100000" w:firstRow="0" w:lastRow="0" w:firstColumn="0" w:lastColumn="0" w:oddVBand="0" w:evenVBand="0" w:oddHBand="1" w:evenHBand="0" w:firstRowFirstColumn="0" w:firstRowLastColumn="0" w:lastRowFirstColumn="0" w:lastRowLastColumn="0"/>
            </w:pPr>
            <w:r>
              <w:t>I</w:t>
            </w:r>
            <w:r w:rsidR="00486953" w:rsidRPr="00486953">
              <w:t xml:space="preserve">t's getting the student really comfortable in that environment because sometimes we can get </w:t>
            </w:r>
            <w:r>
              <w:t>them</w:t>
            </w:r>
            <w:r w:rsidR="00486953" w:rsidRPr="00486953">
              <w:t xml:space="preserve"> the files right away</w:t>
            </w:r>
            <w:r w:rsidR="004360AB">
              <w:t xml:space="preserve">, but the </w:t>
            </w:r>
            <w:r w:rsidR="00486953" w:rsidRPr="00486953">
              <w:t>problem happens because the student is not comfortable with the equipment or whatever</w:t>
            </w:r>
            <w:r w:rsidR="004360AB">
              <w:t xml:space="preserve"> </w:t>
            </w:r>
            <w:r w:rsidR="00486953" w:rsidRPr="00486953">
              <w:t>they're using.</w:t>
            </w:r>
            <w:r w:rsidR="00486953">
              <w:t xml:space="preserve"> (OH)</w:t>
            </w:r>
          </w:p>
        </w:tc>
      </w:tr>
      <w:tr w:rsidR="00641341" w:rsidRPr="00CD254C" w14:paraId="5C3A74A8"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6C7A8855" w14:textId="77777777" w:rsidR="00641341" w:rsidRDefault="00641341" w:rsidP="00193DCE">
            <w:pPr>
              <w:rPr>
                <w:rFonts w:cstheme="minorHAnsi"/>
              </w:rPr>
            </w:pPr>
          </w:p>
        </w:tc>
        <w:tc>
          <w:tcPr>
            <w:tcW w:w="6930" w:type="dxa"/>
          </w:tcPr>
          <w:p w14:paraId="33CD0B62" w14:textId="6CA0BF28" w:rsidR="00641341" w:rsidRPr="008C4A19" w:rsidRDefault="00486953" w:rsidP="00193DCE">
            <w:pPr>
              <w:cnfStyle w:val="000000000000" w:firstRow="0" w:lastRow="0" w:firstColumn="0" w:lastColumn="0" w:oddVBand="0" w:evenVBand="0" w:oddHBand="0" w:evenHBand="0" w:firstRowFirstColumn="0" w:firstRowLastColumn="0" w:lastRowFirstColumn="0" w:lastRowLastColumn="0"/>
            </w:pPr>
            <w:r w:rsidRPr="00486953">
              <w:t>If the accessible format is digital, then the ability of the student or their staff supports may be an issue.</w:t>
            </w:r>
            <w:r>
              <w:t xml:space="preserve"> (IN)</w:t>
            </w:r>
          </w:p>
        </w:tc>
      </w:tr>
      <w:tr w:rsidR="00641341" w:rsidRPr="00CD254C" w14:paraId="00184252"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385A7847" w14:textId="77777777" w:rsidR="00641341" w:rsidRDefault="00641341" w:rsidP="00193DCE">
            <w:pPr>
              <w:rPr>
                <w:rFonts w:cstheme="minorHAnsi"/>
              </w:rPr>
            </w:pPr>
          </w:p>
        </w:tc>
        <w:tc>
          <w:tcPr>
            <w:tcW w:w="6930" w:type="dxa"/>
            <w:shd w:val="clear" w:color="auto" w:fill="D9E2F3"/>
          </w:tcPr>
          <w:p w14:paraId="01C5108A" w14:textId="4976BF03" w:rsidR="00641341" w:rsidRPr="008C4A19" w:rsidRDefault="00486953" w:rsidP="00193DCE">
            <w:pPr>
              <w:cnfStyle w:val="000000100000" w:firstRow="0" w:lastRow="0" w:firstColumn="0" w:lastColumn="0" w:oddVBand="0" w:evenVBand="0" w:oddHBand="1" w:evenHBand="0" w:firstRowFirstColumn="0" w:firstRowLastColumn="0" w:lastRowFirstColumn="0" w:lastRowLastColumn="0"/>
            </w:pPr>
            <w:r w:rsidRPr="00486953">
              <w:t>There isn't enough time spent on students being taught the use of their AT (more</w:t>
            </w:r>
            <w:r w:rsidR="00B93498">
              <w:t xml:space="preserve"> </w:t>
            </w:r>
            <w:r w:rsidRPr="00486953">
              <w:t>so students with dyslexia than visually impaired students).</w:t>
            </w:r>
            <w:r>
              <w:t xml:space="preserve"> (MN)</w:t>
            </w:r>
          </w:p>
        </w:tc>
      </w:tr>
      <w:tr w:rsidR="00641341" w:rsidRPr="00CD254C" w14:paraId="2AD3A581"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53E831DD" w14:textId="77777777" w:rsidR="00641341" w:rsidRDefault="00641341" w:rsidP="00193DCE">
            <w:pPr>
              <w:rPr>
                <w:rFonts w:cstheme="minorHAnsi"/>
              </w:rPr>
            </w:pPr>
          </w:p>
        </w:tc>
        <w:tc>
          <w:tcPr>
            <w:tcW w:w="6930" w:type="dxa"/>
          </w:tcPr>
          <w:p w14:paraId="0DCDCA39" w14:textId="7977F50A" w:rsidR="00641341" w:rsidRPr="008C4A19" w:rsidRDefault="00486953" w:rsidP="00193DCE">
            <w:pPr>
              <w:cnfStyle w:val="000000000000" w:firstRow="0" w:lastRow="0" w:firstColumn="0" w:lastColumn="0" w:oddVBand="0" w:evenVBand="0" w:oddHBand="0" w:evenHBand="0" w:firstRowFirstColumn="0" w:firstRowLastColumn="0" w:lastRowFirstColumn="0" w:lastRowLastColumn="0"/>
            </w:pPr>
            <w:r w:rsidRPr="00486953">
              <w:t>We have discovered that students in our state do not necessarily know how to use their access</w:t>
            </w:r>
            <w:r>
              <w:t xml:space="preserve">ible </w:t>
            </w:r>
            <w:proofErr w:type="gramStart"/>
            <w:r w:rsidRPr="00486953">
              <w:t>technology</w:t>
            </w:r>
            <w:proofErr w:type="gramEnd"/>
            <w:r w:rsidRPr="00486953">
              <w:t xml:space="preserve"> equipment to the fullest </w:t>
            </w:r>
            <w:r>
              <w:t>extent</w:t>
            </w:r>
            <w:r w:rsidRPr="00486953">
              <w:t xml:space="preserve"> possible.</w:t>
            </w:r>
            <w:r>
              <w:t xml:space="preserve"> (SC)</w:t>
            </w:r>
          </w:p>
        </w:tc>
      </w:tr>
      <w:tr w:rsidR="00641341" w:rsidRPr="00CD254C" w14:paraId="503852DF"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265B52EB" w14:textId="675D9A73" w:rsidR="00641341" w:rsidRDefault="002861E6" w:rsidP="00193DCE">
            <w:pPr>
              <w:rPr>
                <w:rFonts w:cstheme="minorHAnsi"/>
              </w:rPr>
            </w:pPr>
            <w:r>
              <w:rPr>
                <w:rFonts w:cstheme="minorHAnsi"/>
              </w:rPr>
              <w:t>Stigma associated with using accessible formats (23)</w:t>
            </w:r>
          </w:p>
        </w:tc>
        <w:tc>
          <w:tcPr>
            <w:tcW w:w="6930" w:type="dxa"/>
            <w:shd w:val="clear" w:color="auto" w:fill="D9E2F3"/>
          </w:tcPr>
          <w:p w14:paraId="1888B945" w14:textId="2CF1DBFA" w:rsidR="00641341" w:rsidRPr="008C4A19" w:rsidRDefault="00CB442A" w:rsidP="00193DCE">
            <w:pPr>
              <w:cnfStyle w:val="000000100000" w:firstRow="0" w:lastRow="0" w:firstColumn="0" w:lastColumn="0" w:oddVBand="0" w:evenVBand="0" w:oddHBand="1" w:evenHBand="0" w:firstRowFirstColumn="0" w:firstRowLastColumn="0" w:lastRowFirstColumn="0" w:lastRowLastColumn="0"/>
            </w:pPr>
            <w:r>
              <w:t>T</w:t>
            </w:r>
            <w:r w:rsidR="00806991" w:rsidRPr="00806991">
              <w:t xml:space="preserve">here's also a factor </w:t>
            </w:r>
            <w:proofErr w:type="gramStart"/>
            <w:r w:rsidR="00806991" w:rsidRPr="00806991">
              <w:t>of</w:t>
            </w:r>
            <w:proofErr w:type="gramEnd"/>
            <w:r w:rsidR="00806991" w:rsidRPr="00806991">
              <w:t xml:space="preserve"> not wanting to look different. When you have a disability, you look different than your classmates and get made fun of</w:t>
            </w:r>
            <w:r w:rsidR="00806991">
              <w:t>. A</w:t>
            </w:r>
            <w:r w:rsidR="00806991" w:rsidRPr="00806991">
              <w:t xml:space="preserve">nd internalized </w:t>
            </w:r>
            <w:r w:rsidR="0054413D">
              <w:t>a</w:t>
            </w:r>
            <w:r w:rsidR="00806991" w:rsidRPr="00806991">
              <w:t>bleism is taught, so a student may not want to use an iPad to look at a textbook when everybody else has a textboo</w:t>
            </w:r>
            <w:r w:rsidR="00806991">
              <w:t>k</w:t>
            </w:r>
            <w:r w:rsidR="00806991" w:rsidRPr="00806991">
              <w:t>.</w:t>
            </w:r>
            <w:r w:rsidR="00806991">
              <w:t xml:space="preserve"> (OH)</w:t>
            </w:r>
          </w:p>
        </w:tc>
      </w:tr>
      <w:tr w:rsidR="00806991" w:rsidRPr="00CD254C" w14:paraId="7194169B"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44D285AE" w14:textId="77777777" w:rsidR="00806991" w:rsidRDefault="00806991" w:rsidP="00193DCE">
            <w:pPr>
              <w:rPr>
                <w:rFonts w:cstheme="minorHAnsi"/>
              </w:rPr>
            </w:pPr>
          </w:p>
        </w:tc>
        <w:tc>
          <w:tcPr>
            <w:tcW w:w="6930" w:type="dxa"/>
          </w:tcPr>
          <w:p w14:paraId="5B5F4983" w14:textId="33788156" w:rsidR="00806991" w:rsidRPr="00806991" w:rsidRDefault="0054413D" w:rsidP="00193DCE">
            <w:pPr>
              <w:cnfStyle w:val="000000000000" w:firstRow="0" w:lastRow="0" w:firstColumn="0" w:lastColumn="0" w:oddVBand="0" w:evenVBand="0" w:oddHBand="0" w:evenHBand="0" w:firstRowFirstColumn="0" w:firstRowLastColumn="0" w:lastRowFirstColumn="0" w:lastRowLastColumn="0"/>
            </w:pPr>
            <w:r>
              <w:t>S</w:t>
            </w:r>
            <w:r w:rsidR="00806991" w:rsidRPr="00806991">
              <w:t xml:space="preserve">ometimes it's embarrassment </w:t>
            </w:r>
            <w:proofErr w:type="gramStart"/>
            <w:r w:rsidR="00CB442A">
              <w:t>of</w:t>
            </w:r>
            <w:proofErr w:type="gramEnd"/>
            <w:r w:rsidR="00806991" w:rsidRPr="00806991">
              <w:t xml:space="preserve"> the students not </w:t>
            </w:r>
            <w:proofErr w:type="gramStart"/>
            <w:r w:rsidR="00806991" w:rsidRPr="00806991">
              <w:t>using</w:t>
            </w:r>
            <w:proofErr w:type="gramEnd"/>
            <w:r w:rsidR="00806991" w:rsidRPr="00806991">
              <w:t xml:space="preserve"> the materials because they don't want their friends or peers to see that they have something different.</w:t>
            </w:r>
            <w:r w:rsidR="00806991">
              <w:t xml:space="preserve"> (UT)</w:t>
            </w:r>
          </w:p>
        </w:tc>
      </w:tr>
      <w:tr w:rsidR="00806991" w:rsidRPr="00CD254C" w14:paraId="294B1F8E"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0153A983" w14:textId="77777777" w:rsidR="00806991" w:rsidRDefault="00806991" w:rsidP="00193DCE">
            <w:pPr>
              <w:rPr>
                <w:rFonts w:cstheme="minorHAnsi"/>
              </w:rPr>
            </w:pPr>
          </w:p>
        </w:tc>
        <w:tc>
          <w:tcPr>
            <w:tcW w:w="6930" w:type="dxa"/>
            <w:shd w:val="clear" w:color="auto" w:fill="D9E2F3"/>
          </w:tcPr>
          <w:p w14:paraId="019AC383" w14:textId="33C27BFD" w:rsidR="00806991" w:rsidRPr="00806991" w:rsidRDefault="00806991" w:rsidP="00193DCE">
            <w:pPr>
              <w:cnfStyle w:val="000000100000" w:firstRow="0" w:lastRow="0" w:firstColumn="0" w:lastColumn="0" w:oddVBand="0" w:evenVBand="0" w:oddHBand="1" w:evenHBand="0" w:firstRowFirstColumn="0" w:firstRowLastColumn="0" w:lastRowFirstColumn="0" w:lastRowLastColumn="0"/>
            </w:pPr>
            <w:r w:rsidRPr="00806991">
              <w:t>Many students do not want to appear different than their peers and they will resist using accessible formats or gravitate to a technology option.</w:t>
            </w:r>
            <w:r>
              <w:t xml:space="preserve"> (UT)</w:t>
            </w:r>
          </w:p>
        </w:tc>
      </w:tr>
      <w:tr w:rsidR="00806991" w:rsidRPr="00CD254C" w14:paraId="1238C148"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72131406" w14:textId="77777777" w:rsidR="00806991" w:rsidRDefault="00806991" w:rsidP="00193DCE">
            <w:pPr>
              <w:rPr>
                <w:rFonts w:cstheme="minorHAnsi"/>
              </w:rPr>
            </w:pPr>
          </w:p>
        </w:tc>
        <w:tc>
          <w:tcPr>
            <w:tcW w:w="6930" w:type="dxa"/>
          </w:tcPr>
          <w:p w14:paraId="60F42B94" w14:textId="4F3224A9" w:rsidR="00806991" w:rsidRPr="00806991" w:rsidRDefault="00285D0B" w:rsidP="00193DCE">
            <w:pPr>
              <w:cnfStyle w:val="000000000000" w:firstRow="0" w:lastRow="0" w:firstColumn="0" w:lastColumn="0" w:oddVBand="0" w:evenVBand="0" w:oddHBand="0" w:evenHBand="0" w:firstRowFirstColumn="0" w:firstRowLastColumn="0" w:lastRowFirstColumn="0" w:lastRowLastColumn="0"/>
            </w:pPr>
            <w:r>
              <w:t xml:space="preserve">For </w:t>
            </w:r>
            <w:r w:rsidR="00806991" w:rsidRPr="00806991">
              <w:t xml:space="preserve">a student doing something completely different from everyone else in class, </w:t>
            </w:r>
            <w:r>
              <w:t>it c</w:t>
            </w:r>
            <w:r w:rsidR="00806991" w:rsidRPr="00806991">
              <w:t>an b</w:t>
            </w:r>
            <w:r w:rsidR="0054413D">
              <w:t>e</w:t>
            </w:r>
            <w:r w:rsidR="00806991" w:rsidRPr="00806991">
              <w:t xml:space="preserve"> pretty uncomfortable. So even if </w:t>
            </w:r>
            <w:r>
              <w:t>students</w:t>
            </w:r>
            <w:r w:rsidR="00806991" w:rsidRPr="00806991">
              <w:t xml:space="preserve"> have the right technology that they need, they may be reluctant to use it.</w:t>
            </w:r>
            <w:r w:rsidR="00806991">
              <w:t xml:space="preserve"> (OR)</w:t>
            </w:r>
          </w:p>
        </w:tc>
      </w:tr>
      <w:tr w:rsidR="00806991" w:rsidRPr="00CD254C" w14:paraId="1CB71132"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1F521CD1" w14:textId="77777777" w:rsidR="00806991" w:rsidRDefault="00806991" w:rsidP="00193DCE">
            <w:pPr>
              <w:rPr>
                <w:rFonts w:cstheme="minorHAnsi"/>
              </w:rPr>
            </w:pPr>
          </w:p>
        </w:tc>
        <w:tc>
          <w:tcPr>
            <w:tcW w:w="6930" w:type="dxa"/>
            <w:shd w:val="clear" w:color="auto" w:fill="D9E2F3"/>
          </w:tcPr>
          <w:p w14:paraId="2C282F9B" w14:textId="21FF5760" w:rsidR="00806991" w:rsidRPr="00806991" w:rsidRDefault="00806991" w:rsidP="00193DCE">
            <w:pPr>
              <w:cnfStyle w:val="000000100000" w:firstRow="0" w:lastRow="0" w:firstColumn="0" w:lastColumn="0" w:oddVBand="0" w:evenVBand="0" w:oddHBand="1" w:evenHBand="0" w:firstRowFirstColumn="0" w:firstRowLastColumn="0" w:lastRowFirstColumn="0" w:lastRowLastColumn="0"/>
            </w:pPr>
            <w:r w:rsidRPr="00806991">
              <w:t xml:space="preserve">A lot of </w:t>
            </w:r>
            <w:proofErr w:type="gramStart"/>
            <w:r w:rsidRPr="00806991">
              <w:t>students</w:t>
            </w:r>
            <w:proofErr w:type="gramEnd"/>
            <w:r w:rsidRPr="00806991">
              <w:t xml:space="preserve"> dislike utilizing materials that make them look different from their peers such as 11x14 paper </w:t>
            </w:r>
            <w:r w:rsidR="00787734">
              <w:t>(of</w:t>
            </w:r>
            <w:r w:rsidRPr="00806991">
              <w:t xml:space="preserve"> large print materials</w:t>
            </w:r>
            <w:r w:rsidR="00787734">
              <w:t>)</w:t>
            </w:r>
            <w:r w:rsidRPr="00806991">
              <w:t>.</w:t>
            </w:r>
            <w:r>
              <w:t xml:space="preserve"> (VA)</w:t>
            </w:r>
          </w:p>
        </w:tc>
      </w:tr>
      <w:tr w:rsidR="00806991" w:rsidRPr="00CD254C" w14:paraId="58748799"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4250E3EF" w14:textId="0CFB297D" w:rsidR="00806991" w:rsidRDefault="00806991" w:rsidP="00193DCE">
            <w:pPr>
              <w:rPr>
                <w:rFonts w:cstheme="minorHAnsi"/>
              </w:rPr>
            </w:pPr>
            <w:r>
              <w:rPr>
                <w:rFonts w:cstheme="minorHAnsi"/>
              </w:rPr>
              <w:t>Poor quality accessible formats (18)</w:t>
            </w:r>
          </w:p>
        </w:tc>
        <w:tc>
          <w:tcPr>
            <w:tcW w:w="6930" w:type="dxa"/>
          </w:tcPr>
          <w:p w14:paraId="34450F9B" w14:textId="4F03DF94" w:rsidR="00806991" w:rsidRPr="00806991" w:rsidRDefault="006C4894" w:rsidP="00193DCE">
            <w:pPr>
              <w:cnfStyle w:val="000000000000" w:firstRow="0" w:lastRow="0" w:firstColumn="0" w:lastColumn="0" w:oddVBand="0" w:evenVBand="0" w:oddHBand="0" w:evenHBand="0" w:firstRowFirstColumn="0" w:firstRowLastColumn="0" w:lastRowFirstColumn="0" w:lastRowLastColumn="0"/>
            </w:pPr>
            <w:r>
              <w:t>S</w:t>
            </w:r>
            <w:r w:rsidR="00AD3E9F" w:rsidRPr="00AD3E9F">
              <w:t xml:space="preserve">ometimes I see teachers try to get by </w:t>
            </w:r>
            <w:proofErr w:type="gramStart"/>
            <w:r w:rsidR="00AD3E9F" w:rsidRPr="00AD3E9F">
              <w:t>with</w:t>
            </w:r>
            <w:proofErr w:type="gramEnd"/>
            <w:r w:rsidR="00AD3E9F" w:rsidRPr="00AD3E9F">
              <w:t xml:space="preserve"> just making an enormous</w:t>
            </w:r>
            <w:r>
              <w:t xml:space="preserve"> </w:t>
            </w:r>
            <w:r w:rsidR="00AD3E9F" w:rsidRPr="00AD3E9F">
              <w:t>paper copy</w:t>
            </w:r>
            <w:r w:rsidR="003049DE">
              <w:t>,</w:t>
            </w:r>
            <w:r w:rsidR="00AD3E9F" w:rsidRPr="00AD3E9F">
              <w:t xml:space="preserve"> and it's well intended, but often loses the resolution and the contrast that's needed</w:t>
            </w:r>
            <w:r>
              <w:t>.</w:t>
            </w:r>
            <w:r w:rsidR="00AD3E9F">
              <w:t xml:space="preserve"> (OH)</w:t>
            </w:r>
          </w:p>
        </w:tc>
      </w:tr>
      <w:tr w:rsidR="00806991" w:rsidRPr="00CD254C" w14:paraId="5DFA47AD"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4EF74EBD" w14:textId="77777777" w:rsidR="00806991" w:rsidRDefault="00806991" w:rsidP="00193DCE">
            <w:pPr>
              <w:rPr>
                <w:rFonts w:cstheme="minorHAnsi"/>
              </w:rPr>
            </w:pPr>
          </w:p>
        </w:tc>
        <w:tc>
          <w:tcPr>
            <w:tcW w:w="6930" w:type="dxa"/>
            <w:shd w:val="clear" w:color="auto" w:fill="D9E2F3"/>
          </w:tcPr>
          <w:p w14:paraId="00948D38" w14:textId="7272DB7D" w:rsidR="00806991" w:rsidRPr="00806991" w:rsidRDefault="00AD3E9F" w:rsidP="00193DCE">
            <w:pPr>
              <w:cnfStyle w:val="000000100000" w:firstRow="0" w:lastRow="0" w:firstColumn="0" w:lastColumn="0" w:oddVBand="0" w:evenVBand="0" w:oddHBand="1" w:evenHBand="0" w:firstRowFirstColumn="0" w:firstRowLastColumn="0" w:lastRowFirstColumn="0" w:lastRowLastColumn="0"/>
            </w:pPr>
            <w:r w:rsidRPr="00AD3E9F">
              <w:t xml:space="preserve">We are also finding that "large print" materials for </w:t>
            </w:r>
            <w:proofErr w:type="gramStart"/>
            <w:r w:rsidR="003049DE" w:rsidRPr="00AD3E9F">
              <w:t>kindergarten</w:t>
            </w:r>
            <w:proofErr w:type="gramEnd"/>
            <w:r w:rsidRPr="00AD3E9F">
              <w:t xml:space="preserve"> and first grade have larger instructions (which the students can't even read because of their learning level) but the same size or smaller areas to actually work in</w:t>
            </w:r>
            <w:r w:rsidR="002707E5">
              <w:t>. T</w:t>
            </w:r>
            <w:r w:rsidRPr="00AD3E9F">
              <w:t>he math problems are at times smaller than their regular print peers.</w:t>
            </w:r>
            <w:r>
              <w:t xml:space="preserve"> (NC)</w:t>
            </w:r>
          </w:p>
        </w:tc>
      </w:tr>
      <w:tr w:rsidR="00806991" w:rsidRPr="00CD254C" w14:paraId="6A0F0BDB"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1FA4732E" w14:textId="77777777" w:rsidR="00806991" w:rsidRDefault="00806991" w:rsidP="00193DCE">
            <w:pPr>
              <w:rPr>
                <w:rFonts w:cstheme="minorHAnsi"/>
              </w:rPr>
            </w:pPr>
          </w:p>
        </w:tc>
        <w:tc>
          <w:tcPr>
            <w:tcW w:w="6930" w:type="dxa"/>
          </w:tcPr>
          <w:p w14:paraId="02E36E67" w14:textId="396C8DA5" w:rsidR="00806991" w:rsidRPr="00806991" w:rsidRDefault="00AD3E9F" w:rsidP="00193DCE">
            <w:pPr>
              <w:cnfStyle w:val="000000000000" w:firstRow="0" w:lastRow="0" w:firstColumn="0" w:lastColumn="0" w:oddVBand="0" w:evenVBand="0" w:oddHBand="0" w:evenHBand="0" w:firstRowFirstColumn="0" w:firstRowLastColumn="0" w:lastRowFirstColumn="0" w:lastRowLastColumn="0"/>
            </w:pPr>
            <w:r w:rsidRPr="00AD3E9F">
              <w:t>The time spent waiting for either an accessible format an</w:t>
            </w:r>
            <w:r w:rsidR="003049DE">
              <w:t>d/</w:t>
            </w:r>
            <w:r w:rsidRPr="00AD3E9F">
              <w:t>or hard copy braille can be up to 6 months. This lag time could lead to locally and poorly produced braille and</w:t>
            </w:r>
            <w:r w:rsidR="0054413D">
              <w:t>/</w:t>
            </w:r>
            <w:r w:rsidRPr="00AD3E9F">
              <w:t xml:space="preserve">or </w:t>
            </w:r>
            <w:r w:rsidR="008B4295">
              <w:t xml:space="preserve">large print </w:t>
            </w:r>
            <w:r w:rsidRPr="00AD3E9F">
              <w:t>formats.</w:t>
            </w:r>
            <w:r>
              <w:t xml:space="preserve"> (TX)</w:t>
            </w:r>
          </w:p>
        </w:tc>
      </w:tr>
      <w:tr w:rsidR="00806991" w:rsidRPr="00CD254C" w14:paraId="4740D138"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4BEBA2C8" w14:textId="77777777" w:rsidR="00806991" w:rsidRDefault="00806991" w:rsidP="00193DCE">
            <w:pPr>
              <w:rPr>
                <w:rFonts w:cstheme="minorHAnsi"/>
              </w:rPr>
            </w:pPr>
          </w:p>
        </w:tc>
        <w:tc>
          <w:tcPr>
            <w:tcW w:w="6930" w:type="dxa"/>
            <w:shd w:val="clear" w:color="auto" w:fill="D9E2F3"/>
          </w:tcPr>
          <w:p w14:paraId="29D0B873" w14:textId="6D465F72" w:rsidR="00806991" w:rsidRPr="00806991" w:rsidRDefault="00AD3E9F" w:rsidP="00193DCE">
            <w:pPr>
              <w:cnfStyle w:val="000000100000" w:firstRow="0" w:lastRow="0" w:firstColumn="0" w:lastColumn="0" w:oddVBand="0" w:evenVBand="0" w:oddHBand="1" w:evenHBand="0" w:firstRowFirstColumn="0" w:firstRowLastColumn="0" w:lastRowFirstColumn="0" w:lastRowLastColumn="0"/>
            </w:pPr>
            <w:r w:rsidRPr="00AD3E9F">
              <w:t>Students often don't get truly accessible formats. They get blurry screenshots or google slides</w:t>
            </w:r>
            <w:r w:rsidR="00DD7605">
              <w:t xml:space="preserve"> or</w:t>
            </w:r>
            <w:r w:rsidRPr="00AD3E9F">
              <w:t xml:space="preserve"> </w:t>
            </w:r>
            <w:r w:rsidR="00DD7605">
              <w:t>PDFs</w:t>
            </w:r>
            <w:r w:rsidRPr="00AD3E9F">
              <w:t xml:space="preserve"> that don't work well with screen readers. Or they get blown up</w:t>
            </w:r>
            <w:r w:rsidR="00DD7605">
              <w:t>,</w:t>
            </w:r>
            <w:r w:rsidRPr="00AD3E9F">
              <w:t xml:space="preserve"> blurry photocopies instead of clear digital copies.</w:t>
            </w:r>
            <w:r>
              <w:t xml:space="preserve"> (VA)</w:t>
            </w:r>
          </w:p>
        </w:tc>
      </w:tr>
      <w:tr w:rsidR="00806991" w:rsidRPr="00CD254C" w14:paraId="408A1CE3"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210C992E" w14:textId="77777777" w:rsidR="00806991" w:rsidRDefault="00806991" w:rsidP="00193DCE">
            <w:pPr>
              <w:rPr>
                <w:rFonts w:cstheme="minorHAnsi"/>
              </w:rPr>
            </w:pPr>
          </w:p>
        </w:tc>
        <w:tc>
          <w:tcPr>
            <w:tcW w:w="6930" w:type="dxa"/>
          </w:tcPr>
          <w:p w14:paraId="7B5D2CBC" w14:textId="3543260E" w:rsidR="00806991" w:rsidRPr="00806991" w:rsidRDefault="00AD3E9F" w:rsidP="00193DCE">
            <w:pPr>
              <w:cnfStyle w:val="000000000000" w:firstRow="0" w:lastRow="0" w:firstColumn="0" w:lastColumn="0" w:oddVBand="0" w:evenVBand="0" w:oddHBand="0" w:evenHBand="0" w:firstRowFirstColumn="0" w:firstRowLastColumn="0" w:lastRowFirstColumn="0" w:lastRowLastColumn="0"/>
            </w:pPr>
            <w:r w:rsidRPr="00AD3E9F">
              <w:t xml:space="preserve">Large print materials are only </w:t>
            </w:r>
            <w:r w:rsidR="008B4295" w:rsidRPr="00AD3E9F">
              <w:t>photocopy</w:t>
            </w:r>
            <w:r w:rsidRPr="00AD3E9F">
              <w:t xml:space="preserve"> enlarged</w:t>
            </w:r>
            <w:r w:rsidR="00BF340A">
              <w:t>,</w:t>
            </w:r>
            <w:r w:rsidRPr="00AD3E9F">
              <w:t xml:space="preserve"> and do not meet accessibility criteri</w:t>
            </w:r>
            <w:r w:rsidR="008B4295">
              <w:t>a</w:t>
            </w:r>
            <w:r w:rsidR="00BF340A">
              <w:t xml:space="preserve">. </w:t>
            </w:r>
            <w:r w:rsidR="008B4295">
              <w:t>B</w:t>
            </w:r>
            <w:r w:rsidRPr="00AD3E9F">
              <w:t>raille production has not been accurate or to the current code.</w:t>
            </w:r>
            <w:r>
              <w:t xml:space="preserve"> (VA)</w:t>
            </w:r>
          </w:p>
        </w:tc>
      </w:tr>
      <w:tr w:rsidR="0057456C" w:rsidRPr="00CD254C" w14:paraId="4419D0F4"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6ACF76AB" w14:textId="1A734F9E" w:rsidR="0057456C" w:rsidRDefault="0057456C" w:rsidP="00193DCE">
            <w:pPr>
              <w:rPr>
                <w:rFonts w:cstheme="minorHAnsi"/>
              </w:rPr>
            </w:pPr>
            <w:r>
              <w:rPr>
                <w:rFonts w:cstheme="minorHAnsi"/>
              </w:rPr>
              <w:t>Formats are cumbersome (14)</w:t>
            </w:r>
          </w:p>
        </w:tc>
        <w:tc>
          <w:tcPr>
            <w:tcW w:w="6930" w:type="dxa"/>
            <w:shd w:val="clear" w:color="auto" w:fill="D9E2F3"/>
          </w:tcPr>
          <w:p w14:paraId="34087914" w14:textId="3064C21F" w:rsidR="0057456C" w:rsidRPr="00806991" w:rsidRDefault="0057456C" w:rsidP="00193DCE">
            <w:pPr>
              <w:cnfStyle w:val="000000100000" w:firstRow="0" w:lastRow="0" w:firstColumn="0" w:lastColumn="0" w:oddVBand="0" w:evenVBand="0" w:oddHBand="1" w:evenHBand="0" w:firstRowFirstColumn="0" w:firstRowLastColumn="0" w:lastRowFirstColumn="0" w:lastRowLastColumn="0"/>
            </w:pPr>
            <w:r w:rsidRPr="00DC1F9A">
              <w:t>Utilizing braille, text-to-speech, and accessible tools (apps, calculators, etc.) is cumbersome.</w:t>
            </w:r>
            <w:r>
              <w:t xml:space="preserve"> (OR)</w:t>
            </w:r>
          </w:p>
        </w:tc>
      </w:tr>
      <w:tr w:rsidR="0057456C" w:rsidRPr="00CD254C" w14:paraId="0D238686"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754841D4" w14:textId="77777777" w:rsidR="0057456C" w:rsidRDefault="0057456C" w:rsidP="00193DCE">
            <w:pPr>
              <w:rPr>
                <w:rFonts w:cstheme="minorHAnsi"/>
              </w:rPr>
            </w:pPr>
          </w:p>
        </w:tc>
        <w:tc>
          <w:tcPr>
            <w:tcW w:w="6930" w:type="dxa"/>
          </w:tcPr>
          <w:p w14:paraId="701267C3" w14:textId="005C1DFC" w:rsidR="0057456C" w:rsidRPr="00806991" w:rsidRDefault="0057456C" w:rsidP="00193DCE">
            <w:pPr>
              <w:cnfStyle w:val="000000000000" w:firstRow="0" w:lastRow="0" w:firstColumn="0" w:lastColumn="0" w:oddVBand="0" w:evenVBand="0" w:oddHBand="0" w:evenHBand="0" w:firstRowFirstColumn="0" w:firstRowLastColumn="0" w:lastRowFirstColumn="0" w:lastRowLastColumn="0"/>
            </w:pPr>
            <w:r w:rsidRPr="00DC1F9A">
              <w:t>I think there's a couple of logistic things like space</w:t>
            </w:r>
            <w:r>
              <w:t>.</w:t>
            </w:r>
            <w:r w:rsidRPr="00DC1F9A">
              <w:t xml:space="preserve"> </w:t>
            </w:r>
            <w:r>
              <w:t>B</w:t>
            </w:r>
            <w:r w:rsidRPr="00DC1F9A">
              <w:t xml:space="preserve">raille books take up a lot of space in the classroom. It's always like, where can we store </w:t>
            </w:r>
            <w:r w:rsidR="00BB4D0B">
              <w:t>braille</w:t>
            </w:r>
            <w:r w:rsidRPr="00DC1F9A">
              <w:t xml:space="preserve"> books? How are they going to move '</w:t>
            </w:r>
            <w:proofErr w:type="spellStart"/>
            <w:r w:rsidRPr="00DC1F9A">
              <w:t>em</w:t>
            </w:r>
            <w:proofErr w:type="spellEnd"/>
            <w:r w:rsidRPr="00DC1F9A">
              <w:t xml:space="preserve"> from place to place to place?</w:t>
            </w:r>
            <w:r>
              <w:t xml:space="preserve"> (OR)</w:t>
            </w:r>
          </w:p>
        </w:tc>
      </w:tr>
      <w:tr w:rsidR="0057456C" w:rsidRPr="00CD254C" w14:paraId="178AC56C"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03EC01D2" w14:textId="77777777" w:rsidR="0057456C" w:rsidRDefault="0057456C" w:rsidP="00193DCE">
            <w:pPr>
              <w:rPr>
                <w:rFonts w:cstheme="minorHAnsi"/>
              </w:rPr>
            </w:pPr>
          </w:p>
        </w:tc>
        <w:tc>
          <w:tcPr>
            <w:tcW w:w="6930" w:type="dxa"/>
            <w:shd w:val="clear" w:color="auto" w:fill="D9E2F3"/>
          </w:tcPr>
          <w:p w14:paraId="100E8180" w14:textId="528DA4FB" w:rsidR="0057456C" w:rsidRPr="00806991" w:rsidRDefault="0057456C" w:rsidP="00193DCE">
            <w:pPr>
              <w:cnfStyle w:val="000000100000" w:firstRow="0" w:lastRow="0" w:firstColumn="0" w:lastColumn="0" w:oddVBand="0" w:evenVBand="0" w:oddHBand="1" w:evenHBand="0" w:firstRowFirstColumn="0" w:firstRowLastColumn="0" w:lastRowFirstColumn="0" w:lastRowLastColumn="0"/>
            </w:pPr>
            <w:r w:rsidRPr="00DC1F9A">
              <w:t>I also have noticed that size of the material can be a little cumbersome for storing in the classroom and moving from place to place.</w:t>
            </w:r>
            <w:r w:rsidR="00B15D22">
              <w:t xml:space="preserve"> </w:t>
            </w:r>
            <w:r>
              <w:t>(UT)</w:t>
            </w:r>
          </w:p>
        </w:tc>
      </w:tr>
      <w:tr w:rsidR="0057456C" w:rsidRPr="00CD254C" w14:paraId="2754D47B"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6CC737EB" w14:textId="77777777" w:rsidR="0057456C" w:rsidRDefault="0057456C" w:rsidP="00193DCE">
            <w:pPr>
              <w:rPr>
                <w:rFonts w:cstheme="minorHAnsi"/>
              </w:rPr>
            </w:pPr>
          </w:p>
        </w:tc>
        <w:tc>
          <w:tcPr>
            <w:tcW w:w="6930" w:type="dxa"/>
          </w:tcPr>
          <w:p w14:paraId="31B92889" w14:textId="4D7110F5" w:rsidR="0057456C" w:rsidRPr="00806991" w:rsidRDefault="002B5E3E" w:rsidP="00193DCE">
            <w:pPr>
              <w:cnfStyle w:val="000000000000" w:firstRow="0" w:lastRow="0" w:firstColumn="0" w:lastColumn="0" w:oddVBand="0" w:evenVBand="0" w:oddHBand="0" w:evenHBand="0" w:firstRowFirstColumn="0" w:firstRowLastColumn="0" w:lastRowFirstColumn="0" w:lastRowLastColumn="0"/>
            </w:pPr>
            <w:r>
              <w:t xml:space="preserve">For </w:t>
            </w:r>
            <w:r w:rsidR="0057456C" w:rsidRPr="00DC1F9A">
              <w:t>the student I was working with, his books were heavy</w:t>
            </w:r>
            <w:r>
              <w:t xml:space="preserve"> and</w:t>
            </w:r>
            <w:r w:rsidR="0057456C" w:rsidRPr="00DC1F9A">
              <w:t xml:space="preserve"> large</w:t>
            </w:r>
            <w:r>
              <w:t xml:space="preserve">. </w:t>
            </w:r>
            <w:r w:rsidR="0057456C" w:rsidRPr="00DC1F9A">
              <w:t>So</w:t>
            </w:r>
            <w:r w:rsidR="0057456C">
              <w:t>,</w:t>
            </w:r>
            <w:r w:rsidR="0057456C" w:rsidRPr="00DC1F9A">
              <w:t xml:space="preserve"> if you're carrying that from one place to another, I think intentionally he'd leave them sometimes. Yeah, I do think it was intentional. I mean, it's not that he didn't want to learn. That's a lot to carry.</w:t>
            </w:r>
            <w:r w:rsidR="0057456C">
              <w:t xml:space="preserve"> (UT)</w:t>
            </w:r>
          </w:p>
        </w:tc>
      </w:tr>
      <w:tr w:rsidR="0057456C" w:rsidRPr="00CD254C" w14:paraId="0AA578C6"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1700E4DA" w14:textId="77777777" w:rsidR="0057456C" w:rsidRDefault="0057456C" w:rsidP="00193DCE">
            <w:pPr>
              <w:rPr>
                <w:rFonts w:cstheme="minorHAnsi"/>
              </w:rPr>
            </w:pPr>
          </w:p>
        </w:tc>
        <w:tc>
          <w:tcPr>
            <w:tcW w:w="6930" w:type="dxa"/>
            <w:shd w:val="clear" w:color="auto" w:fill="D9E2F3"/>
          </w:tcPr>
          <w:p w14:paraId="185832E7" w14:textId="2D37C696" w:rsidR="0057456C" w:rsidRPr="00806991" w:rsidRDefault="0057456C" w:rsidP="00193DCE">
            <w:pPr>
              <w:cnfStyle w:val="000000100000" w:firstRow="0" w:lastRow="0" w:firstColumn="0" w:lastColumn="0" w:oddVBand="0" w:evenVBand="0" w:oddHBand="1" w:evenHBand="0" w:firstRowFirstColumn="0" w:firstRowLastColumn="0" w:lastRowFirstColumn="0" w:lastRowLastColumn="0"/>
            </w:pPr>
            <w:r>
              <w:t>One of my students</w:t>
            </w:r>
            <w:r w:rsidRPr="00DC1F9A">
              <w:t xml:space="preserve"> does not like that the book is so big </w:t>
            </w:r>
            <w:r>
              <w:t>and</w:t>
            </w:r>
            <w:r w:rsidRPr="00DC1F9A">
              <w:t xml:space="preserve"> doesn't necessarily fit in her locker</w:t>
            </w:r>
            <w:r w:rsidR="002B5E3E">
              <w:t>.</w:t>
            </w:r>
            <w:r w:rsidRPr="00DC1F9A">
              <w:t xml:space="preserve"> So, she tries to keep </w:t>
            </w:r>
            <w:r w:rsidR="002B5E3E">
              <w:t>it</w:t>
            </w:r>
            <w:r w:rsidRPr="00DC1F9A">
              <w:t xml:space="preserve"> in the classroom as much as possible</w:t>
            </w:r>
            <w:r>
              <w:t>.</w:t>
            </w:r>
            <w:r w:rsidRPr="00DC1F9A">
              <w:t xml:space="preserve"> </w:t>
            </w:r>
            <w:r>
              <w:t>B</w:t>
            </w:r>
            <w:r w:rsidRPr="00DC1F9A">
              <w:t>ut then</w:t>
            </w:r>
            <w:r w:rsidR="002B5E3E">
              <w:t>,</w:t>
            </w:r>
            <w:r w:rsidRPr="00DC1F9A">
              <w:t xml:space="preserve"> if she has homework, she's got to take it home</w:t>
            </w:r>
            <w:r w:rsidR="002B5E3E">
              <w:t>,</w:t>
            </w:r>
            <w:r w:rsidRPr="00DC1F9A">
              <w:t xml:space="preserve"> and she's in middle school. She doesn't want to look different than her peers.</w:t>
            </w:r>
            <w:r>
              <w:t xml:space="preserve"> (IA)</w:t>
            </w:r>
          </w:p>
        </w:tc>
      </w:tr>
      <w:tr w:rsidR="0057456C" w:rsidRPr="00CD254C" w14:paraId="5CD837C8"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509F957A" w14:textId="413E5819" w:rsidR="0057456C" w:rsidRDefault="0057456C" w:rsidP="00193DCE">
            <w:pPr>
              <w:rPr>
                <w:rFonts w:cstheme="minorHAnsi"/>
              </w:rPr>
            </w:pPr>
            <w:r>
              <w:rPr>
                <w:rFonts w:cstheme="minorHAnsi"/>
              </w:rPr>
              <w:t xml:space="preserve">Challenges associated with </w:t>
            </w:r>
            <w:r w:rsidR="005C5521">
              <w:rPr>
                <w:rFonts w:cstheme="minorHAnsi"/>
              </w:rPr>
              <w:t>AT</w:t>
            </w:r>
            <w:r>
              <w:rPr>
                <w:rFonts w:cstheme="minorHAnsi"/>
              </w:rPr>
              <w:t xml:space="preserve"> (13)</w:t>
            </w:r>
          </w:p>
        </w:tc>
        <w:tc>
          <w:tcPr>
            <w:tcW w:w="6930" w:type="dxa"/>
          </w:tcPr>
          <w:p w14:paraId="15363D3E" w14:textId="4452BE88" w:rsidR="0057456C" w:rsidRPr="00806991" w:rsidRDefault="0057456C" w:rsidP="00193DCE">
            <w:pPr>
              <w:cnfStyle w:val="000000000000" w:firstRow="0" w:lastRow="0" w:firstColumn="0" w:lastColumn="0" w:oddVBand="0" w:evenVBand="0" w:oddHBand="0" w:evenHBand="0" w:firstRowFirstColumn="0" w:firstRowLastColumn="0" w:lastRowFirstColumn="0" w:lastRowLastColumn="0"/>
            </w:pPr>
            <w:r w:rsidRPr="0057456C">
              <w:t>Sometimes</w:t>
            </w:r>
            <w:r w:rsidR="00D05391">
              <w:t>,</w:t>
            </w:r>
            <w:r w:rsidRPr="0057456C">
              <w:t xml:space="preserve"> the networks at the school districts</w:t>
            </w:r>
            <w:r w:rsidR="003049DE">
              <w:t xml:space="preserve"> </w:t>
            </w:r>
            <w:r w:rsidRPr="0057456C">
              <w:t xml:space="preserve">are so heavily filtered that it is hard to connect with online resources. </w:t>
            </w:r>
            <w:r w:rsidR="00D05391">
              <w:t>I</w:t>
            </w:r>
            <w:r w:rsidRPr="0057456C">
              <w:t>f they're using an app like the Bookshare reader, that app may not work because it's being blocked by their Wi-Fi network, their internet filters.</w:t>
            </w:r>
            <w:r>
              <w:t xml:space="preserve"> (OH)</w:t>
            </w:r>
          </w:p>
        </w:tc>
      </w:tr>
      <w:tr w:rsidR="005760F6" w:rsidRPr="00CD254C" w14:paraId="57DD04F0"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0CA42C19" w14:textId="1A496509" w:rsidR="005760F6" w:rsidRDefault="005760F6" w:rsidP="00193DCE">
            <w:pPr>
              <w:rPr>
                <w:rFonts w:cstheme="minorHAnsi"/>
              </w:rPr>
            </w:pPr>
          </w:p>
        </w:tc>
        <w:tc>
          <w:tcPr>
            <w:tcW w:w="6930" w:type="dxa"/>
            <w:shd w:val="clear" w:color="auto" w:fill="D9E2F3"/>
          </w:tcPr>
          <w:p w14:paraId="113C783A" w14:textId="35644AE9" w:rsidR="005760F6" w:rsidRPr="00806991" w:rsidRDefault="005760F6" w:rsidP="00193DCE">
            <w:pPr>
              <w:cnfStyle w:val="000000100000" w:firstRow="0" w:lastRow="0" w:firstColumn="0" w:lastColumn="0" w:oddVBand="0" w:evenVBand="0" w:oddHBand="1" w:evenHBand="0" w:firstRowFirstColumn="0" w:firstRowLastColumn="0" w:lastRowFirstColumn="0" w:lastRowLastColumn="0"/>
            </w:pPr>
            <w:r w:rsidRPr="0057456C">
              <w:t>I've consulted with some other AT folks where the districts, the IT</w:t>
            </w:r>
            <w:r>
              <w:t xml:space="preserve">, </w:t>
            </w:r>
            <w:r w:rsidRPr="0057456C">
              <w:t>immediately blocks things. We had dictation blocked in one district for most of the year because of student data privacy concerns.</w:t>
            </w:r>
            <w:r>
              <w:t xml:space="preserve"> (OR)</w:t>
            </w:r>
          </w:p>
        </w:tc>
      </w:tr>
      <w:tr w:rsidR="005760F6" w:rsidRPr="00CD254C" w14:paraId="3B6B89EE"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7E04B9F1" w14:textId="77777777" w:rsidR="005760F6" w:rsidRDefault="005760F6" w:rsidP="00193DCE">
            <w:pPr>
              <w:rPr>
                <w:rFonts w:cstheme="minorHAnsi"/>
              </w:rPr>
            </w:pPr>
          </w:p>
        </w:tc>
        <w:tc>
          <w:tcPr>
            <w:tcW w:w="6930" w:type="dxa"/>
          </w:tcPr>
          <w:p w14:paraId="165E518F" w14:textId="1C8981A3" w:rsidR="005760F6" w:rsidRPr="00806991" w:rsidRDefault="005760F6" w:rsidP="00193DCE">
            <w:pPr>
              <w:cnfStyle w:val="000000000000" w:firstRow="0" w:lastRow="0" w:firstColumn="0" w:lastColumn="0" w:oddVBand="0" w:evenVBand="0" w:oddHBand="0" w:evenHBand="0" w:firstRowFirstColumn="0" w:firstRowLastColumn="0" w:lastRowFirstColumn="0" w:lastRowLastColumn="0"/>
            </w:pPr>
            <w:r w:rsidRPr="0057456C">
              <w:t xml:space="preserve">The more we're doing stuff online, the more </w:t>
            </w:r>
            <w:proofErr w:type="gramStart"/>
            <w:r w:rsidRPr="0057456C">
              <w:t>it's difficult</w:t>
            </w:r>
            <w:proofErr w:type="gramEnd"/>
            <w:r w:rsidRPr="0057456C">
              <w:t xml:space="preserve"> to access things in a district IT environment. For example, we had a district block our students' iPads to the internet so they couldn't get to Bookshare.</w:t>
            </w:r>
            <w:r>
              <w:t xml:space="preserve"> (OR)</w:t>
            </w:r>
          </w:p>
        </w:tc>
      </w:tr>
      <w:tr w:rsidR="005760F6" w:rsidRPr="00CD254C" w14:paraId="5FA52D87"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40805F90" w14:textId="77777777" w:rsidR="005760F6" w:rsidRDefault="005760F6" w:rsidP="00193DCE">
            <w:pPr>
              <w:rPr>
                <w:rFonts w:cstheme="minorHAnsi"/>
              </w:rPr>
            </w:pPr>
          </w:p>
        </w:tc>
        <w:tc>
          <w:tcPr>
            <w:tcW w:w="6930" w:type="dxa"/>
            <w:shd w:val="clear" w:color="auto" w:fill="D9E2F3"/>
          </w:tcPr>
          <w:p w14:paraId="17DEF68D" w14:textId="2FDBC10B" w:rsidR="005760F6" w:rsidRPr="00806991" w:rsidRDefault="005760F6" w:rsidP="00193DCE">
            <w:pPr>
              <w:cnfStyle w:val="000000100000" w:firstRow="0" w:lastRow="0" w:firstColumn="0" w:lastColumn="0" w:oddVBand="0" w:evenVBand="0" w:oddHBand="1" w:evenHBand="0" w:firstRowFirstColumn="0" w:firstRowLastColumn="0" w:lastRowFirstColumn="0" w:lastRowLastColumn="0"/>
            </w:pPr>
            <w:r w:rsidRPr="005760F6">
              <w:t xml:space="preserve">In order to get technology, we often have to go through a </w:t>
            </w:r>
            <w:r w:rsidR="00D05391" w:rsidRPr="005760F6">
              <w:t>month’s</w:t>
            </w:r>
            <w:r w:rsidR="00D05391">
              <w:t xml:space="preserve"> </w:t>
            </w:r>
            <w:r w:rsidRPr="005760F6">
              <w:t>long approval process. Just getting JAWS is a nightmare.</w:t>
            </w:r>
            <w:r>
              <w:t xml:space="preserve"> (VA)</w:t>
            </w:r>
          </w:p>
        </w:tc>
      </w:tr>
      <w:tr w:rsidR="005760F6" w:rsidRPr="00CD254C" w14:paraId="1FA4300C"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0DFA731C" w14:textId="31CF7A35" w:rsidR="005760F6" w:rsidRDefault="005760F6" w:rsidP="00193DCE">
            <w:pPr>
              <w:rPr>
                <w:rFonts w:cstheme="minorHAnsi"/>
              </w:rPr>
            </w:pPr>
            <w:r>
              <w:rPr>
                <w:rFonts w:cstheme="minorHAnsi"/>
              </w:rPr>
              <w:t xml:space="preserve">Lack of </w:t>
            </w:r>
            <w:r w:rsidR="005C5521">
              <w:rPr>
                <w:rFonts w:cstheme="minorHAnsi"/>
              </w:rPr>
              <w:t>AT</w:t>
            </w:r>
            <w:r>
              <w:rPr>
                <w:rFonts w:cstheme="minorHAnsi"/>
              </w:rPr>
              <w:t xml:space="preserve"> (5)</w:t>
            </w:r>
          </w:p>
        </w:tc>
        <w:tc>
          <w:tcPr>
            <w:tcW w:w="6930" w:type="dxa"/>
          </w:tcPr>
          <w:p w14:paraId="5C1EAB73" w14:textId="6A0E65F6" w:rsidR="005760F6" w:rsidRPr="00806991" w:rsidRDefault="005760F6" w:rsidP="00193DCE">
            <w:pPr>
              <w:cnfStyle w:val="000000000000" w:firstRow="0" w:lastRow="0" w:firstColumn="0" w:lastColumn="0" w:oddVBand="0" w:evenVBand="0" w:oddHBand="0" w:evenHBand="0" w:firstRowFirstColumn="0" w:firstRowLastColumn="0" w:lastRowFirstColumn="0" w:lastRowLastColumn="0"/>
            </w:pPr>
            <w:r w:rsidRPr="005760F6">
              <w:t xml:space="preserve">Funds to provide AT like talking calculators </w:t>
            </w:r>
            <w:r w:rsidR="009D3ADA">
              <w:t>are</w:t>
            </w:r>
            <w:r w:rsidRPr="005760F6">
              <w:t xml:space="preserve"> no longer available. We must be able to provide tools that help our students access the curriculum</w:t>
            </w:r>
            <w:r>
              <w:t>. (OR)</w:t>
            </w:r>
          </w:p>
        </w:tc>
      </w:tr>
      <w:tr w:rsidR="005760F6" w:rsidRPr="00CD254C" w14:paraId="600DA1DB"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3A889651" w14:textId="77777777" w:rsidR="005760F6" w:rsidRDefault="005760F6" w:rsidP="00193DCE">
            <w:pPr>
              <w:rPr>
                <w:rFonts w:cstheme="minorHAnsi"/>
              </w:rPr>
            </w:pPr>
          </w:p>
        </w:tc>
        <w:tc>
          <w:tcPr>
            <w:tcW w:w="6930" w:type="dxa"/>
            <w:shd w:val="clear" w:color="auto" w:fill="D9E2F3"/>
          </w:tcPr>
          <w:p w14:paraId="24FB8442" w14:textId="17E6B0B3" w:rsidR="005760F6" w:rsidRPr="00806991" w:rsidRDefault="005760F6" w:rsidP="00193DCE">
            <w:pPr>
              <w:cnfStyle w:val="000000100000" w:firstRow="0" w:lastRow="0" w:firstColumn="0" w:lastColumn="0" w:oddVBand="0" w:evenVBand="0" w:oddHBand="1" w:evenHBand="0" w:firstRowFirstColumn="0" w:firstRowLastColumn="0" w:lastRowFirstColumn="0" w:lastRowLastColumn="0"/>
            </w:pPr>
            <w:r>
              <w:t>W</w:t>
            </w:r>
            <w:r w:rsidRPr="005760F6">
              <w:t>e don't have enough technology.</w:t>
            </w:r>
            <w:r>
              <w:t xml:space="preserve"> (AR)</w:t>
            </w:r>
          </w:p>
        </w:tc>
      </w:tr>
      <w:tr w:rsidR="005760F6" w:rsidRPr="00CD254C" w14:paraId="0897646D"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0621417F" w14:textId="77777777" w:rsidR="005760F6" w:rsidRDefault="005760F6" w:rsidP="00193DCE">
            <w:pPr>
              <w:rPr>
                <w:rFonts w:cstheme="minorHAnsi"/>
              </w:rPr>
            </w:pPr>
          </w:p>
        </w:tc>
        <w:tc>
          <w:tcPr>
            <w:tcW w:w="6930" w:type="dxa"/>
          </w:tcPr>
          <w:p w14:paraId="44DA5FBB" w14:textId="0815900F" w:rsidR="005760F6" w:rsidRPr="00806991" w:rsidRDefault="005760F6" w:rsidP="00193DCE">
            <w:pPr>
              <w:cnfStyle w:val="000000000000" w:firstRow="0" w:lastRow="0" w:firstColumn="0" w:lastColumn="0" w:oddVBand="0" w:evenVBand="0" w:oddHBand="0" w:evenHBand="0" w:firstRowFirstColumn="0" w:firstRowLastColumn="0" w:lastRowFirstColumn="0" w:lastRowLastColumn="0"/>
            </w:pPr>
            <w:r w:rsidRPr="005760F6">
              <w:t>Some of the technology that is supposedly available via quota funds is not available to us.</w:t>
            </w:r>
            <w:r>
              <w:t xml:space="preserve"> (VA)</w:t>
            </w:r>
          </w:p>
        </w:tc>
      </w:tr>
      <w:tr w:rsidR="005760F6" w:rsidRPr="00CD254C" w14:paraId="1F698E41"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400DBDEE" w14:textId="00125B7B" w:rsidR="005760F6" w:rsidRDefault="005760F6" w:rsidP="00193DCE">
            <w:pPr>
              <w:rPr>
                <w:rFonts w:cstheme="minorHAnsi"/>
              </w:rPr>
            </w:pPr>
            <w:r>
              <w:rPr>
                <w:rFonts w:cstheme="minorHAnsi"/>
              </w:rPr>
              <w:t>Backup materials used as students wait for accessible formats (5)</w:t>
            </w:r>
          </w:p>
        </w:tc>
        <w:tc>
          <w:tcPr>
            <w:tcW w:w="6930" w:type="dxa"/>
            <w:shd w:val="clear" w:color="auto" w:fill="D9E2F3"/>
          </w:tcPr>
          <w:p w14:paraId="6A3C1E76" w14:textId="6FFF71B3" w:rsidR="005760F6" w:rsidRPr="00806991" w:rsidRDefault="005760F6" w:rsidP="00193DCE">
            <w:pPr>
              <w:cnfStyle w:val="000000100000" w:firstRow="0" w:lastRow="0" w:firstColumn="0" w:lastColumn="0" w:oddVBand="0" w:evenVBand="0" w:oddHBand="1" w:evenHBand="0" w:firstRowFirstColumn="0" w:firstRowLastColumn="0" w:lastRowFirstColumn="0" w:lastRowLastColumn="0"/>
            </w:pPr>
            <w:r w:rsidRPr="005760F6">
              <w:t>Bookshare.org is the best back up we have but still, some</w:t>
            </w:r>
            <w:r w:rsidR="003049DE">
              <w:t xml:space="preserve"> students</w:t>
            </w:r>
            <w:r w:rsidRPr="005760F6">
              <w:t xml:space="preserve"> need the braille and large print which takes the longest to be delivered.</w:t>
            </w:r>
            <w:r>
              <w:t xml:space="preserve"> (AL)</w:t>
            </w:r>
          </w:p>
        </w:tc>
      </w:tr>
      <w:tr w:rsidR="005760F6" w:rsidRPr="00CD254C" w14:paraId="2376662F"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7968B27F" w14:textId="77777777" w:rsidR="005760F6" w:rsidRDefault="005760F6" w:rsidP="00193DCE">
            <w:pPr>
              <w:rPr>
                <w:rFonts w:cstheme="minorHAnsi"/>
              </w:rPr>
            </w:pPr>
          </w:p>
        </w:tc>
        <w:tc>
          <w:tcPr>
            <w:tcW w:w="6930" w:type="dxa"/>
          </w:tcPr>
          <w:p w14:paraId="4094B1D1" w14:textId="36754C64" w:rsidR="005760F6" w:rsidRPr="00806991" w:rsidRDefault="005760F6" w:rsidP="00193DCE">
            <w:pPr>
              <w:cnfStyle w:val="000000000000" w:firstRow="0" w:lastRow="0" w:firstColumn="0" w:lastColumn="0" w:oddVBand="0" w:evenVBand="0" w:oddHBand="0" w:evenHBand="0" w:firstRowFirstColumn="0" w:firstRowLastColumn="0" w:lastRowFirstColumn="0" w:lastRowLastColumn="0"/>
            </w:pPr>
            <w:r w:rsidRPr="005760F6">
              <w:t>"Backup" materials produced quickly</w:t>
            </w:r>
            <w:r w:rsidR="00DF15C2">
              <w:t>,</w:t>
            </w:r>
            <w:r w:rsidRPr="005760F6">
              <w:t xml:space="preserve"> or use of more readily available audio file accessible format</w:t>
            </w:r>
            <w:r w:rsidR="00DF15C2">
              <w:t>s,</w:t>
            </w:r>
            <w:r w:rsidRPr="005760F6">
              <w:t xml:space="preserve"> are not always a good match for the student.</w:t>
            </w:r>
            <w:r>
              <w:t xml:space="preserve"> (CO)</w:t>
            </w:r>
          </w:p>
        </w:tc>
      </w:tr>
      <w:tr w:rsidR="002D40C7" w:rsidRPr="00CD254C" w14:paraId="7C6B3474"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3462F055" w14:textId="15A36D1A" w:rsidR="002D40C7" w:rsidRDefault="002D40C7" w:rsidP="00193DCE">
            <w:pPr>
              <w:rPr>
                <w:rFonts w:cstheme="minorHAnsi"/>
              </w:rPr>
            </w:pPr>
            <w:bookmarkStart w:id="39" w:name="_Hlk215336879"/>
            <w:r>
              <w:rPr>
                <w:rFonts w:cstheme="minorHAnsi"/>
              </w:rPr>
              <w:t>Materials that claim to be accessible are not accessible (5)</w:t>
            </w:r>
            <w:bookmarkEnd w:id="39"/>
          </w:p>
        </w:tc>
        <w:tc>
          <w:tcPr>
            <w:tcW w:w="6930" w:type="dxa"/>
            <w:shd w:val="clear" w:color="auto" w:fill="D9E2F3"/>
          </w:tcPr>
          <w:p w14:paraId="52AAC598" w14:textId="5D148A98" w:rsidR="002D40C7" w:rsidRPr="005760F6" w:rsidRDefault="002D40C7" w:rsidP="00193DCE">
            <w:pPr>
              <w:cnfStyle w:val="000000100000" w:firstRow="0" w:lastRow="0" w:firstColumn="0" w:lastColumn="0" w:oddVBand="0" w:evenVBand="0" w:oddHBand="1" w:evenHBand="0" w:firstRowFirstColumn="0" w:firstRowLastColumn="0" w:lastRowFirstColumn="0" w:lastRowLastColumn="0"/>
            </w:pPr>
            <w:r>
              <w:t>T</w:t>
            </w:r>
            <w:r w:rsidRPr="002D40C7">
              <w:t xml:space="preserve">he curriculum that we </w:t>
            </w:r>
            <w:proofErr w:type="gramStart"/>
            <w:r w:rsidRPr="002D40C7">
              <w:t>got</w:t>
            </w:r>
            <w:proofErr w:type="gramEnd"/>
            <w:r w:rsidRPr="002D40C7">
              <w:t xml:space="preserve"> is not at all accessible, even though it says it has accessible features and </w:t>
            </w:r>
            <w:r w:rsidR="00362456">
              <w:t>is</w:t>
            </w:r>
            <w:r w:rsidRPr="002D40C7">
              <w:t xml:space="preserve"> accessible for all learners</w:t>
            </w:r>
            <w:r>
              <w:t>. A</w:t>
            </w:r>
            <w:r w:rsidRPr="002D40C7">
              <w:t>nd it's like, wow. But nobody thought about the vision kid</w:t>
            </w:r>
            <w:r w:rsidR="00362456">
              <w:t>:</w:t>
            </w:r>
            <w:r>
              <w:t xml:space="preserve"> </w:t>
            </w:r>
            <w:r w:rsidR="00362456">
              <w:t>T</w:t>
            </w:r>
            <w:r>
              <w:t xml:space="preserve">his curriculum has an online component. Students are able to access their book online, </w:t>
            </w:r>
            <w:r w:rsidR="00362456">
              <w:t xml:space="preserve">and </w:t>
            </w:r>
            <w:r>
              <w:t xml:space="preserve">supposedly it has </w:t>
            </w:r>
            <w:r w:rsidR="00362456">
              <w:t>a</w:t>
            </w:r>
            <w:r>
              <w:t xml:space="preserve"> read aloud feature</w:t>
            </w:r>
            <w:r w:rsidR="00362456">
              <w:t xml:space="preserve"> and s</w:t>
            </w:r>
            <w:r>
              <w:t xml:space="preserve">tudents with </w:t>
            </w:r>
            <w:proofErr w:type="gramStart"/>
            <w:r>
              <w:t>a visual</w:t>
            </w:r>
            <w:proofErr w:type="gramEnd"/>
            <w:r>
              <w:t xml:space="preserve"> impairment are able to use the magnification tools built into their device</w:t>
            </w:r>
            <w:r w:rsidR="00362456">
              <w:t xml:space="preserve">. Well, </w:t>
            </w:r>
            <w:r>
              <w:t>then when you go and look at that, in order for me to read it</w:t>
            </w:r>
            <w:r w:rsidR="00362456">
              <w:t xml:space="preserve">, </w:t>
            </w:r>
            <w:r>
              <w:t>I now have to move my screen all over the place and</w:t>
            </w:r>
            <w:r w:rsidR="00362456">
              <w:t xml:space="preserve"> </w:t>
            </w:r>
            <w:r>
              <w:t>scroll to the bottom to be able to locate the turn</w:t>
            </w:r>
            <w:r w:rsidR="00362456">
              <w:t>-</w:t>
            </w:r>
            <w:r>
              <w:t xml:space="preserve">in button. And sometimes I have a few students that also have fine motor issues. </w:t>
            </w:r>
            <w:r w:rsidR="00362456">
              <w:t>J</w:t>
            </w:r>
            <w:r>
              <w:t>ust being able to get over to the bottom of the screen has been extremely frustrating. (OH)</w:t>
            </w:r>
          </w:p>
        </w:tc>
      </w:tr>
      <w:tr w:rsidR="002D40C7" w:rsidRPr="00CD254C" w14:paraId="2E2BFBC8"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59AF21B2" w14:textId="77777777" w:rsidR="002D40C7" w:rsidRDefault="002D40C7" w:rsidP="00193DCE">
            <w:pPr>
              <w:rPr>
                <w:rFonts w:cstheme="minorHAnsi"/>
              </w:rPr>
            </w:pPr>
          </w:p>
        </w:tc>
        <w:tc>
          <w:tcPr>
            <w:tcW w:w="6930" w:type="dxa"/>
          </w:tcPr>
          <w:p w14:paraId="2EAC9710" w14:textId="271C867C" w:rsidR="002D40C7" w:rsidRPr="005760F6" w:rsidRDefault="009F20BD" w:rsidP="00193DCE">
            <w:pPr>
              <w:cnfStyle w:val="000000000000" w:firstRow="0" w:lastRow="0" w:firstColumn="0" w:lastColumn="0" w:oddVBand="0" w:evenVBand="0" w:oddHBand="0" w:evenHBand="0" w:firstRowFirstColumn="0" w:firstRowLastColumn="0" w:lastRowFirstColumn="0" w:lastRowLastColumn="0"/>
            </w:pPr>
            <w:r>
              <w:t>S</w:t>
            </w:r>
            <w:r w:rsidR="002D40C7" w:rsidRPr="002D40C7">
              <w:t>chool districts are thinking</w:t>
            </w:r>
            <w:r>
              <w:t xml:space="preserve"> that </w:t>
            </w:r>
            <w:r w:rsidR="002D40C7">
              <w:t>these online programs are</w:t>
            </w:r>
            <w:r w:rsidR="002D40C7" w:rsidRPr="002D40C7">
              <w:t xml:space="preserve"> great</w:t>
            </w:r>
            <w:r w:rsidR="002D40C7">
              <w:t>.</w:t>
            </w:r>
            <w:r w:rsidR="002D40C7" w:rsidRPr="002D40C7">
              <w:t xml:space="preserve"> </w:t>
            </w:r>
            <w:r w:rsidR="002D40C7">
              <w:t>A</w:t>
            </w:r>
            <w:r w:rsidR="002D40C7" w:rsidRPr="002D40C7">
              <w:t xml:space="preserve">nd </w:t>
            </w:r>
            <w:r>
              <w:t>they are</w:t>
            </w:r>
            <w:r w:rsidR="002D40C7" w:rsidRPr="002D40C7">
              <w:t xml:space="preserve"> great if your vision is normal</w:t>
            </w:r>
            <w:r>
              <w:t>.</w:t>
            </w:r>
            <w:r w:rsidR="002D40C7">
              <w:t xml:space="preserve"> T</w:t>
            </w:r>
            <w:r w:rsidR="002D40C7" w:rsidRPr="002D40C7">
              <w:t xml:space="preserve">hey've put on their screen </w:t>
            </w:r>
            <w:r w:rsidR="002D40C7">
              <w:t xml:space="preserve">a </w:t>
            </w:r>
            <w:r w:rsidR="002D40C7" w:rsidRPr="002D40C7">
              <w:t>little microphone or speakers</w:t>
            </w:r>
            <w:r>
              <w:t>,</w:t>
            </w:r>
            <w:r w:rsidR="002D40C7" w:rsidRPr="002D40C7">
              <w:t xml:space="preserve"> and </w:t>
            </w:r>
            <w:r w:rsidR="002D40C7">
              <w:t>students</w:t>
            </w:r>
            <w:r w:rsidR="002D40C7" w:rsidRPr="002D40C7">
              <w:t xml:space="preserve"> can click on t</w:t>
            </w:r>
            <w:r>
              <w:t>h</w:t>
            </w:r>
            <w:r w:rsidR="002D40C7" w:rsidRPr="002D40C7">
              <w:t xml:space="preserve">at and </w:t>
            </w:r>
            <w:proofErr w:type="gramStart"/>
            <w:r w:rsidR="002D40C7" w:rsidRPr="002D40C7">
              <w:t>it'll</w:t>
            </w:r>
            <w:proofErr w:type="gramEnd"/>
            <w:r w:rsidR="002D40C7" w:rsidRPr="002D40C7">
              <w:t xml:space="preserve"> read to them. But that</w:t>
            </w:r>
            <w:r w:rsidR="002D40C7">
              <w:t xml:space="preserve"> </w:t>
            </w:r>
            <w:r w:rsidR="002D40C7" w:rsidRPr="002D40C7">
              <w:t>doesn't mean the student can navigate around the screen and get to that</w:t>
            </w:r>
            <w:r>
              <w:t xml:space="preserve">, or that </w:t>
            </w:r>
            <w:r w:rsidR="002D40C7" w:rsidRPr="002D40C7">
              <w:t xml:space="preserve">the student gets to really read. </w:t>
            </w:r>
            <w:r>
              <w:t>It</w:t>
            </w:r>
            <w:r w:rsidR="002D40C7" w:rsidRPr="002D40C7">
              <w:t xml:space="preserve"> means they can hear it. That is not the same as reading. </w:t>
            </w:r>
            <w:r>
              <w:t>I</w:t>
            </w:r>
            <w:r w:rsidR="002D40C7" w:rsidRPr="002D40C7">
              <w:t>t's just so frustrating to have all these schools doing all these cool things with all their kids, and then our kids are left out</w:t>
            </w:r>
            <w:r>
              <w:t>,</w:t>
            </w:r>
            <w:r w:rsidR="002D40C7" w:rsidRPr="002D40C7">
              <w:t xml:space="preserve"> or somebody has to read it to </w:t>
            </w:r>
            <w:r>
              <w:t>them,</w:t>
            </w:r>
            <w:r w:rsidR="002D40C7" w:rsidRPr="002D40C7">
              <w:t xml:space="preserve"> or somebody has to do it for them</w:t>
            </w:r>
            <w:r>
              <w:t>. It</w:t>
            </w:r>
            <w:r w:rsidR="002D40C7" w:rsidRPr="002D40C7">
              <w:t>'s fun for all the other kids</w:t>
            </w:r>
            <w:r>
              <w:t>,</w:t>
            </w:r>
            <w:r w:rsidR="002D40C7" w:rsidRPr="002D40C7">
              <w:t xml:space="preserve"> and they don't get to enjoy it.</w:t>
            </w:r>
            <w:r w:rsidR="002D40C7">
              <w:t xml:space="preserve"> (IA)</w:t>
            </w:r>
          </w:p>
        </w:tc>
      </w:tr>
      <w:tr w:rsidR="00496BE9" w:rsidRPr="00CD254C" w14:paraId="7FB19827"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2EB02553" w14:textId="77777777" w:rsidR="00496BE9" w:rsidRDefault="00496BE9" w:rsidP="00193DCE">
            <w:pPr>
              <w:rPr>
                <w:rFonts w:cstheme="minorHAnsi"/>
              </w:rPr>
            </w:pPr>
          </w:p>
        </w:tc>
        <w:tc>
          <w:tcPr>
            <w:tcW w:w="6930" w:type="dxa"/>
            <w:shd w:val="clear" w:color="auto" w:fill="D9E2F3"/>
          </w:tcPr>
          <w:p w14:paraId="3694A603" w14:textId="6D4EABCC" w:rsidR="00496BE9" w:rsidRPr="005760F6" w:rsidRDefault="00496BE9" w:rsidP="00193DCE">
            <w:pPr>
              <w:cnfStyle w:val="000000100000" w:firstRow="0" w:lastRow="0" w:firstColumn="0" w:lastColumn="0" w:oddVBand="0" w:evenVBand="0" w:oddHBand="1" w:evenHBand="0" w:firstRowFirstColumn="0" w:firstRowLastColumn="0" w:lastRowFirstColumn="0" w:lastRowLastColumn="0"/>
            </w:pPr>
            <w:r w:rsidRPr="002D40C7">
              <w:t>Materials may be identified as accessible, when they are not.</w:t>
            </w:r>
            <w:r>
              <w:t xml:space="preserve"> (VA)</w:t>
            </w:r>
          </w:p>
        </w:tc>
      </w:tr>
      <w:tr w:rsidR="00496BE9" w:rsidRPr="00CD254C" w14:paraId="4AD7D014"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75D47A9D" w14:textId="14406C7F" w:rsidR="00496BE9" w:rsidRDefault="00496BE9" w:rsidP="00193DCE">
            <w:pPr>
              <w:rPr>
                <w:rFonts w:cstheme="minorHAnsi"/>
              </w:rPr>
            </w:pPr>
            <w:r>
              <w:rPr>
                <w:rFonts w:cstheme="minorHAnsi"/>
              </w:rPr>
              <w:t>Pressure to use formats that are readily accessible or least expensive (4)</w:t>
            </w:r>
          </w:p>
        </w:tc>
        <w:tc>
          <w:tcPr>
            <w:tcW w:w="6930" w:type="dxa"/>
          </w:tcPr>
          <w:p w14:paraId="7370D63D" w14:textId="158789FE" w:rsidR="00496BE9" w:rsidRPr="005760F6" w:rsidRDefault="00496BE9" w:rsidP="00193DCE">
            <w:pPr>
              <w:cnfStyle w:val="000000000000" w:firstRow="0" w:lastRow="0" w:firstColumn="0" w:lastColumn="0" w:oddVBand="0" w:evenVBand="0" w:oddHBand="0" w:evenHBand="0" w:firstRowFirstColumn="0" w:firstRowLastColumn="0" w:lastRowFirstColumn="0" w:lastRowLastColumn="0"/>
            </w:pPr>
            <w:r w:rsidRPr="003260C5">
              <w:t>I think schools</w:t>
            </w:r>
            <w:r>
              <w:t xml:space="preserve"> </w:t>
            </w:r>
            <w:r w:rsidRPr="003260C5">
              <w:t xml:space="preserve">pick and choose the assistive technology that these kids are forced to learn how to use in order to read their accessible materials. So, if I had a preference, I would never touch a Google Chromebook or a MacBook or an iPad. I want </w:t>
            </w:r>
            <w:proofErr w:type="gramStart"/>
            <w:r w:rsidRPr="003260C5">
              <w:t>a Windows</w:t>
            </w:r>
            <w:proofErr w:type="gramEnd"/>
            <w:r w:rsidRPr="003260C5">
              <w:t xml:space="preserve"> with Joss. But students aren't always given that kind of choice. And if you ask, </w:t>
            </w:r>
            <w:r>
              <w:t>schools</w:t>
            </w:r>
            <w:r w:rsidRPr="003260C5">
              <w:t xml:space="preserve"> might say, </w:t>
            </w:r>
            <w:r w:rsidR="003049DE">
              <w:t>“W</w:t>
            </w:r>
            <w:r w:rsidRPr="003260C5">
              <w:t>ell, this is where our funding is at. Our funding is supplying this kind of assistive technology.</w:t>
            </w:r>
            <w:r w:rsidR="003049DE">
              <w:t xml:space="preserve">” </w:t>
            </w:r>
            <w:r>
              <w:t>(OH)</w:t>
            </w:r>
          </w:p>
        </w:tc>
      </w:tr>
      <w:tr w:rsidR="00496BE9" w:rsidRPr="00CD254C" w14:paraId="2ED3E34D"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2D6E47D5" w14:textId="77777777" w:rsidR="00496BE9" w:rsidRDefault="00496BE9" w:rsidP="00193DCE">
            <w:pPr>
              <w:rPr>
                <w:rFonts w:cstheme="minorHAnsi"/>
              </w:rPr>
            </w:pPr>
          </w:p>
        </w:tc>
        <w:tc>
          <w:tcPr>
            <w:tcW w:w="6930" w:type="dxa"/>
            <w:shd w:val="clear" w:color="auto" w:fill="D9E2F3"/>
          </w:tcPr>
          <w:p w14:paraId="7AC691CA" w14:textId="2716D730" w:rsidR="00496BE9" w:rsidRPr="005760F6" w:rsidRDefault="00496BE9" w:rsidP="00193DCE">
            <w:pPr>
              <w:cnfStyle w:val="000000100000" w:firstRow="0" w:lastRow="0" w:firstColumn="0" w:lastColumn="0" w:oddVBand="0" w:evenVBand="0" w:oddHBand="1" w:evenHBand="0" w:firstRowFirstColumn="0" w:firstRowLastColumn="0" w:lastRowFirstColumn="0" w:lastRowLastColumn="0"/>
            </w:pPr>
            <w:r w:rsidRPr="003260C5">
              <w:t>District staff</w:t>
            </w:r>
            <w:r w:rsidR="00F607A9">
              <w:t>, including</w:t>
            </w:r>
            <w:r w:rsidRPr="003260C5">
              <w:t xml:space="preserve"> Technology Coordinator, Classroom Teachers, Intervention Specialists, and support staff</w:t>
            </w:r>
            <w:r w:rsidR="00F607A9">
              <w:t>,</w:t>
            </w:r>
            <w:r w:rsidRPr="003260C5">
              <w:t xml:space="preserve"> sometimes look for the easiest and cheapest solution. Sometimes I feel like I am the only person in the district who is willing to go the extra mile to ensure that my student has accessible materials or assessments</w:t>
            </w:r>
            <w:r>
              <w:t>. (OH)</w:t>
            </w:r>
          </w:p>
        </w:tc>
      </w:tr>
      <w:tr w:rsidR="00496BE9" w:rsidRPr="00CD254C" w14:paraId="2AD13854"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1CEEA90F" w14:textId="77777777" w:rsidR="00496BE9" w:rsidRDefault="00496BE9" w:rsidP="00193DCE">
            <w:pPr>
              <w:rPr>
                <w:rFonts w:cstheme="minorHAnsi"/>
              </w:rPr>
            </w:pPr>
          </w:p>
        </w:tc>
        <w:tc>
          <w:tcPr>
            <w:tcW w:w="6930" w:type="dxa"/>
          </w:tcPr>
          <w:p w14:paraId="0AD86617" w14:textId="0999FEF9" w:rsidR="00496BE9" w:rsidRPr="005760F6" w:rsidRDefault="00496BE9" w:rsidP="00193DCE">
            <w:pPr>
              <w:cnfStyle w:val="000000000000" w:firstRow="0" w:lastRow="0" w:firstColumn="0" w:lastColumn="0" w:oddVBand="0" w:evenVBand="0" w:oddHBand="0" w:evenHBand="0" w:firstRowFirstColumn="0" w:firstRowLastColumn="0" w:lastRowFirstColumn="0" w:lastRowLastColumn="0"/>
            </w:pPr>
            <w:r w:rsidRPr="003260C5">
              <w:t>It puts everyone at a disadvantage when accessible materials are not quickly and readily available. And unfortunately, within many schools, there is pressure to use the most readily available/least expensive format by the people making financial decisions in the district. This is often due to a lack of understanding regarding the most accessible option v</w:t>
            </w:r>
            <w:r w:rsidR="00F607A9">
              <w:t>ersus</w:t>
            </w:r>
            <w:r w:rsidRPr="003260C5">
              <w:t xml:space="preserve"> the easiest to acquire/least expensive option.</w:t>
            </w:r>
            <w:r>
              <w:t xml:space="preserve"> (OH)</w:t>
            </w:r>
          </w:p>
        </w:tc>
      </w:tr>
      <w:tr w:rsidR="00496BE9" w:rsidRPr="00CD254C" w14:paraId="6AD70B95"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173372EE" w14:textId="068EEE40" w:rsidR="00496BE9" w:rsidRDefault="00496BE9" w:rsidP="00193DCE">
            <w:pPr>
              <w:rPr>
                <w:rFonts w:cstheme="minorHAnsi"/>
              </w:rPr>
            </w:pPr>
            <w:bookmarkStart w:id="40" w:name="_Hlk215336889"/>
            <w:r>
              <w:rPr>
                <w:rFonts w:cstheme="minorHAnsi"/>
              </w:rPr>
              <w:lastRenderedPageBreak/>
              <w:t>Student preferences are not respected (3)</w:t>
            </w:r>
            <w:bookmarkEnd w:id="40"/>
          </w:p>
        </w:tc>
        <w:tc>
          <w:tcPr>
            <w:tcW w:w="6930" w:type="dxa"/>
            <w:shd w:val="clear" w:color="auto" w:fill="D9E2F3"/>
          </w:tcPr>
          <w:p w14:paraId="2BCCCCBC" w14:textId="3048CE4E" w:rsidR="00496BE9" w:rsidRPr="005760F6" w:rsidRDefault="00496BE9" w:rsidP="00193DCE">
            <w:pPr>
              <w:cnfStyle w:val="000000100000" w:firstRow="0" w:lastRow="0" w:firstColumn="0" w:lastColumn="0" w:oddVBand="0" w:evenVBand="0" w:oddHBand="1" w:evenHBand="0" w:firstRowFirstColumn="0" w:firstRowLastColumn="0" w:lastRowFirstColumn="0" w:lastRowLastColumn="0"/>
            </w:pPr>
            <w:r>
              <w:t>S</w:t>
            </w:r>
            <w:r w:rsidRPr="00496BE9">
              <w:t xml:space="preserve">tudents have preferences for their formats, </w:t>
            </w:r>
            <w:r w:rsidR="00F607A9">
              <w:t>those</w:t>
            </w:r>
            <w:r w:rsidRPr="00496BE9">
              <w:t xml:space="preserve"> they're most comfortable with, and they don't always get a preference. They don't always get to choose what kind of format they are given. </w:t>
            </w:r>
            <w:r>
              <w:t>(OH)</w:t>
            </w:r>
          </w:p>
        </w:tc>
      </w:tr>
      <w:tr w:rsidR="00496BE9" w:rsidRPr="00CD254C" w14:paraId="3D71E8C6"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652DD11F" w14:textId="77777777" w:rsidR="00496BE9" w:rsidRDefault="00496BE9" w:rsidP="00193DCE">
            <w:pPr>
              <w:rPr>
                <w:rFonts w:cstheme="minorHAnsi"/>
              </w:rPr>
            </w:pPr>
          </w:p>
        </w:tc>
        <w:tc>
          <w:tcPr>
            <w:tcW w:w="6930" w:type="dxa"/>
          </w:tcPr>
          <w:p w14:paraId="29BC7219" w14:textId="4F5F01BC" w:rsidR="00496BE9" w:rsidRPr="005760F6" w:rsidRDefault="00496BE9" w:rsidP="00193DCE">
            <w:pPr>
              <w:cnfStyle w:val="000000000000" w:firstRow="0" w:lastRow="0" w:firstColumn="0" w:lastColumn="0" w:oddVBand="0" w:evenVBand="0" w:oddHBand="0" w:evenHBand="0" w:firstRowFirstColumn="0" w:firstRowLastColumn="0" w:lastRowFirstColumn="0" w:lastRowLastColumn="0"/>
            </w:pPr>
            <w:r w:rsidRPr="00496BE9">
              <w:t xml:space="preserve">Some students have preferences on formats they prefer, </w:t>
            </w:r>
            <w:r>
              <w:t>especially</w:t>
            </w:r>
            <w:r w:rsidRPr="00496BE9">
              <w:t xml:space="preserve"> audio, once in </w:t>
            </w:r>
            <w:r>
              <w:t>high school</w:t>
            </w:r>
            <w:r w:rsidRPr="00496BE9">
              <w:t>.</w:t>
            </w:r>
            <w:r>
              <w:t xml:space="preserve"> (NY)</w:t>
            </w:r>
          </w:p>
        </w:tc>
      </w:tr>
      <w:bookmarkEnd w:id="38"/>
    </w:tbl>
    <w:p w14:paraId="71E34E2B" w14:textId="77777777" w:rsidR="00092830" w:rsidRDefault="00092830" w:rsidP="006F176A">
      <w:pPr>
        <w:spacing w:after="0" w:line="276" w:lineRule="auto"/>
        <w:rPr>
          <w:rFonts w:ascii="Calibri" w:hAnsi="Calibri" w:cs="Calibri"/>
          <w:bCs/>
          <w:sz w:val="24"/>
          <w:szCs w:val="24"/>
        </w:rPr>
      </w:pPr>
    </w:p>
    <w:p w14:paraId="62A85BD7" w14:textId="77777777" w:rsidR="00773D54" w:rsidRDefault="00773D54" w:rsidP="006F176A">
      <w:pPr>
        <w:spacing w:after="0" w:line="276" w:lineRule="auto"/>
        <w:rPr>
          <w:rFonts w:ascii="Calibri" w:hAnsi="Calibri" w:cs="Calibri"/>
          <w:bCs/>
          <w:sz w:val="24"/>
          <w:szCs w:val="24"/>
        </w:rPr>
      </w:pPr>
    </w:p>
    <w:p w14:paraId="41F7CB21" w14:textId="29A19446" w:rsidR="00A02991" w:rsidRPr="005919AC" w:rsidRDefault="00F745AF" w:rsidP="00B4146C">
      <w:pPr>
        <w:pStyle w:val="Heading3"/>
      </w:pPr>
      <w:bookmarkStart w:id="41" w:name="_Toc222904006"/>
      <w:r>
        <w:t>Practices that Facilitate Timely Delivery</w:t>
      </w:r>
      <w:bookmarkEnd w:id="41"/>
    </w:p>
    <w:p w14:paraId="5A38765F" w14:textId="77777777" w:rsidR="00A02991" w:rsidRPr="005919AC" w:rsidRDefault="00A02991" w:rsidP="00A02991">
      <w:pPr>
        <w:spacing w:after="0" w:line="276" w:lineRule="auto"/>
        <w:rPr>
          <w:rFonts w:ascii="Calibri" w:hAnsi="Calibri" w:cs="Calibri"/>
          <w:sz w:val="24"/>
          <w:szCs w:val="24"/>
        </w:rPr>
      </w:pPr>
    </w:p>
    <w:p w14:paraId="6D905F88" w14:textId="59208206" w:rsidR="00DF47F7" w:rsidRDefault="00B55C67" w:rsidP="00AF7B63">
      <w:pPr>
        <w:spacing w:after="0" w:line="276" w:lineRule="auto"/>
        <w:rPr>
          <w:rFonts w:ascii="Calibri" w:hAnsi="Calibri" w:cs="Calibri"/>
          <w:bCs/>
          <w:sz w:val="24"/>
          <w:szCs w:val="24"/>
        </w:rPr>
      </w:pPr>
      <w:r>
        <w:rPr>
          <w:rFonts w:ascii="ZWAdobeF" w:hAnsi="ZWAdobeF" w:cs="ZWAdobeF"/>
          <w:bCs/>
          <w:sz w:val="2"/>
          <w:szCs w:val="2"/>
        </w:rPr>
        <w:t>140B</w:t>
      </w:r>
      <w:r w:rsidR="008B4295">
        <w:rPr>
          <w:rFonts w:ascii="Calibri" w:hAnsi="Calibri" w:cs="Calibri"/>
          <w:bCs/>
          <w:sz w:val="24"/>
          <w:szCs w:val="24"/>
        </w:rPr>
        <w:t xml:space="preserve">We asked survey respondents about </w:t>
      </w:r>
      <w:r w:rsidR="00A267FE">
        <w:rPr>
          <w:rFonts w:ascii="Calibri" w:hAnsi="Calibri" w:cs="Calibri"/>
          <w:bCs/>
          <w:sz w:val="24"/>
          <w:szCs w:val="24"/>
        </w:rPr>
        <w:t>three types of practices that</w:t>
      </w:r>
      <w:r w:rsidR="008B4295">
        <w:rPr>
          <w:rFonts w:ascii="Calibri" w:hAnsi="Calibri" w:cs="Calibri"/>
          <w:bCs/>
          <w:sz w:val="24"/>
          <w:szCs w:val="24"/>
        </w:rPr>
        <w:t xml:space="preserve"> facilitate timely delivery of accessible formats: 1) </w:t>
      </w:r>
      <w:r w:rsidR="00A267FE">
        <w:rPr>
          <w:rFonts w:ascii="Calibri" w:hAnsi="Calibri" w:cs="Calibri"/>
          <w:bCs/>
          <w:sz w:val="24"/>
          <w:szCs w:val="24"/>
        </w:rPr>
        <w:t xml:space="preserve">production </w:t>
      </w:r>
      <w:r w:rsidR="008B4295">
        <w:rPr>
          <w:rFonts w:ascii="Calibri" w:hAnsi="Calibri" w:cs="Calibri"/>
          <w:bCs/>
          <w:sz w:val="24"/>
          <w:szCs w:val="24"/>
        </w:rPr>
        <w:t xml:space="preserve">practices, 2) state, regional, district, and school-level practices, and 3) </w:t>
      </w:r>
      <w:r w:rsidR="00A267FE">
        <w:rPr>
          <w:rFonts w:ascii="Calibri" w:hAnsi="Calibri" w:cs="Calibri"/>
          <w:bCs/>
          <w:sz w:val="24"/>
          <w:szCs w:val="24"/>
        </w:rPr>
        <w:t xml:space="preserve">NIMAC </w:t>
      </w:r>
      <w:r w:rsidR="008B4295">
        <w:rPr>
          <w:rFonts w:ascii="Calibri" w:hAnsi="Calibri" w:cs="Calibri"/>
          <w:bCs/>
          <w:sz w:val="24"/>
          <w:szCs w:val="24"/>
        </w:rPr>
        <w:t xml:space="preserve">practices. </w:t>
      </w:r>
    </w:p>
    <w:p w14:paraId="64D52CB2" w14:textId="77777777" w:rsidR="00DF47F7" w:rsidRDefault="00DF47F7" w:rsidP="00AF7B63">
      <w:pPr>
        <w:spacing w:after="0" w:line="276" w:lineRule="auto"/>
        <w:rPr>
          <w:rFonts w:ascii="Calibri" w:hAnsi="Calibri" w:cs="Calibri"/>
          <w:bCs/>
          <w:sz w:val="24"/>
          <w:szCs w:val="24"/>
        </w:rPr>
      </w:pPr>
    </w:p>
    <w:p w14:paraId="32725D20" w14:textId="5923D0BC" w:rsidR="00D85B0B" w:rsidRPr="00AF7B63" w:rsidRDefault="00B55C67" w:rsidP="00AF7B63">
      <w:pPr>
        <w:spacing w:after="0" w:line="276" w:lineRule="auto"/>
        <w:rPr>
          <w:rFonts w:ascii="Calibri" w:hAnsi="Calibri" w:cs="Calibri"/>
          <w:bCs/>
          <w:sz w:val="24"/>
          <w:szCs w:val="24"/>
        </w:rPr>
      </w:pPr>
      <w:r>
        <w:rPr>
          <w:rFonts w:ascii="ZWAdobeF" w:hAnsi="ZWAdobeF" w:cs="ZWAdobeF"/>
          <w:bCs/>
          <w:sz w:val="2"/>
          <w:szCs w:val="2"/>
        </w:rPr>
        <w:t>141B</w:t>
      </w:r>
      <w:r w:rsidR="005D05BF">
        <w:rPr>
          <w:rFonts w:ascii="Calibri" w:hAnsi="Calibri" w:cs="Calibri"/>
          <w:bCs/>
          <w:sz w:val="24"/>
          <w:szCs w:val="24"/>
        </w:rPr>
        <w:t>Regarding production practices</w:t>
      </w:r>
      <w:r w:rsidR="00D85B0B">
        <w:rPr>
          <w:rFonts w:ascii="Calibri" w:hAnsi="Calibri" w:cs="Calibri"/>
          <w:bCs/>
          <w:sz w:val="24"/>
          <w:szCs w:val="24"/>
        </w:rPr>
        <w:t>, survey respondent</w:t>
      </w:r>
      <w:r w:rsidR="001E7722">
        <w:rPr>
          <w:rFonts w:ascii="Calibri" w:hAnsi="Calibri" w:cs="Calibri"/>
          <w:bCs/>
          <w:sz w:val="24"/>
          <w:szCs w:val="24"/>
        </w:rPr>
        <w:t>s</w:t>
      </w:r>
      <w:r w:rsidR="00D85B0B">
        <w:rPr>
          <w:rFonts w:ascii="Calibri" w:hAnsi="Calibri" w:cs="Calibri"/>
          <w:bCs/>
          <w:sz w:val="24"/>
          <w:szCs w:val="24"/>
        </w:rPr>
        <w:t xml:space="preserve"> were able to select multiple</w:t>
      </w:r>
      <w:r w:rsidR="00DF47F7">
        <w:rPr>
          <w:rFonts w:ascii="Calibri" w:hAnsi="Calibri" w:cs="Calibri"/>
          <w:bCs/>
          <w:sz w:val="24"/>
          <w:szCs w:val="24"/>
        </w:rPr>
        <w:t xml:space="preserve"> </w:t>
      </w:r>
      <w:r w:rsidR="00D85B0B">
        <w:rPr>
          <w:rFonts w:ascii="Calibri" w:hAnsi="Calibri" w:cs="Calibri"/>
          <w:bCs/>
          <w:sz w:val="24"/>
          <w:szCs w:val="24"/>
        </w:rPr>
        <w:t>practices</w:t>
      </w:r>
      <w:r w:rsidR="00DF47F7">
        <w:rPr>
          <w:rFonts w:ascii="Calibri" w:hAnsi="Calibri" w:cs="Calibri"/>
          <w:bCs/>
          <w:sz w:val="24"/>
          <w:szCs w:val="24"/>
        </w:rPr>
        <w:t xml:space="preserve"> that facilitate timely delivery </w:t>
      </w:r>
      <w:r w:rsidR="00D85B0B">
        <w:rPr>
          <w:rFonts w:ascii="Calibri" w:hAnsi="Calibri" w:cs="Calibri"/>
          <w:bCs/>
          <w:sz w:val="24"/>
          <w:szCs w:val="24"/>
        </w:rPr>
        <w:t xml:space="preserve">of accessible formats (all of which are presented in Figure </w:t>
      </w:r>
      <w:r w:rsidR="00DF47F7">
        <w:rPr>
          <w:rFonts w:ascii="Calibri" w:hAnsi="Calibri" w:cs="Calibri"/>
          <w:bCs/>
          <w:sz w:val="24"/>
          <w:szCs w:val="24"/>
        </w:rPr>
        <w:t>1</w:t>
      </w:r>
      <w:r w:rsidR="00EE4A78">
        <w:rPr>
          <w:rFonts w:ascii="Calibri" w:hAnsi="Calibri" w:cs="Calibri"/>
          <w:bCs/>
          <w:sz w:val="24"/>
          <w:szCs w:val="24"/>
        </w:rPr>
        <w:t>5</w:t>
      </w:r>
      <w:r w:rsidR="00D85B0B">
        <w:rPr>
          <w:rFonts w:ascii="Calibri" w:hAnsi="Calibri" w:cs="Calibri"/>
          <w:bCs/>
          <w:sz w:val="24"/>
          <w:szCs w:val="24"/>
        </w:rPr>
        <w:t>).</w:t>
      </w:r>
      <w:r>
        <w:rPr>
          <w:rFonts w:ascii="ZWAdobeF" w:hAnsi="ZWAdobeF" w:cs="ZWAdobeF"/>
          <w:bCs/>
          <w:sz w:val="2"/>
          <w:szCs w:val="2"/>
        </w:rPr>
        <w:t>39F</w:t>
      </w:r>
      <w:r w:rsidR="00BB4D0B">
        <w:rPr>
          <w:rStyle w:val="FootnoteReference"/>
          <w:rFonts w:ascii="Calibri" w:hAnsi="Calibri" w:cs="Calibri"/>
          <w:bCs/>
          <w:sz w:val="24"/>
          <w:szCs w:val="24"/>
        </w:rPr>
        <w:footnoteReference w:id="41"/>
      </w:r>
      <w:r w:rsidR="00D85B0B">
        <w:rPr>
          <w:rFonts w:ascii="Calibri" w:hAnsi="Calibri" w:cs="Calibri"/>
          <w:bCs/>
          <w:sz w:val="24"/>
          <w:szCs w:val="24"/>
        </w:rPr>
        <w:t xml:space="preserve"> </w:t>
      </w:r>
      <w:r w:rsidR="005D05BF">
        <w:rPr>
          <w:rFonts w:ascii="Calibri" w:hAnsi="Calibri" w:cs="Calibri"/>
          <w:bCs/>
          <w:sz w:val="24"/>
          <w:szCs w:val="24"/>
        </w:rPr>
        <w:t>Nearly three-quarters (71%) of survey respondents</w:t>
      </w:r>
      <w:r w:rsidR="00BC4FA4">
        <w:rPr>
          <w:rFonts w:ascii="Calibri" w:hAnsi="Calibri" w:cs="Calibri"/>
          <w:bCs/>
          <w:sz w:val="24"/>
          <w:szCs w:val="24"/>
        </w:rPr>
        <w:t xml:space="preserve"> </w:t>
      </w:r>
      <w:r w:rsidR="005D05BF">
        <w:rPr>
          <w:rFonts w:ascii="Calibri" w:hAnsi="Calibri" w:cs="Calibri"/>
          <w:bCs/>
          <w:sz w:val="24"/>
          <w:szCs w:val="24"/>
        </w:rPr>
        <w:t>indicated timely delivery is facilitated when</w:t>
      </w:r>
      <w:r w:rsidR="00554CAF">
        <w:rPr>
          <w:rFonts w:ascii="Calibri" w:hAnsi="Calibri" w:cs="Calibri"/>
          <w:bCs/>
          <w:sz w:val="24"/>
          <w:szCs w:val="24"/>
        </w:rPr>
        <w:t xml:space="preserve"> </w:t>
      </w:r>
      <w:r w:rsidR="00D85B0B">
        <w:rPr>
          <w:rFonts w:ascii="Calibri" w:hAnsi="Calibri" w:cs="Calibri"/>
          <w:sz w:val="24"/>
          <w:szCs w:val="24"/>
        </w:rPr>
        <w:t>“</w:t>
      </w:r>
      <w:r w:rsidR="00762866" w:rsidRPr="00762866">
        <w:rPr>
          <w:rFonts w:ascii="Calibri" w:hAnsi="Calibri" w:cs="Calibri"/>
          <w:sz w:val="24"/>
          <w:szCs w:val="24"/>
        </w:rPr>
        <w:t>Accessible formats are already available at a central location in the state or district for immediate distribution</w:t>
      </w:r>
      <w:r w:rsidR="00762866">
        <w:rPr>
          <w:rFonts w:ascii="Calibri" w:hAnsi="Calibri" w:cs="Calibri"/>
          <w:sz w:val="24"/>
          <w:szCs w:val="24"/>
        </w:rPr>
        <w:t>.</w:t>
      </w:r>
      <w:r w:rsidR="00D85B0B">
        <w:rPr>
          <w:rFonts w:ascii="Calibri" w:hAnsi="Calibri" w:cs="Calibri"/>
          <w:sz w:val="24"/>
          <w:szCs w:val="24"/>
        </w:rPr>
        <w:t>”</w:t>
      </w:r>
      <w:r w:rsidR="00762866">
        <w:rPr>
          <w:rFonts w:ascii="Calibri" w:hAnsi="Calibri" w:cs="Calibri"/>
          <w:sz w:val="24"/>
          <w:szCs w:val="24"/>
        </w:rPr>
        <w:t xml:space="preserve"> </w:t>
      </w:r>
      <w:r w:rsidR="005D05BF">
        <w:rPr>
          <w:rFonts w:ascii="Calibri" w:hAnsi="Calibri" w:cs="Calibri"/>
          <w:sz w:val="24"/>
          <w:szCs w:val="24"/>
        </w:rPr>
        <w:t>Three other facilitators of timely delivery were selected by over half of respondents:</w:t>
      </w:r>
      <w:r w:rsidR="00762866">
        <w:rPr>
          <w:rFonts w:ascii="Calibri" w:hAnsi="Calibri" w:cs="Calibri"/>
          <w:sz w:val="24"/>
          <w:szCs w:val="24"/>
        </w:rPr>
        <w:t xml:space="preserve"> “</w:t>
      </w:r>
      <w:r w:rsidR="00762866" w:rsidRPr="00762866">
        <w:rPr>
          <w:rFonts w:ascii="Calibri" w:hAnsi="Calibri" w:cs="Calibri"/>
          <w:sz w:val="24"/>
          <w:szCs w:val="24"/>
        </w:rPr>
        <w:t>Use of the national Louis Database of Accessible Materials to quickly locate accessible formats</w:t>
      </w:r>
      <w:r w:rsidR="00762866">
        <w:rPr>
          <w:rFonts w:ascii="Calibri" w:hAnsi="Calibri" w:cs="Calibri"/>
          <w:sz w:val="24"/>
          <w:szCs w:val="24"/>
        </w:rPr>
        <w:t xml:space="preserve">” </w:t>
      </w:r>
      <w:r w:rsidR="005D05BF">
        <w:rPr>
          <w:rFonts w:ascii="Calibri" w:hAnsi="Calibri" w:cs="Calibri"/>
          <w:sz w:val="24"/>
          <w:szCs w:val="24"/>
        </w:rPr>
        <w:t>(60%),</w:t>
      </w:r>
      <w:r w:rsidR="00762866">
        <w:rPr>
          <w:rFonts w:ascii="Calibri" w:hAnsi="Calibri" w:cs="Calibri"/>
          <w:sz w:val="24"/>
          <w:szCs w:val="24"/>
        </w:rPr>
        <w:t xml:space="preserve"> “</w:t>
      </w:r>
      <w:r w:rsidR="00762866" w:rsidRPr="00762866">
        <w:rPr>
          <w:rFonts w:ascii="Calibri" w:hAnsi="Calibri" w:cs="Calibri"/>
          <w:sz w:val="24"/>
          <w:szCs w:val="24"/>
        </w:rPr>
        <w:t>Practices/processes that provide students with portions of accessible formats while waiting for the full textbook to be completed</w:t>
      </w:r>
      <w:r w:rsidR="00762866">
        <w:rPr>
          <w:rFonts w:ascii="Calibri" w:hAnsi="Calibri" w:cs="Calibri"/>
          <w:sz w:val="24"/>
          <w:szCs w:val="24"/>
        </w:rPr>
        <w:t xml:space="preserve">” </w:t>
      </w:r>
      <w:r w:rsidR="005D05BF">
        <w:rPr>
          <w:rFonts w:ascii="Calibri" w:hAnsi="Calibri" w:cs="Calibri"/>
          <w:sz w:val="24"/>
          <w:szCs w:val="24"/>
        </w:rPr>
        <w:t>(60%), and</w:t>
      </w:r>
      <w:r w:rsidR="00554CAF">
        <w:rPr>
          <w:rFonts w:ascii="Calibri" w:hAnsi="Calibri" w:cs="Calibri"/>
          <w:sz w:val="24"/>
          <w:szCs w:val="24"/>
        </w:rPr>
        <w:t xml:space="preserve"> </w:t>
      </w:r>
      <w:r w:rsidR="00762866">
        <w:rPr>
          <w:rFonts w:ascii="Calibri" w:hAnsi="Calibri" w:cs="Calibri"/>
          <w:sz w:val="24"/>
          <w:szCs w:val="24"/>
        </w:rPr>
        <w:t>“</w:t>
      </w:r>
      <w:r w:rsidR="00762866" w:rsidRPr="00762866">
        <w:rPr>
          <w:rFonts w:ascii="Calibri" w:hAnsi="Calibri" w:cs="Calibri"/>
          <w:sz w:val="24"/>
          <w:szCs w:val="24"/>
        </w:rPr>
        <w:t>Practices/processes that provide students with portions of accessible formats when only portions of the material are being used in the classroom</w:t>
      </w:r>
      <w:r w:rsidR="00762866">
        <w:rPr>
          <w:rFonts w:ascii="Calibri" w:hAnsi="Calibri" w:cs="Calibri"/>
          <w:sz w:val="24"/>
          <w:szCs w:val="24"/>
        </w:rPr>
        <w:t xml:space="preserve">” </w:t>
      </w:r>
      <w:r w:rsidR="005D05BF">
        <w:rPr>
          <w:rFonts w:ascii="Calibri" w:hAnsi="Calibri" w:cs="Calibri"/>
          <w:sz w:val="24"/>
          <w:szCs w:val="24"/>
        </w:rPr>
        <w:t>(52%).</w:t>
      </w:r>
      <w:r w:rsidR="00D85B0B">
        <w:rPr>
          <w:rFonts w:ascii="Calibri" w:hAnsi="Calibri" w:cs="Calibri"/>
          <w:sz w:val="24"/>
          <w:szCs w:val="24"/>
        </w:rPr>
        <w:t xml:space="preserve"> </w:t>
      </w:r>
    </w:p>
    <w:p w14:paraId="4C213F35" w14:textId="460E6837" w:rsidR="00B147F5" w:rsidRDefault="00B147F5">
      <w:pPr>
        <w:rPr>
          <w:rFonts w:ascii="Calibri" w:eastAsiaTheme="majorEastAsia" w:hAnsi="Calibri" w:cs="Calibri"/>
          <w:smallCaps/>
          <w:color w:val="44546A" w:themeColor="text2"/>
          <w:sz w:val="24"/>
          <w:szCs w:val="24"/>
        </w:rPr>
      </w:pPr>
      <w:r>
        <w:rPr>
          <w:rFonts w:ascii="Calibri" w:eastAsiaTheme="majorEastAsia" w:hAnsi="Calibri" w:cs="Calibri"/>
          <w:smallCaps/>
          <w:color w:val="44546A" w:themeColor="text2"/>
          <w:sz w:val="24"/>
          <w:szCs w:val="24"/>
        </w:rPr>
        <w:br w:type="page"/>
      </w:r>
    </w:p>
    <w:p w14:paraId="78D926AC" w14:textId="4E0B9131" w:rsidR="00D85B0B" w:rsidRDefault="00D85B0B" w:rsidP="004946C3">
      <w:pPr>
        <w:pStyle w:val="Heading4"/>
      </w:pPr>
      <w:bookmarkStart w:id="42" w:name="_Toc222904007"/>
      <w:r w:rsidRPr="005919AC">
        <w:lastRenderedPageBreak/>
        <w:t xml:space="preserve">Figure </w:t>
      </w:r>
      <w:r w:rsidR="00DF47F7">
        <w:t>1</w:t>
      </w:r>
      <w:r w:rsidR="00EE4A78">
        <w:t>5</w:t>
      </w:r>
      <w:r w:rsidRPr="005919AC">
        <w:t xml:space="preserve">. </w:t>
      </w:r>
      <w:r w:rsidR="00AD7345">
        <w:t>Production-Related Factors</w:t>
      </w:r>
      <w:r>
        <w:t xml:space="preserve"> that Facilitate Timely Delivery</w:t>
      </w:r>
      <w:r w:rsidR="00B55C67">
        <w:rPr>
          <w:rFonts w:ascii="ZWAdobeF" w:hAnsi="ZWAdobeF" w:cs="ZWAdobeF"/>
          <w:i w:val="0"/>
          <w:color w:val="auto"/>
          <w:sz w:val="2"/>
          <w:szCs w:val="2"/>
        </w:rPr>
        <w:t>40F</w:t>
      </w:r>
      <w:r w:rsidRPr="005919AC">
        <w:rPr>
          <w:rStyle w:val="FootnoteReference"/>
          <w:rFonts w:cs="Calibri"/>
          <w:smallCaps/>
          <w:color w:val="44546A" w:themeColor="text2"/>
        </w:rPr>
        <w:footnoteReference w:id="42"/>
      </w:r>
      <w:bookmarkEnd w:id="42"/>
      <w:r>
        <w:t xml:space="preserve"> </w:t>
      </w:r>
    </w:p>
    <w:p w14:paraId="342B29DA" w14:textId="0815FCF2" w:rsidR="00FD5797" w:rsidRDefault="00B55C67" w:rsidP="00FD5797">
      <w:pPr>
        <w:spacing w:line="240" w:lineRule="auto"/>
        <w:jc w:val="center"/>
        <w:rPr>
          <w:color w:val="000000" w:themeColor="text1"/>
        </w:rPr>
      </w:pPr>
      <w:r>
        <w:rPr>
          <w:rFonts w:ascii="ZWAdobeF" w:hAnsi="ZWAdobeF" w:cs="ZWAdobeF"/>
          <w:sz w:val="2"/>
          <w:szCs w:val="2"/>
        </w:rPr>
        <w:t>142</w:t>
      </w:r>
      <w:proofErr w:type="gramStart"/>
      <w:r>
        <w:rPr>
          <w:rFonts w:ascii="ZWAdobeF" w:hAnsi="ZWAdobeF" w:cs="ZWAdobeF"/>
          <w:sz w:val="2"/>
          <w:szCs w:val="2"/>
        </w:rPr>
        <w:t>B</w:t>
      </w:r>
      <w:r w:rsidR="00D85B0B">
        <w:rPr>
          <w:color w:val="000000" w:themeColor="text1"/>
        </w:rPr>
        <w:t>(</w:t>
      </w:r>
      <w:proofErr w:type="gramEnd"/>
      <w:r w:rsidR="00D85B0B" w:rsidRPr="009F1957">
        <w:rPr>
          <w:i/>
          <w:iCs/>
          <w:color w:val="000000" w:themeColor="text1"/>
        </w:rPr>
        <w:t>n</w:t>
      </w:r>
      <w:r w:rsidR="00D85B0B">
        <w:rPr>
          <w:color w:val="000000" w:themeColor="text1"/>
        </w:rPr>
        <w:t xml:space="preserve"> = </w:t>
      </w:r>
      <w:r w:rsidR="00AC62B9">
        <w:rPr>
          <w:color w:val="000000" w:themeColor="text1"/>
        </w:rPr>
        <w:t>154</w:t>
      </w:r>
      <w:r w:rsidR="00D85B0B">
        <w:rPr>
          <w:color w:val="000000" w:themeColor="text1"/>
        </w:rPr>
        <w:t>)</w:t>
      </w:r>
    </w:p>
    <w:p w14:paraId="41EAE674" w14:textId="2686451C" w:rsidR="00FD5797" w:rsidRPr="00FD5797" w:rsidRDefault="00B55C67" w:rsidP="00FD5797">
      <w:pPr>
        <w:spacing w:line="240" w:lineRule="auto"/>
        <w:jc w:val="center"/>
        <w:rPr>
          <w:color w:val="000000" w:themeColor="text1"/>
          <w:sz w:val="16"/>
          <w:szCs w:val="16"/>
        </w:rPr>
      </w:pPr>
      <w:r>
        <w:rPr>
          <w:rFonts w:ascii="ZWAdobeF" w:hAnsi="ZWAdobeF" w:cs="ZWAdobeF"/>
          <w:sz w:val="2"/>
          <w:szCs w:val="2"/>
        </w:rPr>
        <w:t>143B</w:t>
      </w:r>
      <w:r w:rsidR="00AC62B9">
        <w:rPr>
          <w:rFonts w:ascii="Times New Roman" w:hAnsi="Times New Roman" w:cs="Times New Roman"/>
          <w:noProof/>
          <w:sz w:val="24"/>
          <w:szCs w:val="24"/>
        </w:rPr>
        <w:drawing>
          <wp:inline distT="0" distB="0" distL="0" distR="0" wp14:anchorId="755E8148" wp14:editId="3002050B">
            <wp:extent cx="5861685" cy="3631565"/>
            <wp:effectExtent l="0" t="0" r="5715" b="6985"/>
            <wp:docPr id="46559619" name="Chart 46559619" descr="Figure 15 is a horizontal bar chart showing production-related factors that facilitate timely delivery of accessible formats (n = 154). Respondents reported that accessible formats already being available at a central state or district location for immediate distribution facilitates timely delivery (71%). Use of the national Louis Database of Accessible Materials to quickly locate accessible formats was reported by 62%. Practices or processes that provide students with portions of accessible formats while waiting for the full textbook to be completed were reported by 60%. Practices or processes that provide students with portions of accessible formats when only portions of the material are being used in the classroom were reported by 52%. Accessible Media Producers submitting data to the Louis Database of Accessible Materials so it is searchable nationwide was reported by 49%. Other factors were reported by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7F149E87" w14:textId="77777777" w:rsidR="00B147F5" w:rsidRDefault="00B147F5" w:rsidP="00D85B0B">
      <w:pPr>
        <w:spacing w:after="0" w:line="276" w:lineRule="auto"/>
        <w:rPr>
          <w:rFonts w:cstheme="minorHAnsi"/>
          <w:sz w:val="24"/>
          <w:szCs w:val="24"/>
        </w:rPr>
      </w:pPr>
    </w:p>
    <w:p w14:paraId="3A7AF62E" w14:textId="7F060F4F" w:rsidR="0051470A" w:rsidRDefault="00B55C67" w:rsidP="00D85B0B">
      <w:pPr>
        <w:spacing w:after="0" w:line="276" w:lineRule="auto"/>
        <w:rPr>
          <w:rFonts w:cstheme="minorHAnsi"/>
          <w:sz w:val="24"/>
          <w:szCs w:val="24"/>
        </w:rPr>
      </w:pPr>
      <w:r>
        <w:rPr>
          <w:rFonts w:ascii="ZWAdobeF" w:hAnsi="ZWAdobeF" w:cs="ZWAdobeF"/>
          <w:sz w:val="2"/>
          <w:szCs w:val="2"/>
        </w:rPr>
        <w:t>144B</w:t>
      </w:r>
      <w:r w:rsidR="00D85B0B" w:rsidRPr="00BB1752">
        <w:rPr>
          <w:rFonts w:cstheme="minorHAnsi"/>
          <w:sz w:val="24"/>
          <w:szCs w:val="24"/>
        </w:rPr>
        <w:t xml:space="preserve">When comparing the pattern of responses displayed in Figure </w:t>
      </w:r>
      <w:r w:rsidR="00DF47F7">
        <w:rPr>
          <w:rFonts w:cstheme="minorHAnsi"/>
          <w:sz w:val="24"/>
          <w:szCs w:val="24"/>
        </w:rPr>
        <w:t>1</w:t>
      </w:r>
      <w:r w:rsidR="00EE4A78">
        <w:rPr>
          <w:rFonts w:cstheme="minorHAnsi"/>
          <w:sz w:val="24"/>
          <w:szCs w:val="24"/>
        </w:rPr>
        <w:t>5</w:t>
      </w:r>
      <w:r w:rsidR="00D85B0B" w:rsidRPr="00BB1752">
        <w:rPr>
          <w:rFonts w:cstheme="minorHAnsi"/>
          <w:sz w:val="24"/>
          <w:szCs w:val="24"/>
        </w:rPr>
        <w:t xml:space="preserve"> across the three case study states as well as the </w:t>
      </w:r>
      <w:r w:rsidR="00D85B0B" w:rsidRPr="00AB7F00">
        <w:rPr>
          <w:rFonts w:cstheme="minorHAnsi"/>
          <w:sz w:val="24"/>
          <w:szCs w:val="24"/>
        </w:rPr>
        <w:t xml:space="preserve">national survey, there </w:t>
      </w:r>
      <w:r w:rsidR="00AB7F00" w:rsidRPr="00AB7F00">
        <w:rPr>
          <w:rFonts w:cstheme="minorHAnsi"/>
          <w:sz w:val="24"/>
          <w:szCs w:val="24"/>
        </w:rPr>
        <w:t>was</w:t>
      </w:r>
      <w:r w:rsidR="00496054" w:rsidRPr="00AB7F00">
        <w:rPr>
          <w:rFonts w:cstheme="minorHAnsi"/>
          <w:sz w:val="24"/>
          <w:szCs w:val="24"/>
        </w:rPr>
        <w:t xml:space="preserve"> </w:t>
      </w:r>
      <w:r w:rsidR="00AB7F00" w:rsidRPr="00145913">
        <w:rPr>
          <w:rFonts w:cstheme="minorHAnsi"/>
          <w:i/>
          <w:iCs/>
          <w:color w:val="DC2328"/>
          <w:sz w:val="24"/>
          <w:szCs w:val="24"/>
        </w:rPr>
        <w:t>one</w:t>
      </w:r>
      <w:r w:rsidR="00D85B0B" w:rsidRPr="00145913">
        <w:rPr>
          <w:rFonts w:cstheme="minorHAnsi"/>
          <w:i/>
          <w:iCs/>
          <w:color w:val="DC2328"/>
          <w:sz w:val="24"/>
          <w:szCs w:val="24"/>
        </w:rPr>
        <w:t xml:space="preserve"> statistically significant </w:t>
      </w:r>
      <w:r w:rsidR="00AB7F00" w:rsidRPr="00145913">
        <w:rPr>
          <w:rFonts w:cstheme="minorHAnsi"/>
          <w:i/>
          <w:iCs/>
          <w:color w:val="DC2328"/>
          <w:sz w:val="24"/>
          <w:szCs w:val="24"/>
        </w:rPr>
        <w:t>finding</w:t>
      </w:r>
      <w:r w:rsidR="00D85B0B" w:rsidRPr="009B1AA9">
        <w:rPr>
          <w:rFonts w:cstheme="minorHAnsi"/>
          <w:color w:val="EE0000"/>
          <w:sz w:val="24"/>
          <w:szCs w:val="24"/>
        </w:rPr>
        <w:t>.</w:t>
      </w:r>
      <w:r w:rsidR="00D85B0B" w:rsidRPr="00AB7F00">
        <w:rPr>
          <w:rFonts w:cstheme="minorHAnsi"/>
          <w:sz w:val="24"/>
          <w:szCs w:val="24"/>
        </w:rPr>
        <w:t xml:space="preserve"> Specifically,</w:t>
      </w:r>
      <w:r w:rsidR="00496054" w:rsidRPr="00AB7F00">
        <w:rPr>
          <w:rFonts w:cstheme="minorHAnsi"/>
          <w:sz w:val="24"/>
          <w:szCs w:val="24"/>
        </w:rPr>
        <w:t xml:space="preserve"> respondents on the national survey were more likely to endorse “Accessible Media Producers (AMPs) submit data to Louis Database of Accessible Materials, so it is searchable nationwide” (</w:t>
      </w:r>
      <w:r w:rsidR="00496054" w:rsidRPr="00AB7F00">
        <w:rPr>
          <w:rFonts w:cstheme="minorHAnsi"/>
          <w:sz w:val="24"/>
          <w:szCs w:val="24"/>
        </w:rPr>
        <w:sym w:font="Symbol" w:char="F063"/>
      </w:r>
      <w:r w:rsidR="00496054" w:rsidRPr="00AB7F00">
        <w:rPr>
          <w:rFonts w:cstheme="minorHAnsi"/>
          <w:sz w:val="24"/>
          <w:szCs w:val="24"/>
          <w:vertAlign w:val="superscript"/>
        </w:rPr>
        <w:t>2</w:t>
      </w:r>
      <w:r w:rsidR="00496054" w:rsidRPr="00AB7F00">
        <w:rPr>
          <w:rFonts w:cstheme="minorHAnsi"/>
          <w:sz w:val="24"/>
          <w:szCs w:val="24"/>
        </w:rPr>
        <w:t xml:space="preserve">(1) = </w:t>
      </w:r>
      <w:r w:rsidR="00AB7F00" w:rsidRPr="00AB7F00">
        <w:rPr>
          <w:rFonts w:cstheme="minorHAnsi"/>
          <w:sz w:val="24"/>
          <w:szCs w:val="24"/>
        </w:rPr>
        <w:t>6.66</w:t>
      </w:r>
      <w:r w:rsidR="00496054" w:rsidRPr="00AB7F00">
        <w:rPr>
          <w:rFonts w:cstheme="minorHAnsi"/>
          <w:sz w:val="24"/>
          <w:szCs w:val="24"/>
        </w:rPr>
        <w:t xml:space="preserve">, </w:t>
      </w:r>
      <w:r w:rsidR="00496054" w:rsidRPr="00AB7F00">
        <w:rPr>
          <w:rFonts w:cstheme="minorHAnsi"/>
          <w:i/>
          <w:iCs/>
          <w:sz w:val="24"/>
          <w:szCs w:val="24"/>
        </w:rPr>
        <w:t>p</w:t>
      </w:r>
      <w:r w:rsidR="00496054" w:rsidRPr="00AB7F00">
        <w:rPr>
          <w:rFonts w:cstheme="minorHAnsi"/>
          <w:sz w:val="24"/>
          <w:szCs w:val="24"/>
        </w:rPr>
        <w:t xml:space="preserve"> &lt; .05; see Figure </w:t>
      </w:r>
      <w:r w:rsidR="00DF47F7">
        <w:rPr>
          <w:rFonts w:cstheme="minorHAnsi"/>
          <w:sz w:val="24"/>
          <w:szCs w:val="24"/>
        </w:rPr>
        <w:t>1</w:t>
      </w:r>
      <w:r w:rsidR="00EE4A78">
        <w:rPr>
          <w:rFonts w:cstheme="minorHAnsi"/>
          <w:sz w:val="24"/>
          <w:szCs w:val="24"/>
        </w:rPr>
        <w:t>6</w:t>
      </w:r>
      <w:r w:rsidR="00496054" w:rsidRPr="00AB7F00">
        <w:rPr>
          <w:rFonts w:cstheme="minorHAnsi"/>
          <w:sz w:val="24"/>
          <w:szCs w:val="24"/>
        </w:rPr>
        <w:t xml:space="preserve">). </w:t>
      </w:r>
      <w:r w:rsidR="0051470A">
        <w:rPr>
          <w:rFonts w:cstheme="minorHAnsi"/>
          <w:sz w:val="24"/>
          <w:szCs w:val="24"/>
        </w:rPr>
        <w:t>There are several potential explanations for this finding. For example, the case study states may have systems that rely less on providers outside their state, or the</w:t>
      </w:r>
      <w:r w:rsidR="00E67A76">
        <w:rPr>
          <w:rFonts w:cstheme="minorHAnsi"/>
          <w:sz w:val="24"/>
          <w:szCs w:val="24"/>
        </w:rPr>
        <w:t>y</w:t>
      </w:r>
      <w:r w:rsidR="0051470A">
        <w:rPr>
          <w:rFonts w:cstheme="minorHAnsi"/>
          <w:sz w:val="24"/>
          <w:szCs w:val="24"/>
        </w:rPr>
        <w:t xml:space="preserve"> may primarily rely on national providers like APH and Bookshare rather than seeking formats from a range of agencies. In addition, this finding may reflect differences </w:t>
      </w:r>
      <w:r w:rsidR="00E67A76">
        <w:rPr>
          <w:rFonts w:cstheme="minorHAnsi"/>
          <w:sz w:val="24"/>
          <w:szCs w:val="24"/>
        </w:rPr>
        <w:t>among</w:t>
      </w:r>
      <w:r w:rsidR="0051470A">
        <w:rPr>
          <w:rFonts w:cstheme="minorHAnsi"/>
          <w:sz w:val="24"/>
          <w:szCs w:val="24"/>
        </w:rPr>
        <w:t xml:space="preserve"> survey respondents. Specifically, given the outreach to a wide range of stakeholders in the case study states, it is possible that more respondents in the</w:t>
      </w:r>
      <w:r w:rsidR="00E67A76">
        <w:rPr>
          <w:rFonts w:cstheme="minorHAnsi"/>
          <w:sz w:val="24"/>
          <w:szCs w:val="24"/>
        </w:rPr>
        <w:t>se</w:t>
      </w:r>
      <w:r w:rsidR="0051470A">
        <w:rPr>
          <w:rFonts w:cstheme="minorHAnsi"/>
          <w:sz w:val="24"/>
          <w:szCs w:val="24"/>
        </w:rPr>
        <w:t xml:space="preserve"> states </w:t>
      </w:r>
      <w:r w:rsidR="00E67A76">
        <w:rPr>
          <w:rFonts w:cstheme="minorHAnsi"/>
          <w:sz w:val="24"/>
          <w:szCs w:val="24"/>
        </w:rPr>
        <w:t xml:space="preserve">did not serve directly BVI students and therefore did not need to </w:t>
      </w:r>
      <w:r w:rsidR="0051470A">
        <w:rPr>
          <w:rFonts w:cstheme="minorHAnsi"/>
          <w:sz w:val="24"/>
          <w:szCs w:val="24"/>
        </w:rPr>
        <w:t xml:space="preserve">use the Louis Database. </w:t>
      </w:r>
    </w:p>
    <w:p w14:paraId="6A4D1112" w14:textId="68B4DC55" w:rsidR="00DF47F7" w:rsidRDefault="00DF47F7">
      <w:pPr>
        <w:rPr>
          <w:rFonts w:ascii="Calibri" w:eastAsiaTheme="majorEastAsia" w:hAnsi="Calibri" w:cs="Calibri"/>
          <w:smallCaps/>
          <w:color w:val="44546A" w:themeColor="text2"/>
          <w:sz w:val="24"/>
          <w:szCs w:val="24"/>
        </w:rPr>
      </w:pPr>
    </w:p>
    <w:p w14:paraId="2AABAA87" w14:textId="75CB7267" w:rsidR="007123C0" w:rsidRDefault="007123C0">
      <w:pPr>
        <w:rPr>
          <w:rFonts w:ascii="Calibri" w:eastAsiaTheme="majorEastAsia" w:hAnsi="Calibri" w:cstheme="majorBidi"/>
          <w:i/>
          <w:iCs/>
          <w:color w:val="44546A"/>
          <w:sz w:val="28"/>
        </w:rPr>
      </w:pPr>
    </w:p>
    <w:p w14:paraId="34D4569D" w14:textId="2CCDD6EC" w:rsidR="00D85B0B" w:rsidRDefault="00D85B0B" w:rsidP="004946C3">
      <w:pPr>
        <w:pStyle w:val="Heading4"/>
      </w:pPr>
      <w:bookmarkStart w:id="43" w:name="_Toc222904008"/>
      <w:r w:rsidRPr="005919AC">
        <w:lastRenderedPageBreak/>
        <w:t xml:space="preserve">Figure </w:t>
      </w:r>
      <w:r w:rsidR="00DF47F7">
        <w:t>1</w:t>
      </w:r>
      <w:r w:rsidR="00EE4A78">
        <w:t>6</w:t>
      </w:r>
      <w:r w:rsidRPr="005919AC">
        <w:t xml:space="preserve">. </w:t>
      </w:r>
      <w:r w:rsidR="0056573B">
        <w:t>Production-Related Factors that Facilitate Timely Delivery</w:t>
      </w:r>
      <w:r>
        <w:t>: Difference</w:t>
      </w:r>
      <w:r w:rsidR="00E05A9A">
        <w:t>s</w:t>
      </w:r>
      <w:r>
        <w:t xml:space="preserve"> by Location</w:t>
      </w:r>
      <w:r w:rsidR="00B55C67">
        <w:rPr>
          <w:rFonts w:ascii="ZWAdobeF" w:hAnsi="ZWAdobeF" w:cs="ZWAdobeF"/>
          <w:i w:val="0"/>
          <w:color w:val="auto"/>
          <w:sz w:val="2"/>
          <w:szCs w:val="2"/>
        </w:rPr>
        <w:t>41F</w:t>
      </w:r>
      <w:r w:rsidRPr="005919AC">
        <w:rPr>
          <w:rStyle w:val="FootnoteReference"/>
          <w:rFonts w:cs="Calibri"/>
          <w:smallCaps/>
          <w:color w:val="44546A" w:themeColor="text2"/>
        </w:rPr>
        <w:footnoteReference w:id="43"/>
      </w:r>
      <w:bookmarkEnd w:id="43"/>
    </w:p>
    <w:p w14:paraId="46A9BFBC" w14:textId="3961FBCF" w:rsidR="00D85B0B" w:rsidRPr="002B3F66" w:rsidRDefault="00B55C67" w:rsidP="002B3F66">
      <w:pPr>
        <w:jc w:val="center"/>
      </w:pPr>
      <w:r>
        <w:rPr>
          <w:rFonts w:ascii="ZWAdobeF" w:hAnsi="ZWAdobeF" w:cs="ZWAdobeF"/>
          <w:sz w:val="2"/>
          <w:szCs w:val="2"/>
        </w:rPr>
        <w:t>145</w:t>
      </w:r>
      <w:proofErr w:type="gramStart"/>
      <w:r>
        <w:rPr>
          <w:rFonts w:ascii="ZWAdobeF" w:hAnsi="ZWAdobeF" w:cs="ZWAdobeF"/>
          <w:sz w:val="2"/>
          <w:szCs w:val="2"/>
        </w:rPr>
        <w:t>B</w:t>
      </w:r>
      <w:r w:rsidR="00D85B0B">
        <w:t>(</w:t>
      </w:r>
      <w:proofErr w:type="gramEnd"/>
      <w:r w:rsidR="00D85B0B" w:rsidRPr="009F1957">
        <w:rPr>
          <w:i/>
          <w:iCs/>
        </w:rPr>
        <w:t>n</w:t>
      </w:r>
      <w:r w:rsidR="00D85B0B">
        <w:t xml:space="preserve"> = </w:t>
      </w:r>
      <w:r w:rsidR="00AD7345">
        <w:t>154</w:t>
      </w:r>
      <w:r w:rsidR="00D85B0B">
        <w:t>)</w:t>
      </w:r>
    </w:p>
    <w:p w14:paraId="1B8DC366" w14:textId="17692FF8" w:rsidR="00AD7345" w:rsidRDefault="00B55C67" w:rsidP="00AD7345">
      <w:pPr>
        <w:spacing w:after="0" w:line="276" w:lineRule="auto"/>
        <w:jc w:val="center"/>
        <w:rPr>
          <w:rFonts w:ascii="Times New Roman" w:hAnsi="Times New Roman" w:cs="Times New Roman"/>
          <w:sz w:val="24"/>
          <w:szCs w:val="24"/>
        </w:rPr>
      </w:pPr>
      <w:r>
        <w:rPr>
          <w:rFonts w:ascii="ZWAdobeF" w:hAnsi="ZWAdobeF" w:cs="ZWAdobeF"/>
          <w:sz w:val="2"/>
          <w:szCs w:val="2"/>
        </w:rPr>
        <w:t>146B</w:t>
      </w:r>
      <w:r w:rsidR="00AD7345">
        <w:rPr>
          <w:rFonts w:ascii="Times New Roman" w:hAnsi="Times New Roman" w:cs="Times New Roman"/>
          <w:b/>
          <w:noProof/>
          <w:color w:val="0070C0"/>
        </w:rPr>
        <w:drawing>
          <wp:inline distT="0" distB="0" distL="0" distR="0" wp14:anchorId="66C1BA01" wp14:editId="668420E5">
            <wp:extent cx="4372610" cy="3581885"/>
            <wp:effectExtent l="0" t="0" r="8890" b="0"/>
            <wp:docPr id="903581527" name="Chart 3" descr="Figure 16 is a vertical bar chart showing differences by location in the percentage of respondents who reported that Accessible Media Producers submitting data to the Louis Database of Accessible Materials facilitates timely delivery (n = 154). National survey respondents reported 61% (n = 67), Ohio respondents reported 45% (n = 42), Oregon respondents reported 41% (n = 27), and Utah respondents reported 28% (n = 18). An asterisk indicates a statistically significant difference for the national survey results."/>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20F9B625" w14:textId="77777777" w:rsidR="00D85B0B" w:rsidRDefault="00D85B0B" w:rsidP="00D85B0B">
      <w:pPr>
        <w:spacing w:after="0" w:line="276" w:lineRule="auto"/>
        <w:rPr>
          <w:rFonts w:ascii="Times New Roman" w:hAnsi="Times New Roman" w:cs="Times New Roman"/>
          <w:sz w:val="24"/>
          <w:szCs w:val="24"/>
        </w:rPr>
      </w:pPr>
    </w:p>
    <w:p w14:paraId="5E426ED7" w14:textId="6046CE67" w:rsidR="00CE4909" w:rsidRPr="00FD5797" w:rsidRDefault="00B55C67" w:rsidP="00D85B0B">
      <w:pPr>
        <w:spacing w:after="0" w:line="276" w:lineRule="auto"/>
        <w:rPr>
          <w:rFonts w:ascii="Calibri" w:hAnsi="Calibri" w:cs="Calibri"/>
          <w:sz w:val="24"/>
          <w:szCs w:val="24"/>
        </w:rPr>
      </w:pPr>
      <w:r>
        <w:rPr>
          <w:rFonts w:ascii="ZWAdobeF" w:hAnsi="ZWAdobeF" w:cs="ZWAdobeF"/>
          <w:sz w:val="2"/>
          <w:szCs w:val="2"/>
        </w:rPr>
        <w:t>147B</w:t>
      </w:r>
      <w:r w:rsidR="00CE4909" w:rsidRPr="00BB1752">
        <w:rPr>
          <w:rFonts w:cstheme="minorHAnsi"/>
          <w:sz w:val="24"/>
          <w:szCs w:val="24"/>
        </w:rPr>
        <w:t xml:space="preserve">When </w:t>
      </w:r>
      <w:r w:rsidR="00CE4909">
        <w:rPr>
          <w:rFonts w:cstheme="minorHAnsi"/>
          <w:sz w:val="24"/>
          <w:szCs w:val="24"/>
        </w:rPr>
        <w:t xml:space="preserve">examining production-related factors that facilitate timely </w:t>
      </w:r>
      <w:r w:rsidR="003841E0">
        <w:rPr>
          <w:rFonts w:cstheme="minorHAnsi"/>
          <w:sz w:val="24"/>
          <w:szCs w:val="24"/>
        </w:rPr>
        <w:t>delivery</w:t>
      </w:r>
      <w:r w:rsidR="00CE4909">
        <w:rPr>
          <w:rFonts w:cstheme="minorHAnsi"/>
          <w:sz w:val="24"/>
          <w:szCs w:val="24"/>
        </w:rPr>
        <w:t xml:space="preserve"> across roles, there were </w:t>
      </w:r>
      <w:r w:rsidR="00CE4909" w:rsidRPr="008A6BF1">
        <w:rPr>
          <w:rFonts w:cstheme="minorHAnsi"/>
          <w:i/>
          <w:iCs/>
          <w:color w:val="EE0000"/>
          <w:sz w:val="24"/>
          <w:szCs w:val="24"/>
        </w:rPr>
        <w:t>six statistically significant findings</w:t>
      </w:r>
      <w:r w:rsidR="00CE4909" w:rsidRPr="009B1AA9">
        <w:rPr>
          <w:rFonts w:cstheme="minorHAnsi"/>
          <w:color w:val="EE0000"/>
          <w:sz w:val="24"/>
          <w:szCs w:val="24"/>
        </w:rPr>
        <w:t>.</w:t>
      </w:r>
      <w:r w:rsidR="00CE4909">
        <w:rPr>
          <w:rFonts w:cstheme="minorHAnsi"/>
          <w:sz w:val="24"/>
          <w:szCs w:val="24"/>
        </w:rPr>
        <w:t xml:space="preserve"> </w:t>
      </w:r>
      <w:r w:rsidR="003841E0">
        <w:rPr>
          <w:rFonts w:cstheme="minorHAnsi"/>
          <w:sz w:val="24"/>
          <w:szCs w:val="24"/>
        </w:rPr>
        <w:t xml:space="preserve">The </w:t>
      </w:r>
      <w:r w:rsidR="00ED710C">
        <w:rPr>
          <w:rFonts w:cstheme="minorHAnsi"/>
          <w:sz w:val="24"/>
          <w:szCs w:val="24"/>
        </w:rPr>
        <w:t>practice of using</w:t>
      </w:r>
      <w:r w:rsidR="008A251A">
        <w:rPr>
          <w:rFonts w:cstheme="minorHAnsi"/>
          <w:sz w:val="24"/>
          <w:szCs w:val="24"/>
        </w:rPr>
        <w:t xml:space="preserve"> the</w:t>
      </w:r>
      <w:r w:rsidR="003841E0">
        <w:rPr>
          <w:rFonts w:cstheme="minorHAnsi"/>
          <w:sz w:val="24"/>
          <w:szCs w:val="24"/>
        </w:rPr>
        <w:t xml:space="preserve"> </w:t>
      </w:r>
      <w:r w:rsidR="003841E0">
        <w:rPr>
          <w:rFonts w:ascii="Calibri" w:hAnsi="Calibri" w:cs="Calibri"/>
          <w:sz w:val="24"/>
          <w:szCs w:val="24"/>
        </w:rPr>
        <w:t>“</w:t>
      </w:r>
      <w:r w:rsidR="003841E0" w:rsidRPr="00762866">
        <w:rPr>
          <w:rFonts w:ascii="Calibri" w:hAnsi="Calibri" w:cs="Calibri"/>
          <w:sz w:val="24"/>
          <w:szCs w:val="24"/>
        </w:rPr>
        <w:t>Louis Database of Accessible Materials to quickly locate accessible formats</w:t>
      </w:r>
      <w:r w:rsidR="003841E0">
        <w:rPr>
          <w:rFonts w:ascii="Calibri" w:hAnsi="Calibri" w:cs="Calibri"/>
          <w:sz w:val="24"/>
          <w:szCs w:val="24"/>
        </w:rPr>
        <w:t xml:space="preserve">” was endorsed more often by IMC/IRC staff compared to other respondents </w:t>
      </w:r>
      <w:r w:rsidR="003841E0" w:rsidRPr="00BB1752">
        <w:rPr>
          <w:rFonts w:cstheme="minorHAnsi"/>
          <w:sz w:val="24"/>
          <w:szCs w:val="24"/>
        </w:rPr>
        <w:t>(</w:t>
      </w:r>
      <w:r w:rsidR="003841E0" w:rsidRPr="00AB7F00">
        <w:rPr>
          <w:rFonts w:cstheme="minorHAnsi"/>
          <w:sz w:val="24"/>
          <w:szCs w:val="24"/>
        </w:rPr>
        <w:sym w:font="Symbol" w:char="F063"/>
      </w:r>
      <w:r w:rsidR="003841E0" w:rsidRPr="00AB7F00">
        <w:rPr>
          <w:rFonts w:cstheme="minorHAnsi"/>
          <w:sz w:val="24"/>
          <w:szCs w:val="24"/>
          <w:vertAlign w:val="superscript"/>
        </w:rPr>
        <w:t>2</w:t>
      </w:r>
      <w:r w:rsidR="003841E0" w:rsidRPr="00AB7F00">
        <w:rPr>
          <w:rFonts w:cstheme="minorHAnsi"/>
          <w:sz w:val="24"/>
          <w:szCs w:val="24"/>
        </w:rPr>
        <w:t>(1) = 6.</w:t>
      </w:r>
      <w:r w:rsidR="003841E0">
        <w:rPr>
          <w:rFonts w:cstheme="minorHAnsi"/>
          <w:sz w:val="24"/>
          <w:szCs w:val="24"/>
        </w:rPr>
        <w:t>29</w:t>
      </w:r>
      <w:r w:rsidR="003841E0" w:rsidRPr="00AB7F00">
        <w:rPr>
          <w:rFonts w:cstheme="minorHAnsi"/>
          <w:sz w:val="24"/>
          <w:szCs w:val="24"/>
        </w:rPr>
        <w:t xml:space="preserve">, </w:t>
      </w:r>
      <w:r w:rsidR="003841E0" w:rsidRPr="00AB7F00">
        <w:rPr>
          <w:rFonts w:cstheme="minorHAnsi"/>
          <w:i/>
          <w:iCs/>
          <w:sz w:val="24"/>
          <w:szCs w:val="24"/>
        </w:rPr>
        <w:t>p</w:t>
      </w:r>
      <w:r w:rsidR="003841E0" w:rsidRPr="00AB7F00">
        <w:rPr>
          <w:rFonts w:cstheme="minorHAnsi"/>
          <w:sz w:val="24"/>
          <w:szCs w:val="24"/>
        </w:rPr>
        <w:t xml:space="preserve"> &lt; .05; see Figure </w:t>
      </w:r>
      <w:r w:rsidR="00EE4A78">
        <w:rPr>
          <w:rFonts w:cstheme="minorHAnsi"/>
          <w:sz w:val="24"/>
          <w:szCs w:val="24"/>
        </w:rPr>
        <w:t>17</w:t>
      </w:r>
      <w:r w:rsidR="003841E0" w:rsidRPr="00BB1752">
        <w:rPr>
          <w:rFonts w:cstheme="minorHAnsi"/>
          <w:sz w:val="24"/>
          <w:szCs w:val="24"/>
        </w:rPr>
        <w:t>)</w:t>
      </w:r>
      <w:r w:rsidR="003841E0">
        <w:rPr>
          <w:rFonts w:cstheme="minorHAnsi"/>
          <w:sz w:val="24"/>
          <w:szCs w:val="24"/>
        </w:rPr>
        <w:t xml:space="preserve"> and was endorsed more often by NIMAC Users (84%</w:t>
      </w:r>
      <w:r w:rsidR="008A251A">
        <w:rPr>
          <w:rFonts w:cstheme="minorHAnsi"/>
          <w:sz w:val="24"/>
          <w:szCs w:val="24"/>
        </w:rPr>
        <w:t>;</w:t>
      </w:r>
      <w:r w:rsidR="003841E0">
        <w:rPr>
          <w:rFonts w:cstheme="minorHAnsi"/>
          <w:sz w:val="24"/>
          <w:szCs w:val="24"/>
        </w:rPr>
        <w:t xml:space="preserve"> </w:t>
      </w:r>
      <w:r w:rsidR="003841E0">
        <w:rPr>
          <w:rFonts w:cstheme="minorHAnsi"/>
          <w:i/>
          <w:iCs/>
          <w:sz w:val="24"/>
          <w:szCs w:val="24"/>
        </w:rPr>
        <w:t>n</w:t>
      </w:r>
      <w:r w:rsidR="003841E0">
        <w:rPr>
          <w:rFonts w:cstheme="minorHAnsi"/>
          <w:sz w:val="24"/>
          <w:szCs w:val="24"/>
        </w:rPr>
        <w:t xml:space="preserve"> = 44) compared to respondents who were not NIMAC Users (53%</w:t>
      </w:r>
      <w:r w:rsidR="008A251A">
        <w:rPr>
          <w:rFonts w:cstheme="minorHAnsi"/>
          <w:sz w:val="24"/>
          <w:szCs w:val="24"/>
        </w:rPr>
        <w:t>;</w:t>
      </w:r>
      <w:r w:rsidR="003841E0">
        <w:rPr>
          <w:rFonts w:cstheme="minorHAnsi"/>
          <w:sz w:val="24"/>
          <w:szCs w:val="24"/>
        </w:rPr>
        <w:t xml:space="preserve"> </w:t>
      </w:r>
      <w:r w:rsidR="003841E0">
        <w:rPr>
          <w:rFonts w:cstheme="minorHAnsi"/>
          <w:i/>
          <w:iCs/>
          <w:sz w:val="24"/>
          <w:szCs w:val="24"/>
        </w:rPr>
        <w:t xml:space="preserve">n </w:t>
      </w:r>
      <w:r w:rsidR="003841E0">
        <w:rPr>
          <w:rFonts w:cstheme="minorHAnsi"/>
          <w:sz w:val="24"/>
          <w:szCs w:val="24"/>
        </w:rPr>
        <w:t xml:space="preserve">= 110; </w:t>
      </w:r>
      <w:r w:rsidR="003841E0" w:rsidRPr="00BB1752">
        <w:rPr>
          <w:rFonts w:cstheme="minorHAnsi"/>
          <w:sz w:val="24"/>
          <w:szCs w:val="24"/>
        </w:rPr>
        <w:sym w:font="Symbol" w:char="F063"/>
      </w:r>
      <w:r w:rsidR="003841E0" w:rsidRPr="00BB1752">
        <w:rPr>
          <w:rFonts w:cstheme="minorHAnsi"/>
          <w:sz w:val="24"/>
          <w:szCs w:val="24"/>
          <w:vertAlign w:val="superscript"/>
        </w:rPr>
        <w:t>2</w:t>
      </w:r>
      <w:r w:rsidR="003841E0" w:rsidRPr="00BB1752">
        <w:rPr>
          <w:rFonts w:cstheme="minorHAnsi"/>
          <w:sz w:val="24"/>
          <w:szCs w:val="24"/>
        </w:rPr>
        <w:t>(</w:t>
      </w:r>
      <w:r w:rsidR="003841E0">
        <w:rPr>
          <w:rFonts w:cstheme="minorHAnsi"/>
          <w:sz w:val="24"/>
          <w:szCs w:val="24"/>
        </w:rPr>
        <w:t>1</w:t>
      </w:r>
      <w:r w:rsidR="003841E0" w:rsidRPr="00BB1752">
        <w:rPr>
          <w:rFonts w:cstheme="minorHAnsi"/>
          <w:sz w:val="24"/>
          <w:szCs w:val="24"/>
        </w:rPr>
        <w:t xml:space="preserve">) = </w:t>
      </w:r>
      <w:r w:rsidR="003841E0">
        <w:rPr>
          <w:rFonts w:cstheme="minorHAnsi"/>
          <w:sz w:val="24"/>
          <w:szCs w:val="24"/>
        </w:rPr>
        <w:t>13.08</w:t>
      </w:r>
      <w:r w:rsidR="003841E0" w:rsidRPr="00BB1752">
        <w:rPr>
          <w:rFonts w:cstheme="minorHAnsi"/>
          <w:sz w:val="24"/>
          <w:szCs w:val="24"/>
        </w:rPr>
        <w:t xml:space="preserve">, </w:t>
      </w:r>
      <w:r w:rsidR="003841E0" w:rsidRPr="00BB1752">
        <w:rPr>
          <w:rFonts w:cstheme="minorHAnsi"/>
          <w:i/>
          <w:iCs/>
          <w:sz w:val="24"/>
          <w:szCs w:val="24"/>
        </w:rPr>
        <w:t>p</w:t>
      </w:r>
      <w:r w:rsidR="003841E0" w:rsidRPr="00BB1752">
        <w:rPr>
          <w:rFonts w:cstheme="minorHAnsi"/>
          <w:sz w:val="24"/>
          <w:szCs w:val="24"/>
        </w:rPr>
        <w:t xml:space="preserve"> &lt; .05</w:t>
      </w:r>
      <w:r w:rsidR="003841E0">
        <w:rPr>
          <w:rFonts w:cstheme="minorHAnsi"/>
          <w:sz w:val="24"/>
          <w:szCs w:val="24"/>
        </w:rPr>
        <w:t xml:space="preserve">). </w:t>
      </w:r>
      <w:r w:rsidR="003841E0">
        <w:rPr>
          <w:rFonts w:ascii="Calibri" w:hAnsi="Calibri" w:cs="Calibri"/>
          <w:sz w:val="24"/>
          <w:szCs w:val="24"/>
        </w:rPr>
        <w:t xml:space="preserve">In addition, </w:t>
      </w:r>
      <w:r w:rsidR="00ED710C">
        <w:rPr>
          <w:rFonts w:ascii="Calibri" w:hAnsi="Calibri" w:cs="Calibri"/>
          <w:sz w:val="24"/>
          <w:szCs w:val="24"/>
        </w:rPr>
        <w:t xml:space="preserve">the practice of AMPs submitting </w:t>
      </w:r>
      <w:r w:rsidR="003841E0">
        <w:rPr>
          <w:rFonts w:ascii="Calibri" w:hAnsi="Calibri" w:cs="Calibri"/>
          <w:sz w:val="24"/>
          <w:szCs w:val="24"/>
        </w:rPr>
        <w:t>“</w:t>
      </w:r>
      <w:r w:rsidR="003841E0" w:rsidRPr="00AB7F00">
        <w:rPr>
          <w:rFonts w:cstheme="minorHAnsi"/>
          <w:sz w:val="24"/>
          <w:szCs w:val="24"/>
        </w:rPr>
        <w:t>data to Louis Database of Accessible Materials, so it is searchable nationwide”</w:t>
      </w:r>
      <w:r w:rsidR="003841E0">
        <w:rPr>
          <w:rFonts w:cstheme="minorHAnsi"/>
          <w:sz w:val="24"/>
          <w:szCs w:val="24"/>
        </w:rPr>
        <w:t xml:space="preserve"> was endorsed </w:t>
      </w:r>
      <w:r w:rsidR="004C5D8D">
        <w:rPr>
          <w:rFonts w:cstheme="minorHAnsi"/>
          <w:sz w:val="24"/>
          <w:szCs w:val="24"/>
        </w:rPr>
        <w:t>less</w:t>
      </w:r>
      <w:r w:rsidR="003841E0">
        <w:rPr>
          <w:rFonts w:cstheme="minorHAnsi"/>
          <w:sz w:val="24"/>
          <w:szCs w:val="24"/>
        </w:rPr>
        <w:t xml:space="preserve"> often by school staff </w:t>
      </w:r>
      <w:r w:rsidR="003841E0" w:rsidRPr="00BB1752">
        <w:rPr>
          <w:rFonts w:cstheme="minorHAnsi"/>
          <w:sz w:val="24"/>
          <w:szCs w:val="24"/>
        </w:rPr>
        <w:t>(</w:t>
      </w:r>
      <w:r w:rsidR="003841E0" w:rsidRPr="00AB7F00">
        <w:rPr>
          <w:rFonts w:cstheme="minorHAnsi"/>
          <w:sz w:val="24"/>
          <w:szCs w:val="24"/>
        </w:rPr>
        <w:sym w:font="Symbol" w:char="F063"/>
      </w:r>
      <w:r w:rsidR="003841E0" w:rsidRPr="00AB7F00">
        <w:rPr>
          <w:rFonts w:cstheme="minorHAnsi"/>
          <w:sz w:val="24"/>
          <w:szCs w:val="24"/>
          <w:vertAlign w:val="superscript"/>
        </w:rPr>
        <w:t>2</w:t>
      </w:r>
      <w:r w:rsidR="003841E0" w:rsidRPr="00AB7F00">
        <w:rPr>
          <w:rFonts w:cstheme="minorHAnsi"/>
          <w:sz w:val="24"/>
          <w:szCs w:val="24"/>
        </w:rPr>
        <w:t xml:space="preserve">(1) = </w:t>
      </w:r>
      <w:r w:rsidR="00A73AC0">
        <w:rPr>
          <w:rFonts w:cstheme="minorHAnsi"/>
          <w:sz w:val="24"/>
          <w:szCs w:val="24"/>
        </w:rPr>
        <w:t>5.17</w:t>
      </w:r>
      <w:r w:rsidR="003841E0" w:rsidRPr="00AB7F00">
        <w:rPr>
          <w:rFonts w:cstheme="minorHAnsi"/>
          <w:sz w:val="24"/>
          <w:szCs w:val="24"/>
        </w:rPr>
        <w:t xml:space="preserve">, </w:t>
      </w:r>
      <w:r w:rsidR="003841E0" w:rsidRPr="00AB7F00">
        <w:rPr>
          <w:rFonts w:cstheme="minorHAnsi"/>
          <w:i/>
          <w:iCs/>
          <w:sz w:val="24"/>
          <w:szCs w:val="24"/>
        </w:rPr>
        <w:t>p</w:t>
      </w:r>
      <w:r w:rsidR="003841E0" w:rsidRPr="00AB7F00">
        <w:rPr>
          <w:rFonts w:cstheme="minorHAnsi"/>
          <w:sz w:val="24"/>
          <w:szCs w:val="24"/>
        </w:rPr>
        <w:t xml:space="preserve"> &lt; .05</w:t>
      </w:r>
      <w:r w:rsidR="003841E0">
        <w:rPr>
          <w:rFonts w:cstheme="minorHAnsi"/>
          <w:sz w:val="24"/>
          <w:szCs w:val="24"/>
        </w:rPr>
        <w:t>)</w:t>
      </w:r>
      <w:r w:rsidR="008C57A6">
        <w:rPr>
          <w:rFonts w:cstheme="minorHAnsi"/>
          <w:sz w:val="24"/>
          <w:szCs w:val="24"/>
        </w:rPr>
        <w:t xml:space="preserve"> compared to other respondents. This practice was also endorsed</w:t>
      </w:r>
      <w:r w:rsidR="004C5D8D">
        <w:rPr>
          <w:rFonts w:cstheme="minorHAnsi"/>
          <w:sz w:val="24"/>
          <w:szCs w:val="24"/>
        </w:rPr>
        <w:t xml:space="preserve"> more often by</w:t>
      </w:r>
      <w:r w:rsidR="003841E0">
        <w:rPr>
          <w:rFonts w:cstheme="minorHAnsi"/>
          <w:sz w:val="24"/>
          <w:szCs w:val="24"/>
        </w:rPr>
        <w:t xml:space="preserve"> </w:t>
      </w:r>
      <w:r w:rsidR="00A73AC0">
        <w:rPr>
          <w:rFonts w:cstheme="minorHAnsi"/>
          <w:sz w:val="24"/>
          <w:szCs w:val="24"/>
        </w:rPr>
        <w:t xml:space="preserve">IMC/IRC staff </w:t>
      </w:r>
      <w:r w:rsidR="00A73AC0" w:rsidRPr="00BB1752">
        <w:rPr>
          <w:rFonts w:cstheme="minorHAnsi"/>
          <w:sz w:val="24"/>
          <w:szCs w:val="24"/>
        </w:rPr>
        <w:t>(</w:t>
      </w:r>
      <w:r w:rsidR="00A73AC0" w:rsidRPr="00AB7F00">
        <w:rPr>
          <w:rFonts w:cstheme="minorHAnsi"/>
          <w:sz w:val="24"/>
          <w:szCs w:val="24"/>
        </w:rPr>
        <w:sym w:font="Symbol" w:char="F063"/>
      </w:r>
      <w:r w:rsidR="00A73AC0" w:rsidRPr="00AB7F00">
        <w:rPr>
          <w:rFonts w:cstheme="minorHAnsi"/>
          <w:sz w:val="24"/>
          <w:szCs w:val="24"/>
          <w:vertAlign w:val="superscript"/>
        </w:rPr>
        <w:t>2</w:t>
      </w:r>
      <w:r w:rsidR="00A73AC0" w:rsidRPr="00AB7F00">
        <w:rPr>
          <w:rFonts w:cstheme="minorHAnsi"/>
          <w:sz w:val="24"/>
          <w:szCs w:val="24"/>
        </w:rPr>
        <w:t xml:space="preserve">(1) = </w:t>
      </w:r>
      <w:r w:rsidR="00A73AC0">
        <w:rPr>
          <w:rFonts w:cstheme="minorHAnsi"/>
          <w:sz w:val="24"/>
          <w:szCs w:val="24"/>
        </w:rPr>
        <w:t>4.15</w:t>
      </w:r>
      <w:r w:rsidR="00A73AC0" w:rsidRPr="00AB7F00">
        <w:rPr>
          <w:rFonts w:cstheme="minorHAnsi"/>
          <w:sz w:val="24"/>
          <w:szCs w:val="24"/>
        </w:rPr>
        <w:t xml:space="preserve">, </w:t>
      </w:r>
      <w:r w:rsidR="00A73AC0" w:rsidRPr="00AB7F00">
        <w:rPr>
          <w:rFonts w:cstheme="minorHAnsi"/>
          <w:i/>
          <w:iCs/>
          <w:sz w:val="24"/>
          <w:szCs w:val="24"/>
        </w:rPr>
        <w:t>p</w:t>
      </w:r>
      <w:r w:rsidR="00A73AC0" w:rsidRPr="00AB7F00">
        <w:rPr>
          <w:rFonts w:cstheme="minorHAnsi"/>
          <w:sz w:val="24"/>
          <w:szCs w:val="24"/>
        </w:rPr>
        <w:t xml:space="preserve"> &lt; .05</w:t>
      </w:r>
      <w:r w:rsidR="00A73AC0">
        <w:rPr>
          <w:rFonts w:cstheme="minorHAnsi"/>
          <w:sz w:val="24"/>
          <w:szCs w:val="24"/>
        </w:rPr>
        <w:t xml:space="preserve">) and AMPs, </w:t>
      </w:r>
      <w:r w:rsidR="004C5D8D">
        <w:rPr>
          <w:rFonts w:cstheme="minorHAnsi"/>
          <w:sz w:val="24"/>
          <w:szCs w:val="24"/>
        </w:rPr>
        <w:t>p</w:t>
      </w:r>
      <w:r w:rsidR="00A73AC0">
        <w:rPr>
          <w:rFonts w:cstheme="minorHAnsi"/>
          <w:sz w:val="24"/>
          <w:szCs w:val="24"/>
        </w:rPr>
        <w:t xml:space="preserve">ublishers, and </w:t>
      </w:r>
      <w:r w:rsidR="004C5D8D">
        <w:rPr>
          <w:rFonts w:cstheme="minorHAnsi"/>
          <w:sz w:val="24"/>
          <w:szCs w:val="24"/>
        </w:rPr>
        <w:t>c</w:t>
      </w:r>
      <w:r w:rsidR="00A73AC0">
        <w:rPr>
          <w:rFonts w:cstheme="minorHAnsi"/>
          <w:sz w:val="24"/>
          <w:szCs w:val="24"/>
        </w:rPr>
        <w:t xml:space="preserve">onversion </w:t>
      </w:r>
      <w:r w:rsidR="004C5D8D">
        <w:rPr>
          <w:rFonts w:cstheme="minorHAnsi"/>
          <w:sz w:val="24"/>
          <w:szCs w:val="24"/>
        </w:rPr>
        <w:t>v</w:t>
      </w:r>
      <w:r w:rsidR="00A73AC0">
        <w:rPr>
          <w:rFonts w:cstheme="minorHAnsi"/>
          <w:sz w:val="24"/>
          <w:szCs w:val="24"/>
        </w:rPr>
        <w:t xml:space="preserve">endors </w:t>
      </w:r>
      <w:r w:rsidR="004C5D8D">
        <w:rPr>
          <w:rFonts w:cstheme="minorHAnsi"/>
          <w:sz w:val="24"/>
          <w:szCs w:val="24"/>
        </w:rPr>
        <w:t xml:space="preserve">compared to other respondents </w:t>
      </w:r>
      <w:r w:rsidR="00A73AC0" w:rsidRPr="00BB1752">
        <w:rPr>
          <w:rFonts w:cstheme="minorHAnsi"/>
          <w:sz w:val="24"/>
          <w:szCs w:val="24"/>
        </w:rPr>
        <w:t>(</w:t>
      </w:r>
      <w:r w:rsidR="00A73AC0" w:rsidRPr="00AB7F00">
        <w:rPr>
          <w:rFonts w:cstheme="minorHAnsi"/>
          <w:sz w:val="24"/>
          <w:szCs w:val="24"/>
        </w:rPr>
        <w:sym w:font="Symbol" w:char="F063"/>
      </w:r>
      <w:r w:rsidR="00A73AC0" w:rsidRPr="00AB7F00">
        <w:rPr>
          <w:rFonts w:cstheme="minorHAnsi"/>
          <w:sz w:val="24"/>
          <w:szCs w:val="24"/>
          <w:vertAlign w:val="superscript"/>
        </w:rPr>
        <w:t>2</w:t>
      </w:r>
      <w:r w:rsidR="00A73AC0" w:rsidRPr="00AB7F00">
        <w:rPr>
          <w:rFonts w:cstheme="minorHAnsi"/>
          <w:sz w:val="24"/>
          <w:szCs w:val="24"/>
        </w:rPr>
        <w:t xml:space="preserve">(1) = </w:t>
      </w:r>
      <w:r w:rsidR="00A73AC0">
        <w:rPr>
          <w:rFonts w:cstheme="minorHAnsi"/>
          <w:sz w:val="24"/>
          <w:szCs w:val="24"/>
        </w:rPr>
        <w:t>7.07</w:t>
      </w:r>
      <w:r w:rsidR="00A73AC0" w:rsidRPr="00AB7F00">
        <w:rPr>
          <w:rFonts w:cstheme="minorHAnsi"/>
          <w:sz w:val="24"/>
          <w:szCs w:val="24"/>
        </w:rPr>
        <w:t xml:space="preserve">, </w:t>
      </w:r>
      <w:r w:rsidR="00A73AC0" w:rsidRPr="00AB7F00">
        <w:rPr>
          <w:rFonts w:cstheme="minorHAnsi"/>
          <w:i/>
          <w:iCs/>
          <w:sz w:val="24"/>
          <w:szCs w:val="24"/>
        </w:rPr>
        <w:t>p</w:t>
      </w:r>
      <w:r w:rsidR="00A73AC0" w:rsidRPr="00AB7F00">
        <w:rPr>
          <w:rFonts w:cstheme="minorHAnsi"/>
          <w:sz w:val="24"/>
          <w:szCs w:val="24"/>
        </w:rPr>
        <w:t xml:space="preserve"> &lt; .05; see Figure </w:t>
      </w:r>
      <w:r w:rsidR="00EE4A78">
        <w:rPr>
          <w:rFonts w:cstheme="minorHAnsi"/>
          <w:sz w:val="24"/>
          <w:szCs w:val="24"/>
        </w:rPr>
        <w:t>17</w:t>
      </w:r>
      <w:r w:rsidR="00A73AC0" w:rsidRPr="00BB1752">
        <w:rPr>
          <w:rFonts w:cstheme="minorHAnsi"/>
          <w:sz w:val="24"/>
          <w:szCs w:val="24"/>
        </w:rPr>
        <w:t>)</w:t>
      </w:r>
      <w:r w:rsidR="004C5D8D">
        <w:rPr>
          <w:rFonts w:cstheme="minorHAnsi"/>
          <w:sz w:val="24"/>
          <w:szCs w:val="24"/>
        </w:rPr>
        <w:t>.</w:t>
      </w:r>
      <w:r w:rsidR="004C5D8D" w:rsidRPr="004C5D8D">
        <w:rPr>
          <w:rFonts w:ascii="Calibri" w:hAnsi="Calibri" w:cs="Calibri"/>
          <w:sz w:val="24"/>
          <w:szCs w:val="24"/>
        </w:rPr>
        <w:t xml:space="preserve"> </w:t>
      </w:r>
      <w:r w:rsidR="004C5D8D">
        <w:rPr>
          <w:rFonts w:ascii="Calibri" w:hAnsi="Calibri" w:cs="Calibri"/>
          <w:sz w:val="24"/>
          <w:szCs w:val="24"/>
        </w:rPr>
        <w:t>The practice of AMPs submitting “</w:t>
      </w:r>
      <w:r w:rsidR="004C5D8D" w:rsidRPr="00AB7F00">
        <w:rPr>
          <w:rFonts w:cstheme="minorHAnsi"/>
          <w:sz w:val="24"/>
          <w:szCs w:val="24"/>
        </w:rPr>
        <w:t>data to Louis Database of Accessible Materials, so it is searchable nationwide”</w:t>
      </w:r>
      <w:r w:rsidR="004C5D8D">
        <w:rPr>
          <w:rFonts w:cstheme="minorHAnsi"/>
          <w:sz w:val="24"/>
          <w:szCs w:val="24"/>
        </w:rPr>
        <w:t xml:space="preserve"> </w:t>
      </w:r>
      <w:r w:rsidR="00A73AC0">
        <w:rPr>
          <w:rFonts w:cstheme="minorHAnsi"/>
          <w:sz w:val="24"/>
          <w:szCs w:val="24"/>
        </w:rPr>
        <w:t xml:space="preserve">was </w:t>
      </w:r>
      <w:r w:rsidR="004C5D8D">
        <w:rPr>
          <w:rFonts w:cstheme="minorHAnsi"/>
          <w:sz w:val="24"/>
          <w:szCs w:val="24"/>
        </w:rPr>
        <w:t xml:space="preserve">also </w:t>
      </w:r>
      <w:r w:rsidR="00A73AC0">
        <w:rPr>
          <w:rFonts w:cstheme="minorHAnsi"/>
          <w:sz w:val="24"/>
          <w:szCs w:val="24"/>
        </w:rPr>
        <w:t>endorsed more often by NIMAC Users (71%</w:t>
      </w:r>
      <w:r w:rsidR="004C5D8D">
        <w:rPr>
          <w:rFonts w:cstheme="minorHAnsi"/>
          <w:sz w:val="24"/>
          <w:szCs w:val="24"/>
        </w:rPr>
        <w:t>;</w:t>
      </w:r>
      <w:r w:rsidR="00A73AC0">
        <w:rPr>
          <w:rFonts w:cstheme="minorHAnsi"/>
          <w:sz w:val="24"/>
          <w:szCs w:val="24"/>
        </w:rPr>
        <w:t xml:space="preserve"> </w:t>
      </w:r>
      <w:r w:rsidR="00A73AC0">
        <w:rPr>
          <w:rFonts w:cstheme="minorHAnsi"/>
          <w:i/>
          <w:iCs/>
          <w:sz w:val="24"/>
          <w:szCs w:val="24"/>
        </w:rPr>
        <w:t>n</w:t>
      </w:r>
      <w:r w:rsidR="00A73AC0">
        <w:rPr>
          <w:rFonts w:cstheme="minorHAnsi"/>
          <w:sz w:val="24"/>
          <w:szCs w:val="24"/>
        </w:rPr>
        <w:t xml:space="preserve"> = 44) compared to respondents who were not NIMAC Users (41%</w:t>
      </w:r>
      <w:r w:rsidR="004C5D8D">
        <w:rPr>
          <w:rFonts w:cstheme="minorHAnsi"/>
          <w:sz w:val="24"/>
          <w:szCs w:val="24"/>
        </w:rPr>
        <w:t>;</w:t>
      </w:r>
      <w:r w:rsidR="00A73AC0">
        <w:rPr>
          <w:rFonts w:cstheme="minorHAnsi"/>
          <w:sz w:val="24"/>
          <w:szCs w:val="24"/>
        </w:rPr>
        <w:t xml:space="preserve"> </w:t>
      </w:r>
      <w:r w:rsidR="00A73AC0">
        <w:rPr>
          <w:rFonts w:cstheme="minorHAnsi"/>
          <w:i/>
          <w:iCs/>
          <w:sz w:val="24"/>
          <w:szCs w:val="24"/>
        </w:rPr>
        <w:t>n</w:t>
      </w:r>
      <w:r w:rsidR="00A73AC0">
        <w:rPr>
          <w:rFonts w:cstheme="minorHAnsi"/>
          <w:sz w:val="24"/>
          <w:szCs w:val="24"/>
        </w:rPr>
        <w:t xml:space="preserve"> = 110; </w:t>
      </w:r>
      <w:r w:rsidR="00A73AC0" w:rsidRPr="00BB1752">
        <w:rPr>
          <w:rFonts w:cstheme="minorHAnsi"/>
          <w:sz w:val="24"/>
          <w:szCs w:val="24"/>
        </w:rPr>
        <w:sym w:font="Symbol" w:char="F063"/>
      </w:r>
      <w:r w:rsidR="00A73AC0" w:rsidRPr="00BB1752">
        <w:rPr>
          <w:rFonts w:cstheme="minorHAnsi"/>
          <w:sz w:val="24"/>
          <w:szCs w:val="24"/>
          <w:vertAlign w:val="superscript"/>
        </w:rPr>
        <w:t>2</w:t>
      </w:r>
      <w:r w:rsidR="00A73AC0" w:rsidRPr="00BB1752">
        <w:rPr>
          <w:rFonts w:cstheme="minorHAnsi"/>
          <w:sz w:val="24"/>
          <w:szCs w:val="24"/>
        </w:rPr>
        <w:t>(</w:t>
      </w:r>
      <w:r w:rsidR="00A73AC0">
        <w:rPr>
          <w:rFonts w:cstheme="minorHAnsi"/>
          <w:sz w:val="24"/>
          <w:szCs w:val="24"/>
        </w:rPr>
        <w:t>1</w:t>
      </w:r>
      <w:r w:rsidR="00A73AC0" w:rsidRPr="00BB1752">
        <w:rPr>
          <w:rFonts w:cstheme="minorHAnsi"/>
          <w:sz w:val="24"/>
          <w:szCs w:val="24"/>
        </w:rPr>
        <w:t xml:space="preserve">) = </w:t>
      </w:r>
      <w:r w:rsidR="00A73AC0">
        <w:rPr>
          <w:rFonts w:cstheme="minorHAnsi"/>
          <w:sz w:val="24"/>
          <w:szCs w:val="24"/>
        </w:rPr>
        <w:t>10.98</w:t>
      </w:r>
      <w:r w:rsidR="00A73AC0" w:rsidRPr="00BB1752">
        <w:rPr>
          <w:rFonts w:cstheme="minorHAnsi"/>
          <w:sz w:val="24"/>
          <w:szCs w:val="24"/>
        </w:rPr>
        <w:t xml:space="preserve">, </w:t>
      </w:r>
      <w:r w:rsidR="00A73AC0" w:rsidRPr="00BB1752">
        <w:rPr>
          <w:rFonts w:cstheme="minorHAnsi"/>
          <w:i/>
          <w:iCs/>
          <w:sz w:val="24"/>
          <w:szCs w:val="24"/>
        </w:rPr>
        <w:t>p</w:t>
      </w:r>
      <w:r w:rsidR="00A73AC0" w:rsidRPr="00BB1752">
        <w:rPr>
          <w:rFonts w:cstheme="minorHAnsi"/>
          <w:sz w:val="24"/>
          <w:szCs w:val="24"/>
        </w:rPr>
        <w:t xml:space="preserve"> &lt; .05</w:t>
      </w:r>
      <w:r w:rsidR="00A73AC0">
        <w:rPr>
          <w:rFonts w:cstheme="minorHAnsi"/>
          <w:sz w:val="24"/>
          <w:szCs w:val="24"/>
        </w:rPr>
        <w:t xml:space="preserve">). </w:t>
      </w:r>
      <w:r w:rsidR="00B97F3E">
        <w:rPr>
          <w:rFonts w:cstheme="minorHAnsi"/>
          <w:sz w:val="24"/>
          <w:szCs w:val="24"/>
        </w:rPr>
        <w:t>Overall</w:t>
      </w:r>
      <w:r w:rsidR="00A73AC0">
        <w:rPr>
          <w:rFonts w:cstheme="minorHAnsi"/>
          <w:sz w:val="24"/>
          <w:szCs w:val="24"/>
        </w:rPr>
        <w:t xml:space="preserve">, these findings suggest that IMC/IRC staff, AMPs, </w:t>
      </w:r>
      <w:r w:rsidR="004C5D8D">
        <w:rPr>
          <w:rFonts w:cstheme="minorHAnsi"/>
          <w:sz w:val="24"/>
          <w:szCs w:val="24"/>
        </w:rPr>
        <w:t>p</w:t>
      </w:r>
      <w:r w:rsidR="00A73AC0">
        <w:rPr>
          <w:rFonts w:cstheme="minorHAnsi"/>
          <w:sz w:val="24"/>
          <w:szCs w:val="24"/>
        </w:rPr>
        <w:t xml:space="preserve">ublishers, </w:t>
      </w:r>
      <w:r w:rsidR="004C5D8D">
        <w:rPr>
          <w:rFonts w:cstheme="minorHAnsi"/>
          <w:sz w:val="24"/>
          <w:szCs w:val="24"/>
        </w:rPr>
        <w:t>c</w:t>
      </w:r>
      <w:r w:rsidR="00A73AC0">
        <w:rPr>
          <w:rFonts w:cstheme="minorHAnsi"/>
          <w:sz w:val="24"/>
          <w:szCs w:val="24"/>
        </w:rPr>
        <w:t xml:space="preserve">onversion </w:t>
      </w:r>
      <w:r w:rsidR="004C5D8D">
        <w:rPr>
          <w:rFonts w:cstheme="minorHAnsi"/>
          <w:sz w:val="24"/>
          <w:szCs w:val="24"/>
        </w:rPr>
        <w:t>v</w:t>
      </w:r>
      <w:r w:rsidR="00A73AC0">
        <w:rPr>
          <w:rFonts w:cstheme="minorHAnsi"/>
          <w:sz w:val="24"/>
          <w:szCs w:val="24"/>
        </w:rPr>
        <w:t xml:space="preserve">endors, and NIMAC Users </w:t>
      </w:r>
      <w:r w:rsidR="00005A2F">
        <w:rPr>
          <w:rFonts w:cstheme="minorHAnsi"/>
          <w:sz w:val="24"/>
          <w:szCs w:val="24"/>
        </w:rPr>
        <w:t xml:space="preserve">are most likely to </w:t>
      </w:r>
      <w:r w:rsidR="00D82882">
        <w:rPr>
          <w:rFonts w:cstheme="minorHAnsi"/>
          <w:sz w:val="24"/>
          <w:szCs w:val="24"/>
        </w:rPr>
        <w:t>recognize</w:t>
      </w:r>
      <w:r w:rsidR="00A73AC0">
        <w:rPr>
          <w:rFonts w:cstheme="minorHAnsi"/>
          <w:sz w:val="24"/>
          <w:szCs w:val="24"/>
        </w:rPr>
        <w:t xml:space="preserve"> the benefits of the </w:t>
      </w:r>
      <w:r w:rsidR="00A73AC0" w:rsidRPr="00762866">
        <w:rPr>
          <w:rFonts w:ascii="Calibri" w:hAnsi="Calibri" w:cs="Calibri"/>
          <w:sz w:val="24"/>
          <w:szCs w:val="24"/>
        </w:rPr>
        <w:t>national Louis Database of Accessible Materials</w:t>
      </w:r>
      <w:r w:rsidR="00D82882">
        <w:rPr>
          <w:rFonts w:ascii="Calibri" w:hAnsi="Calibri" w:cs="Calibri"/>
          <w:sz w:val="24"/>
          <w:szCs w:val="24"/>
        </w:rPr>
        <w:t>.</w:t>
      </w:r>
    </w:p>
    <w:p w14:paraId="2DAB26B8" w14:textId="6FBAF891" w:rsidR="00CE4909" w:rsidRDefault="00CE4909" w:rsidP="004946C3">
      <w:pPr>
        <w:pStyle w:val="Heading4"/>
      </w:pPr>
      <w:bookmarkStart w:id="44" w:name="_Toc222904009"/>
      <w:r w:rsidRPr="005919AC">
        <w:lastRenderedPageBreak/>
        <w:t xml:space="preserve">Figure </w:t>
      </w:r>
      <w:r w:rsidR="00EE4A78">
        <w:t>17</w:t>
      </w:r>
      <w:r w:rsidRPr="005919AC">
        <w:t xml:space="preserve">. </w:t>
      </w:r>
      <w:r>
        <w:t>Production-Related Factors that Facilitate Timely Delivery: Differences by Role</w:t>
      </w:r>
      <w:r w:rsidR="00B55C67">
        <w:rPr>
          <w:rFonts w:ascii="ZWAdobeF" w:hAnsi="ZWAdobeF" w:cs="ZWAdobeF"/>
          <w:i w:val="0"/>
          <w:color w:val="auto"/>
          <w:sz w:val="2"/>
          <w:szCs w:val="2"/>
        </w:rPr>
        <w:t>42F</w:t>
      </w:r>
      <w:r w:rsidRPr="005919AC">
        <w:rPr>
          <w:rStyle w:val="FootnoteReference"/>
          <w:rFonts w:cs="Calibri"/>
          <w:smallCaps/>
          <w:color w:val="44546A" w:themeColor="text2"/>
        </w:rPr>
        <w:footnoteReference w:id="44"/>
      </w:r>
      <w:bookmarkEnd w:id="44"/>
    </w:p>
    <w:p w14:paraId="3F285D43" w14:textId="058BD3BE" w:rsidR="00483F69" w:rsidRDefault="00B55C67" w:rsidP="00914292">
      <w:pPr>
        <w:jc w:val="center"/>
      </w:pPr>
      <w:r>
        <w:rPr>
          <w:rFonts w:ascii="ZWAdobeF" w:hAnsi="ZWAdobeF" w:cs="ZWAdobeF"/>
          <w:sz w:val="2"/>
          <w:szCs w:val="2"/>
        </w:rPr>
        <w:t>148</w:t>
      </w:r>
      <w:proofErr w:type="gramStart"/>
      <w:r>
        <w:rPr>
          <w:rFonts w:ascii="ZWAdobeF" w:hAnsi="ZWAdobeF" w:cs="ZWAdobeF"/>
          <w:sz w:val="2"/>
          <w:szCs w:val="2"/>
        </w:rPr>
        <w:t>B</w:t>
      </w:r>
      <w:r w:rsidR="00CE4909">
        <w:t>(</w:t>
      </w:r>
      <w:proofErr w:type="gramEnd"/>
      <w:r w:rsidR="00CE4909" w:rsidRPr="009F1957">
        <w:rPr>
          <w:i/>
          <w:iCs/>
        </w:rPr>
        <w:t>n</w:t>
      </w:r>
      <w:r w:rsidR="00CE4909">
        <w:t xml:space="preserve"> = 154</w:t>
      </w:r>
      <w:r w:rsidR="00914292">
        <w:t>)</w:t>
      </w:r>
    </w:p>
    <w:p w14:paraId="7CF7C389" w14:textId="601E4D64" w:rsidR="00FD5797" w:rsidRPr="00FD5797" w:rsidRDefault="00B55C67" w:rsidP="00914292">
      <w:pPr>
        <w:jc w:val="center"/>
      </w:pPr>
      <w:r>
        <w:rPr>
          <w:rFonts w:ascii="ZWAdobeF" w:hAnsi="ZWAdobeF" w:cs="ZWAdobeF"/>
          <w:sz w:val="2"/>
          <w:szCs w:val="2"/>
        </w:rPr>
        <w:t>149B</w:t>
      </w:r>
      <w:r w:rsidR="00CE4909" w:rsidRPr="00012B18">
        <w:rPr>
          <w:rFonts w:ascii="Times New Roman" w:hAnsi="Times New Roman" w:cs="Times New Roman"/>
          <w:b/>
          <w:noProof/>
          <w:color w:val="0070C0"/>
        </w:rPr>
        <w:drawing>
          <wp:inline distT="0" distB="0" distL="0" distR="0" wp14:anchorId="3549D72A" wp14:editId="16C1204C">
            <wp:extent cx="5943600" cy="3929448"/>
            <wp:effectExtent l="0" t="0" r="0" b="0"/>
            <wp:docPr id="1984066793" name="Chart 3" descr="Figure 17 is a grouped bar chart showing differences by role in production-related factors that facilitate timely delivery of accessible formats (n = 154). For use of the Louis Database of Accessible Materials to quickly locate accessible formats, 57% of LEA/ESD, regional, and cooperative staff (n = 62); 54% of school staff (n = 41); 84% of IMR/IRC staff (n = 25); 50% of SEA staff (n = 16); and 90% of AMPs, publishers, and vendors (n = 10) reported this factor. For AMPs submitting data to the Louis Database so it is searchable nationwide, 44% of LEA/ESD, regional, and cooperative staff; 34% of school staff; 68% of IMR/IRC staff; 56% of SEA staff; and 90% of AMPs, publishers, and vendors reported this factor. Asterisks indicate statistically significant differences for IMR/IRC staff endorsing use of the Louis Database, as well as school staff, IMR/IRC staff, and AMPs, publishers, or vendors endorsing AMPs submitting data to the Louis Database."/>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5F736ADC" w14:textId="4A3B4DA3" w:rsidR="000F25C8" w:rsidRDefault="00B55C67" w:rsidP="00D85B0B">
      <w:pPr>
        <w:spacing w:after="0" w:line="276" w:lineRule="auto"/>
        <w:rPr>
          <w:rFonts w:cstheme="minorHAnsi"/>
          <w:sz w:val="24"/>
          <w:szCs w:val="24"/>
        </w:rPr>
      </w:pPr>
      <w:r>
        <w:rPr>
          <w:rFonts w:ascii="ZWAdobeF" w:hAnsi="ZWAdobeF" w:cs="ZWAdobeF"/>
          <w:sz w:val="2"/>
          <w:szCs w:val="2"/>
        </w:rPr>
        <w:t>150B</w:t>
      </w:r>
      <w:r w:rsidR="00D85B0B" w:rsidRPr="00BB1752">
        <w:rPr>
          <w:rFonts w:cstheme="minorHAnsi"/>
          <w:sz w:val="24"/>
          <w:szCs w:val="24"/>
        </w:rPr>
        <w:t xml:space="preserve">To </w:t>
      </w:r>
      <w:r w:rsidR="0017491B">
        <w:rPr>
          <w:rFonts w:cstheme="minorHAnsi"/>
          <w:sz w:val="24"/>
          <w:szCs w:val="24"/>
        </w:rPr>
        <w:t>further explore production-related factors that facilitate timely delivery</w:t>
      </w:r>
      <w:r w:rsidR="00D85B0B" w:rsidRPr="00BB1752">
        <w:rPr>
          <w:rFonts w:cstheme="minorHAnsi"/>
          <w:sz w:val="24"/>
          <w:szCs w:val="24"/>
        </w:rPr>
        <w:t>, we obtained qualitative responses from interview participants and survey respondents</w:t>
      </w:r>
      <w:r w:rsidR="00D85B0B">
        <w:rPr>
          <w:rFonts w:cstheme="minorHAnsi"/>
          <w:sz w:val="24"/>
          <w:szCs w:val="24"/>
        </w:rPr>
        <w:t xml:space="preserve">. Interview participants were asked to describe </w:t>
      </w:r>
      <w:r w:rsidR="0017491B">
        <w:rPr>
          <w:rFonts w:cstheme="minorHAnsi"/>
          <w:sz w:val="24"/>
          <w:szCs w:val="24"/>
        </w:rPr>
        <w:t>factors that facilitate timely delivery of accessible materials</w:t>
      </w:r>
      <w:r w:rsidR="00D85B0B">
        <w:rPr>
          <w:rFonts w:cstheme="minorHAnsi"/>
          <w:sz w:val="24"/>
          <w:szCs w:val="24"/>
        </w:rPr>
        <w:t xml:space="preserve">. Survey respondents were given the opportunity to </w:t>
      </w:r>
      <w:r w:rsidR="00072C8E">
        <w:rPr>
          <w:rFonts w:cstheme="minorHAnsi"/>
          <w:sz w:val="24"/>
          <w:szCs w:val="24"/>
        </w:rPr>
        <w:t>suggest other</w:t>
      </w:r>
      <w:r w:rsidR="00D85B0B">
        <w:rPr>
          <w:rFonts w:cstheme="minorHAnsi"/>
          <w:sz w:val="24"/>
          <w:szCs w:val="24"/>
        </w:rPr>
        <w:t xml:space="preserve"> </w:t>
      </w:r>
      <w:r w:rsidR="0017491B">
        <w:rPr>
          <w:rFonts w:cstheme="minorHAnsi"/>
          <w:sz w:val="24"/>
          <w:szCs w:val="24"/>
        </w:rPr>
        <w:t>factors</w:t>
      </w:r>
      <w:r w:rsidR="00D85B0B" w:rsidRPr="00B9406C">
        <w:rPr>
          <w:rFonts w:cstheme="minorHAnsi"/>
          <w:sz w:val="24"/>
          <w:szCs w:val="24"/>
        </w:rPr>
        <w:t xml:space="preserve"> and to explain their selections.</w:t>
      </w:r>
    </w:p>
    <w:p w14:paraId="26CD5BA5" w14:textId="212D3C6A" w:rsidR="00D85B0B" w:rsidRDefault="00D85B0B" w:rsidP="00D85B0B">
      <w:pPr>
        <w:spacing w:after="0" w:line="276" w:lineRule="auto"/>
        <w:rPr>
          <w:rFonts w:cstheme="minorHAnsi"/>
          <w:sz w:val="24"/>
          <w:szCs w:val="24"/>
        </w:rPr>
      </w:pPr>
      <w:r w:rsidRPr="00B9406C">
        <w:rPr>
          <w:rFonts w:cstheme="minorHAnsi"/>
          <w:sz w:val="24"/>
          <w:szCs w:val="24"/>
        </w:rPr>
        <w:t xml:space="preserve"> </w:t>
      </w:r>
    </w:p>
    <w:p w14:paraId="71B2C93F" w14:textId="6C81A849" w:rsidR="000C0D19" w:rsidRDefault="00B55C67" w:rsidP="00D85B0B">
      <w:pPr>
        <w:spacing w:after="0" w:line="276" w:lineRule="auto"/>
        <w:rPr>
          <w:rFonts w:cstheme="minorHAnsi"/>
          <w:sz w:val="24"/>
          <w:szCs w:val="24"/>
        </w:rPr>
      </w:pPr>
      <w:r>
        <w:rPr>
          <w:rFonts w:ascii="ZWAdobeF" w:hAnsi="ZWAdobeF" w:cs="ZWAdobeF"/>
          <w:sz w:val="2"/>
          <w:szCs w:val="2"/>
        </w:rPr>
        <w:t>151B</w:t>
      </w:r>
      <w:r w:rsidR="00D85B0B">
        <w:rPr>
          <w:rFonts w:cstheme="minorHAnsi"/>
          <w:sz w:val="24"/>
          <w:szCs w:val="24"/>
        </w:rPr>
        <w:t>P</w:t>
      </w:r>
      <w:r w:rsidR="00D85B0B" w:rsidRPr="00B9406C">
        <w:rPr>
          <w:rFonts w:cstheme="minorHAnsi"/>
          <w:sz w:val="24"/>
          <w:szCs w:val="24"/>
        </w:rPr>
        <w:t>articipants’</w:t>
      </w:r>
      <w:r w:rsidR="00D85B0B">
        <w:rPr>
          <w:rFonts w:cstheme="minorHAnsi"/>
          <w:sz w:val="24"/>
          <w:szCs w:val="24"/>
        </w:rPr>
        <w:t xml:space="preserve"> </w:t>
      </w:r>
      <w:r w:rsidR="00D85B0B" w:rsidRPr="00B9406C">
        <w:rPr>
          <w:rFonts w:cstheme="minorHAnsi"/>
          <w:sz w:val="24"/>
          <w:szCs w:val="24"/>
        </w:rPr>
        <w:t xml:space="preserve">descriptions of the </w:t>
      </w:r>
      <w:r w:rsidR="0017491B">
        <w:rPr>
          <w:rFonts w:cstheme="minorHAnsi"/>
          <w:sz w:val="24"/>
          <w:szCs w:val="24"/>
        </w:rPr>
        <w:t>production-related factors that facilitate timely delivery</w:t>
      </w:r>
      <w:r w:rsidR="00D85B0B" w:rsidRPr="00B9406C">
        <w:rPr>
          <w:rFonts w:cstheme="minorHAnsi"/>
          <w:sz w:val="24"/>
          <w:szCs w:val="24"/>
        </w:rPr>
        <w:t xml:space="preserve"> are presented by theme in Table </w:t>
      </w:r>
      <w:r w:rsidR="006A6885">
        <w:rPr>
          <w:rFonts w:cstheme="minorHAnsi"/>
          <w:sz w:val="24"/>
          <w:szCs w:val="24"/>
        </w:rPr>
        <w:t>9</w:t>
      </w:r>
      <w:r w:rsidR="00D85B0B" w:rsidRPr="00B9406C">
        <w:rPr>
          <w:rFonts w:cstheme="minorHAnsi"/>
          <w:sz w:val="24"/>
          <w:szCs w:val="24"/>
        </w:rPr>
        <w:t xml:space="preserve">. </w:t>
      </w:r>
      <w:r w:rsidR="006F4196">
        <w:rPr>
          <w:rFonts w:cstheme="minorHAnsi"/>
          <w:sz w:val="24"/>
          <w:szCs w:val="24"/>
        </w:rPr>
        <w:t>Interestingly, t</w:t>
      </w:r>
      <w:r w:rsidR="000C0D19">
        <w:rPr>
          <w:rFonts w:cstheme="minorHAnsi"/>
          <w:sz w:val="24"/>
          <w:szCs w:val="24"/>
        </w:rPr>
        <w:t xml:space="preserve">he two most commonly described themes were factors not </w:t>
      </w:r>
      <w:r w:rsidR="002B2C3D">
        <w:rPr>
          <w:rFonts w:cstheme="minorHAnsi"/>
          <w:sz w:val="24"/>
          <w:szCs w:val="24"/>
        </w:rPr>
        <w:t xml:space="preserve">listed </w:t>
      </w:r>
      <w:r w:rsidR="000C0D19">
        <w:rPr>
          <w:rFonts w:cstheme="minorHAnsi"/>
          <w:sz w:val="24"/>
          <w:szCs w:val="24"/>
        </w:rPr>
        <w:t>in the survey</w:t>
      </w:r>
      <w:bookmarkStart w:id="45" w:name="_Hlk216335150"/>
      <w:r w:rsidR="000C0D19">
        <w:rPr>
          <w:rFonts w:cstheme="minorHAnsi"/>
          <w:sz w:val="24"/>
          <w:szCs w:val="24"/>
        </w:rPr>
        <w:t xml:space="preserve">: </w:t>
      </w:r>
      <w:r w:rsidR="000C0D19" w:rsidRPr="000C0D19">
        <w:rPr>
          <w:rFonts w:cstheme="minorHAnsi"/>
          <w:sz w:val="24"/>
          <w:szCs w:val="24"/>
        </w:rPr>
        <w:t>Local resources for accessible media production</w:t>
      </w:r>
      <w:r w:rsidR="000C0D19">
        <w:rPr>
          <w:rFonts w:cstheme="minorHAnsi"/>
          <w:sz w:val="24"/>
          <w:szCs w:val="24"/>
        </w:rPr>
        <w:t xml:space="preserve"> (e.g., local braille transcribers; 17 excerpts) and a streamlined production system (9 excerpts). </w:t>
      </w:r>
      <w:r w:rsidR="006F4196">
        <w:rPr>
          <w:rFonts w:cstheme="minorHAnsi"/>
          <w:sz w:val="24"/>
          <w:szCs w:val="24"/>
        </w:rPr>
        <w:t>O</w:t>
      </w:r>
      <w:r w:rsidR="000C0D19">
        <w:rPr>
          <w:rFonts w:cstheme="minorHAnsi"/>
          <w:sz w:val="24"/>
          <w:szCs w:val="24"/>
        </w:rPr>
        <w:t xml:space="preserve">ther themes were consistent with some of the factors presented in the survey: </w:t>
      </w:r>
      <w:bookmarkEnd w:id="45"/>
      <w:r w:rsidR="00851C74">
        <w:rPr>
          <w:rFonts w:cstheme="minorHAnsi"/>
          <w:sz w:val="24"/>
          <w:szCs w:val="24"/>
        </w:rPr>
        <w:t>P</w:t>
      </w:r>
      <w:r w:rsidR="000C0D19">
        <w:rPr>
          <w:rFonts w:cstheme="minorHAnsi"/>
          <w:sz w:val="24"/>
          <w:szCs w:val="24"/>
        </w:rPr>
        <w:t xml:space="preserve">roduction of smaller portions of accessible formats (6 excerpts), accessible formats available at a central location (5 excerpts), and use of the Louis Database of Accessible Materials (2 excerpts). </w:t>
      </w:r>
    </w:p>
    <w:p w14:paraId="6A6750BE" w14:textId="77777777" w:rsidR="00D85B0B" w:rsidRDefault="00D85B0B" w:rsidP="00D85B0B">
      <w:pPr>
        <w:spacing w:after="0" w:line="276" w:lineRule="auto"/>
        <w:rPr>
          <w:rFonts w:ascii="Times New Roman" w:hAnsi="Times New Roman" w:cs="Times New Roman"/>
          <w:sz w:val="24"/>
          <w:szCs w:val="24"/>
        </w:rPr>
      </w:pPr>
    </w:p>
    <w:p w14:paraId="18916A49" w14:textId="4016A7FF" w:rsidR="00D85B0B" w:rsidRPr="000C0D19" w:rsidRDefault="00D85B0B" w:rsidP="004946C3">
      <w:pPr>
        <w:pStyle w:val="Heading4"/>
      </w:pPr>
      <w:bookmarkStart w:id="46" w:name="_Toc222904010"/>
      <w:r w:rsidRPr="005919AC">
        <w:lastRenderedPageBreak/>
        <w:t xml:space="preserve">Table </w:t>
      </w:r>
      <w:r w:rsidR="006A6885">
        <w:t>9</w:t>
      </w:r>
      <w:r w:rsidRPr="005919AC">
        <w:t xml:space="preserve">. </w:t>
      </w:r>
      <w:r>
        <w:t xml:space="preserve">Qualitative Descriptions </w:t>
      </w:r>
      <w:r w:rsidRPr="000C0D19">
        <w:t xml:space="preserve">of </w:t>
      </w:r>
      <w:r w:rsidR="0017491B" w:rsidRPr="000C0D19">
        <w:t>Production-Related Factors that Facilitate Timely Delivery</w:t>
      </w:r>
      <w:bookmarkEnd w:id="46"/>
    </w:p>
    <w:p w14:paraId="1DA73429" w14:textId="2091E2F8" w:rsidR="00D85B0B" w:rsidRPr="009F1957" w:rsidRDefault="00B55C67" w:rsidP="00D85B0B">
      <w:pPr>
        <w:jc w:val="center"/>
        <w:rPr>
          <w:rFonts w:ascii="Calibri" w:hAnsi="Calibri" w:cs="Calibri"/>
        </w:rPr>
      </w:pPr>
      <w:r>
        <w:rPr>
          <w:rFonts w:ascii="ZWAdobeF" w:hAnsi="ZWAdobeF" w:cs="ZWAdobeF"/>
          <w:sz w:val="2"/>
          <w:szCs w:val="2"/>
        </w:rPr>
        <w:t>152</w:t>
      </w:r>
      <w:proofErr w:type="gramStart"/>
      <w:r>
        <w:rPr>
          <w:rFonts w:ascii="ZWAdobeF" w:hAnsi="ZWAdobeF" w:cs="ZWAdobeF"/>
          <w:sz w:val="2"/>
          <w:szCs w:val="2"/>
        </w:rPr>
        <w:t>B</w:t>
      </w:r>
      <w:r w:rsidR="00D85B0B" w:rsidRPr="000C0D19">
        <w:rPr>
          <w:rFonts w:ascii="Calibri" w:hAnsi="Calibri" w:cs="Calibri"/>
        </w:rPr>
        <w:t>(</w:t>
      </w:r>
      <w:proofErr w:type="gramEnd"/>
      <w:r w:rsidR="00457139">
        <w:rPr>
          <w:rFonts w:ascii="Calibri" w:hAnsi="Calibri" w:cs="Calibri"/>
        </w:rPr>
        <w:t>37</w:t>
      </w:r>
      <w:r w:rsidR="00D85B0B" w:rsidRPr="000C0D19">
        <w:rPr>
          <w:rFonts w:ascii="Calibri" w:hAnsi="Calibri" w:cs="Calibri"/>
        </w:rPr>
        <w:t xml:space="preserve"> excerpts)</w:t>
      </w:r>
    </w:p>
    <w:tbl>
      <w:tblPr>
        <w:tblStyle w:val="GridTable4"/>
        <w:tblW w:w="9355" w:type="dxa"/>
        <w:tblLook w:val="04A0" w:firstRow="1" w:lastRow="0" w:firstColumn="1" w:lastColumn="0" w:noHBand="0" w:noVBand="1"/>
        <w:tblCaption w:val="Table 8. Qualitative Descriptions of Production-Related Factors that Facilitate Timely Delivery"/>
      </w:tblPr>
      <w:tblGrid>
        <w:gridCol w:w="2335"/>
        <w:gridCol w:w="7020"/>
      </w:tblGrid>
      <w:tr w:rsidR="00D85B0B" w:rsidRPr="00CD254C" w14:paraId="34A467E8" w14:textId="77777777" w:rsidTr="004669B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335" w:type="dxa"/>
            <w:shd w:val="clear" w:color="auto" w:fill="44546A" w:themeFill="text2"/>
            <w:vAlign w:val="center"/>
          </w:tcPr>
          <w:p w14:paraId="3288C0DE" w14:textId="53BF176F" w:rsidR="00D85B0B" w:rsidRPr="00A43A85" w:rsidRDefault="0017491B" w:rsidP="00193DCE">
            <w:pPr>
              <w:jc w:val="center"/>
              <w:rPr>
                <w:rFonts w:cstheme="minorHAnsi"/>
              </w:rPr>
            </w:pPr>
            <w:r>
              <w:rPr>
                <w:rFonts w:cstheme="minorHAnsi"/>
              </w:rPr>
              <w:t>Production-Related Factors that Facilitate Timely Delivery</w:t>
            </w:r>
          </w:p>
        </w:tc>
        <w:tc>
          <w:tcPr>
            <w:tcW w:w="7020" w:type="dxa"/>
            <w:shd w:val="clear" w:color="auto" w:fill="44546A" w:themeFill="text2"/>
            <w:vAlign w:val="center"/>
          </w:tcPr>
          <w:p w14:paraId="435BD26D" w14:textId="77777777" w:rsidR="00D85B0B" w:rsidRPr="00A43A85" w:rsidRDefault="00D85B0B" w:rsidP="00193DCE">
            <w:pPr>
              <w:jc w:val="center"/>
              <w:cnfStyle w:val="100000000000" w:firstRow="1" w:lastRow="0" w:firstColumn="0" w:lastColumn="0" w:oddVBand="0" w:evenVBand="0" w:oddHBand="0" w:evenHBand="0" w:firstRowFirstColumn="0" w:firstRowLastColumn="0" w:lastRowFirstColumn="0" w:lastRowLastColumn="0"/>
              <w:rPr>
                <w:rFonts w:cstheme="minorHAnsi"/>
              </w:rPr>
            </w:pPr>
            <w:r>
              <w:rPr>
                <w:rFonts w:cstheme="minorHAnsi"/>
              </w:rPr>
              <w:t>Representative Quotations</w:t>
            </w:r>
          </w:p>
        </w:tc>
      </w:tr>
      <w:tr w:rsidR="008A0B11" w:rsidRPr="00CD254C" w14:paraId="6674C5BF"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3786BD15" w14:textId="3456C3E0" w:rsidR="008A0B11" w:rsidRDefault="008A0B11" w:rsidP="00193DCE">
            <w:pPr>
              <w:rPr>
                <w:rFonts w:cstheme="minorHAnsi"/>
              </w:rPr>
            </w:pPr>
            <w:r>
              <w:rPr>
                <w:rFonts w:cstheme="minorHAnsi"/>
              </w:rPr>
              <w:t>Local resources for accessible media production (</w:t>
            </w:r>
            <w:r w:rsidR="00012B18">
              <w:rPr>
                <w:rFonts w:cstheme="minorHAnsi"/>
              </w:rPr>
              <w:t>17</w:t>
            </w:r>
            <w:r>
              <w:rPr>
                <w:rFonts w:cstheme="minorHAnsi"/>
              </w:rPr>
              <w:t>)</w:t>
            </w:r>
          </w:p>
        </w:tc>
        <w:tc>
          <w:tcPr>
            <w:tcW w:w="7020" w:type="dxa"/>
            <w:shd w:val="clear" w:color="auto" w:fill="D9E2F3"/>
          </w:tcPr>
          <w:p w14:paraId="4710B176" w14:textId="5E3EA8F6" w:rsidR="008A0B11" w:rsidRPr="009631A0" w:rsidRDefault="008A0B11" w:rsidP="003C7B4B">
            <w:pPr>
              <w:cnfStyle w:val="000000100000" w:firstRow="0" w:lastRow="0" w:firstColumn="0" w:lastColumn="0" w:oddVBand="0" w:evenVBand="0" w:oddHBand="1" w:evenHBand="0" w:firstRowFirstColumn="0" w:firstRowLastColumn="0" w:lastRowFirstColumn="0" w:lastRowLastColumn="0"/>
            </w:pPr>
            <w:r w:rsidRPr="00994F7F">
              <w:t>I've had access to a</w:t>
            </w:r>
            <w:r w:rsidR="000C0D19">
              <w:t xml:space="preserve"> local</w:t>
            </w:r>
            <w:r w:rsidRPr="00994F7F">
              <w:t xml:space="preserve"> braille transcriber who can produce materials on demand so only the relevant portions of a book can be brailled. It's inefficient and expensive to request a whole book to be transcribed.</w:t>
            </w:r>
            <w:r w:rsidR="00B15D22">
              <w:t xml:space="preserve"> </w:t>
            </w:r>
            <w:r w:rsidRPr="00994F7F">
              <w:t>Most classroom teachers use diverse sources, not just textbooks.</w:t>
            </w:r>
            <w:r>
              <w:t xml:space="preserve"> (OH)</w:t>
            </w:r>
          </w:p>
        </w:tc>
      </w:tr>
      <w:tr w:rsidR="008A0B11" w:rsidRPr="00CD254C" w14:paraId="7D670EA5" w14:textId="77777777" w:rsidTr="004669B0">
        <w:tc>
          <w:tcPr>
            <w:cnfStyle w:val="001000000000" w:firstRow="0" w:lastRow="0" w:firstColumn="1" w:lastColumn="0" w:oddVBand="0" w:evenVBand="0" w:oddHBand="0" w:evenHBand="0" w:firstRowFirstColumn="0" w:firstRowLastColumn="0" w:lastRowFirstColumn="0" w:lastRowLastColumn="0"/>
            <w:tcW w:w="2335" w:type="dxa"/>
          </w:tcPr>
          <w:p w14:paraId="7F1B14F1" w14:textId="77777777" w:rsidR="008A0B11" w:rsidRDefault="008A0B11" w:rsidP="00193DCE">
            <w:pPr>
              <w:rPr>
                <w:rFonts w:cstheme="minorHAnsi"/>
              </w:rPr>
            </w:pPr>
          </w:p>
        </w:tc>
        <w:tc>
          <w:tcPr>
            <w:tcW w:w="7020" w:type="dxa"/>
          </w:tcPr>
          <w:p w14:paraId="4CFF68DF" w14:textId="409486EB" w:rsidR="008A0B11" w:rsidRPr="009631A0" w:rsidRDefault="008A0B11" w:rsidP="003C7B4B">
            <w:pPr>
              <w:cnfStyle w:val="000000000000" w:firstRow="0" w:lastRow="0" w:firstColumn="0" w:lastColumn="0" w:oddVBand="0" w:evenVBand="0" w:oddHBand="0" w:evenHBand="0" w:firstRowFirstColumn="0" w:firstRowLastColumn="0" w:lastRowFirstColumn="0" w:lastRowLastColumn="0"/>
            </w:pPr>
            <w:r w:rsidRPr="00994F7F">
              <w:t>We had a student last year who was taking all high level classes, and it was incredibly challenging to get things done for them correctly</w:t>
            </w:r>
            <w:r w:rsidR="00803635">
              <w:t>. W</w:t>
            </w:r>
            <w:r w:rsidRPr="00994F7F">
              <w:t>e just happened to get lucky and have someone on staff who was good at that, but otherwise their needs wouldn't have been met.</w:t>
            </w:r>
            <w:r>
              <w:t xml:space="preserve"> (OR)</w:t>
            </w:r>
          </w:p>
        </w:tc>
      </w:tr>
      <w:tr w:rsidR="00012B18" w:rsidRPr="00CD254C" w14:paraId="12027F84"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54D64C8E" w14:textId="77777777" w:rsidR="00012B18" w:rsidRDefault="00012B18" w:rsidP="00193DCE">
            <w:pPr>
              <w:rPr>
                <w:rFonts w:cstheme="minorHAnsi"/>
              </w:rPr>
            </w:pPr>
          </w:p>
        </w:tc>
        <w:tc>
          <w:tcPr>
            <w:tcW w:w="7020" w:type="dxa"/>
            <w:shd w:val="clear" w:color="auto" w:fill="D9E2F3"/>
          </w:tcPr>
          <w:p w14:paraId="3C43D9AC" w14:textId="2BF4EAF6" w:rsidR="00012B18" w:rsidRPr="00994F7F" w:rsidRDefault="00012B18" w:rsidP="003C7B4B">
            <w:pPr>
              <w:cnfStyle w:val="000000100000" w:firstRow="0" w:lastRow="0" w:firstColumn="0" w:lastColumn="0" w:oddVBand="0" w:evenVBand="0" w:oddHBand="1" w:evenHBand="0" w:firstRowFirstColumn="0" w:firstRowLastColumn="0" w:lastRowFirstColumn="0" w:lastRowLastColumn="0"/>
            </w:pPr>
            <w:r w:rsidRPr="00012B18">
              <w:t xml:space="preserve">Our state has a centralized state agency to help with production. We rarely use them because we find it </w:t>
            </w:r>
            <w:proofErr w:type="gramStart"/>
            <w:r w:rsidRPr="00012B18">
              <w:t>more effective and timely</w:t>
            </w:r>
            <w:proofErr w:type="gramEnd"/>
            <w:r w:rsidRPr="00012B18">
              <w:t xml:space="preserve"> to produce our own materials.</w:t>
            </w:r>
            <w:r>
              <w:t xml:space="preserve"> (UT)</w:t>
            </w:r>
          </w:p>
        </w:tc>
      </w:tr>
      <w:tr w:rsidR="008A0B11" w:rsidRPr="00CD254C" w14:paraId="5AD56304" w14:textId="77777777" w:rsidTr="004669B0">
        <w:tc>
          <w:tcPr>
            <w:cnfStyle w:val="001000000000" w:firstRow="0" w:lastRow="0" w:firstColumn="1" w:lastColumn="0" w:oddVBand="0" w:evenVBand="0" w:oddHBand="0" w:evenHBand="0" w:firstRowFirstColumn="0" w:firstRowLastColumn="0" w:lastRowFirstColumn="0" w:lastRowLastColumn="0"/>
            <w:tcW w:w="2335" w:type="dxa"/>
          </w:tcPr>
          <w:p w14:paraId="4358B2D8" w14:textId="77777777" w:rsidR="008A0B11" w:rsidRDefault="008A0B11" w:rsidP="00193DCE">
            <w:pPr>
              <w:rPr>
                <w:rFonts w:cstheme="minorHAnsi"/>
              </w:rPr>
            </w:pPr>
          </w:p>
        </w:tc>
        <w:tc>
          <w:tcPr>
            <w:tcW w:w="7020" w:type="dxa"/>
          </w:tcPr>
          <w:p w14:paraId="3CD1E1EF" w14:textId="1D08BDCB" w:rsidR="008A0B11" w:rsidRPr="009631A0" w:rsidRDefault="008A0B11" w:rsidP="003C7B4B">
            <w:pPr>
              <w:cnfStyle w:val="000000000000" w:firstRow="0" w:lastRow="0" w:firstColumn="0" w:lastColumn="0" w:oddVBand="0" w:evenVBand="0" w:oddHBand="0" w:evenHBand="0" w:firstRowFirstColumn="0" w:firstRowLastColumn="0" w:lastRowFirstColumn="0" w:lastRowLastColumn="0"/>
            </w:pPr>
            <w:r w:rsidRPr="00994F7F">
              <w:t>It's difficult to get teacher-made materials or supporting materials at the local level. We have helped schools get embossers and software so they can produce some materials locally.</w:t>
            </w:r>
            <w:r>
              <w:t xml:space="preserve"> (IA)</w:t>
            </w:r>
          </w:p>
        </w:tc>
      </w:tr>
      <w:tr w:rsidR="008A0B11" w:rsidRPr="00CD254C" w14:paraId="43D59143"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71F7A559" w14:textId="7FA52BCF" w:rsidR="008A0B11" w:rsidRDefault="008A0B11" w:rsidP="00193DCE">
            <w:pPr>
              <w:rPr>
                <w:rFonts w:cstheme="minorHAnsi"/>
              </w:rPr>
            </w:pPr>
            <w:r>
              <w:rPr>
                <w:rFonts w:cstheme="minorHAnsi"/>
              </w:rPr>
              <w:t>Streamlined production system (</w:t>
            </w:r>
            <w:r w:rsidR="00012B18">
              <w:rPr>
                <w:rFonts w:cstheme="minorHAnsi"/>
              </w:rPr>
              <w:t>9</w:t>
            </w:r>
            <w:r>
              <w:rPr>
                <w:rFonts w:cstheme="minorHAnsi"/>
              </w:rPr>
              <w:t>)</w:t>
            </w:r>
          </w:p>
        </w:tc>
        <w:tc>
          <w:tcPr>
            <w:tcW w:w="7020" w:type="dxa"/>
            <w:shd w:val="clear" w:color="auto" w:fill="D9E2F3"/>
          </w:tcPr>
          <w:p w14:paraId="448F2D9C" w14:textId="0062513C" w:rsidR="008A0B11" w:rsidRPr="009631A0" w:rsidRDefault="00012B18" w:rsidP="003C7B4B">
            <w:pPr>
              <w:cnfStyle w:val="000000100000" w:firstRow="0" w:lastRow="0" w:firstColumn="0" w:lastColumn="0" w:oddVBand="0" w:evenVBand="0" w:oddHBand="1" w:evenHBand="0" w:firstRowFirstColumn="0" w:firstRowLastColumn="0" w:lastRowFirstColumn="0" w:lastRowLastColumn="0"/>
            </w:pPr>
            <w:r w:rsidRPr="00012B18">
              <w:t>We have specific forms that we have teachers fill out</w:t>
            </w:r>
            <w:r w:rsidR="009E7575">
              <w:t xml:space="preserve">, with </w:t>
            </w:r>
            <w:r w:rsidRPr="00012B18">
              <w:t>all of this information about the books th</w:t>
            </w:r>
            <w:r w:rsidR="009E7575">
              <w:t>ey</w:t>
            </w:r>
            <w:r w:rsidRPr="00012B18">
              <w:t xml:space="preserve"> need with ISBN and the copyrights, and if </w:t>
            </w:r>
            <w:r w:rsidR="009E7575">
              <w:t xml:space="preserve">they </w:t>
            </w:r>
            <w:r w:rsidRPr="00012B18">
              <w:t xml:space="preserve">want very specific ones. So, we </w:t>
            </w:r>
            <w:proofErr w:type="gramStart"/>
            <w:r w:rsidRPr="00012B18">
              <w:t>lay</w:t>
            </w:r>
            <w:proofErr w:type="gramEnd"/>
            <w:r w:rsidRPr="00012B18">
              <w:t xml:space="preserve"> it all out.</w:t>
            </w:r>
            <w:r>
              <w:t xml:space="preserve"> (OH)</w:t>
            </w:r>
          </w:p>
        </w:tc>
      </w:tr>
      <w:tr w:rsidR="00012B18" w:rsidRPr="00CD254C" w14:paraId="55F5649C" w14:textId="77777777" w:rsidTr="004669B0">
        <w:tc>
          <w:tcPr>
            <w:cnfStyle w:val="001000000000" w:firstRow="0" w:lastRow="0" w:firstColumn="1" w:lastColumn="0" w:oddVBand="0" w:evenVBand="0" w:oddHBand="0" w:evenHBand="0" w:firstRowFirstColumn="0" w:firstRowLastColumn="0" w:lastRowFirstColumn="0" w:lastRowLastColumn="0"/>
            <w:tcW w:w="2335" w:type="dxa"/>
          </w:tcPr>
          <w:p w14:paraId="1CFE4AA9" w14:textId="77777777" w:rsidR="00012B18" w:rsidRDefault="00012B18" w:rsidP="00193DCE">
            <w:pPr>
              <w:rPr>
                <w:rFonts w:cstheme="minorHAnsi"/>
              </w:rPr>
            </w:pPr>
          </w:p>
        </w:tc>
        <w:tc>
          <w:tcPr>
            <w:tcW w:w="7020" w:type="dxa"/>
          </w:tcPr>
          <w:p w14:paraId="6282FB73" w14:textId="6161952F" w:rsidR="00012B18" w:rsidRDefault="00012B18" w:rsidP="003C7B4B">
            <w:pPr>
              <w:cnfStyle w:val="000000000000" w:firstRow="0" w:lastRow="0" w:firstColumn="0" w:lastColumn="0" w:oddVBand="0" w:evenVBand="0" w:oddHBand="0" w:evenHBand="0" w:firstRowFirstColumn="0" w:firstRowLastColumn="0" w:lastRowFirstColumn="0" w:lastRowLastColumn="0"/>
            </w:pPr>
            <w:r w:rsidRPr="00994F7F">
              <w:t>We came up with an awesome system that we made ourselves</w:t>
            </w:r>
            <w:r w:rsidR="005D5253">
              <w:t xml:space="preserve">. </w:t>
            </w:r>
            <w:r>
              <w:t>W</w:t>
            </w:r>
            <w:r w:rsidRPr="00994F7F">
              <w:t>e went</w:t>
            </w:r>
            <w:r w:rsidR="005D5253">
              <w:t xml:space="preserve"> for</w:t>
            </w:r>
            <w:r w:rsidRPr="00994F7F">
              <w:t xml:space="preserve"> two years with our delivery of materials at 66%. That makes me sick to say. But then</w:t>
            </w:r>
            <w:r>
              <w:t xml:space="preserve">… </w:t>
            </w:r>
            <w:r w:rsidRPr="00994F7F">
              <w:t>last year we had 90%. So, this workflow that we've put into process has now increased our flow for braille</w:t>
            </w:r>
            <w:r>
              <w:t>,</w:t>
            </w:r>
            <w:r w:rsidRPr="00994F7F">
              <w:t xml:space="preserve"> </w:t>
            </w:r>
            <w:r w:rsidR="005D5253">
              <w:t xml:space="preserve">which is </w:t>
            </w:r>
            <w:r w:rsidRPr="00994F7F">
              <w:t>usually the hardest thing.</w:t>
            </w:r>
            <w:r>
              <w:t xml:space="preserve"> (UT)</w:t>
            </w:r>
          </w:p>
        </w:tc>
      </w:tr>
      <w:tr w:rsidR="00012B18" w:rsidRPr="00CD254C" w14:paraId="7AC12BD9"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5A9F0F26" w14:textId="77777777" w:rsidR="00012B18" w:rsidRDefault="00012B18" w:rsidP="00193DCE">
            <w:pPr>
              <w:rPr>
                <w:rFonts w:cstheme="minorHAnsi"/>
              </w:rPr>
            </w:pPr>
          </w:p>
        </w:tc>
        <w:tc>
          <w:tcPr>
            <w:tcW w:w="7020" w:type="dxa"/>
            <w:shd w:val="clear" w:color="auto" w:fill="D9E2F3"/>
          </w:tcPr>
          <w:p w14:paraId="23151486" w14:textId="151A32C5" w:rsidR="00012B18" w:rsidRPr="009631A0" w:rsidRDefault="005D5253" w:rsidP="003C7B4B">
            <w:pPr>
              <w:cnfStyle w:val="000000100000" w:firstRow="0" w:lastRow="0" w:firstColumn="0" w:lastColumn="0" w:oddVBand="0" w:evenVBand="0" w:oddHBand="1" w:evenHBand="0" w:firstRowFirstColumn="0" w:firstRowLastColumn="0" w:lastRowFirstColumn="0" w:lastRowLastColumn="0"/>
            </w:pPr>
            <w:r>
              <w:t>W</w:t>
            </w:r>
            <w:r w:rsidR="00012B18">
              <w:t>e have a really good system in one of our public school units</w:t>
            </w:r>
            <w:r>
              <w:t>. T</w:t>
            </w:r>
            <w:r w:rsidR="00012B18">
              <w:t xml:space="preserve">hey have a really oiled system there where we've created the planning tool and they tweaked </w:t>
            </w:r>
            <w:r>
              <w:t>it</w:t>
            </w:r>
            <w:r w:rsidR="00012B18">
              <w:t xml:space="preserve"> to say, this student has braille, this student has large print, what do we need? What can we get in advance? (NC)</w:t>
            </w:r>
          </w:p>
        </w:tc>
      </w:tr>
      <w:tr w:rsidR="00012B18" w:rsidRPr="00CD254C" w14:paraId="567673A9" w14:textId="77777777" w:rsidTr="004669B0">
        <w:tc>
          <w:tcPr>
            <w:cnfStyle w:val="001000000000" w:firstRow="0" w:lastRow="0" w:firstColumn="1" w:lastColumn="0" w:oddVBand="0" w:evenVBand="0" w:oddHBand="0" w:evenHBand="0" w:firstRowFirstColumn="0" w:firstRowLastColumn="0" w:lastRowFirstColumn="0" w:lastRowLastColumn="0"/>
            <w:tcW w:w="2335" w:type="dxa"/>
          </w:tcPr>
          <w:p w14:paraId="65851E05" w14:textId="77777777" w:rsidR="00012B18" w:rsidRDefault="00012B18" w:rsidP="00193DCE">
            <w:pPr>
              <w:rPr>
                <w:rFonts w:cstheme="minorHAnsi"/>
              </w:rPr>
            </w:pPr>
          </w:p>
        </w:tc>
        <w:tc>
          <w:tcPr>
            <w:tcW w:w="7020" w:type="dxa"/>
          </w:tcPr>
          <w:p w14:paraId="3EDD9A55" w14:textId="6503BD69" w:rsidR="00012B18" w:rsidRPr="009631A0" w:rsidRDefault="00012B18" w:rsidP="00193DCE">
            <w:pPr>
              <w:cnfStyle w:val="000000000000" w:firstRow="0" w:lastRow="0" w:firstColumn="0" w:lastColumn="0" w:oddVBand="0" w:evenVBand="0" w:oddHBand="0" w:evenHBand="0" w:firstRowFirstColumn="0" w:firstRowLastColumn="0" w:lastRowFirstColumn="0" w:lastRowLastColumn="0"/>
            </w:pPr>
            <w:r>
              <w:t xml:space="preserve">Teachers </w:t>
            </w:r>
            <w:r w:rsidRPr="00994F7F">
              <w:t xml:space="preserve">drop their assignments into </w:t>
            </w:r>
            <w:r w:rsidR="005D5253" w:rsidRPr="00994F7F">
              <w:t>Google</w:t>
            </w:r>
            <w:r w:rsidRPr="00994F7F">
              <w:t xml:space="preserve"> Drive, and from there</w:t>
            </w:r>
            <w:r w:rsidR="005D5253">
              <w:t>,</w:t>
            </w:r>
            <w:r w:rsidRPr="00994F7F">
              <w:t xml:space="preserve"> they put the date that they're going to be </w:t>
            </w:r>
            <w:proofErr w:type="gramStart"/>
            <w:r w:rsidRPr="00994F7F">
              <w:t>doing it</w:t>
            </w:r>
            <w:proofErr w:type="gramEnd"/>
            <w:r w:rsidRPr="00994F7F">
              <w:t xml:space="preserve"> in the class</w:t>
            </w:r>
            <w:r w:rsidR="005D5253">
              <w:t>. With t</w:t>
            </w:r>
            <w:r w:rsidRPr="00994F7F">
              <w:t>hat</w:t>
            </w:r>
            <w:r w:rsidR="005D5253">
              <w:t xml:space="preserve"> i</w:t>
            </w:r>
            <w:r w:rsidRPr="00994F7F">
              <w:t>nformation, I can at least go in</w:t>
            </w:r>
            <w:r w:rsidR="005D5253">
              <w:t>to</w:t>
            </w:r>
            <w:r w:rsidRPr="00994F7F">
              <w:t xml:space="preserve"> the drive and </w:t>
            </w:r>
            <w:r w:rsidR="005D5253">
              <w:t xml:space="preserve">determine what’s </w:t>
            </w:r>
            <w:r w:rsidRPr="00994F7F">
              <w:t>due today</w:t>
            </w:r>
            <w:r w:rsidR="005D5253">
              <w:t xml:space="preserve"> or tomorrow. If we can’t make it </w:t>
            </w:r>
            <w:r w:rsidRPr="00994F7F">
              <w:t xml:space="preserve">tomorrow, we get as close as we can. </w:t>
            </w:r>
            <w:r>
              <w:t>(TX)</w:t>
            </w:r>
          </w:p>
        </w:tc>
      </w:tr>
      <w:tr w:rsidR="000C0D19" w:rsidRPr="00CD254C" w14:paraId="225036A4"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52319E37" w14:textId="7E8E9051" w:rsidR="000C0D19" w:rsidRDefault="000C0D19" w:rsidP="00193DCE">
            <w:pPr>
              <w:rPr>
                <w:rFonts w:cstheme="minorHAnsi"/>
              </w:rPr>
            </w:pPr>
            <w:bookmarkStart w:id="47" w:name="_Hlk215837545"/>
            <w:r>
              <w:rPr>
                <w:rFonts w:cstheme="minorHAnsi"/>
              </w:rPr>
              <w:t>Production of smaller portions of accessible formats (6)</w:t>
            </w:r>
          </w:p>
        </w:tc>
        <w:tc>
          <w:tcPr>
            <w:tcW w:w="7020" w:type="dxa"/>
            <w:shd w:val="clear" w:color="auto" w:fill="D9E2F3"/>
          </w:tcPr>
          <w:p w14:paraId="548F8E3A" w14:textId="4DBF2937" w:rsidR="000C0D19" w:rsidRPr="009631A0" w:rsidRDefault="007C52D6" w:rsidP="00193DCE">
            <w:pPr>
              <w:cnfStyle w:val="000000100000" w:firstRow="0" w:lastRow="0" w:firstColumn="0" w:lastColumn="0" w:oddVBand="0" w:evenVBand="0" w:oddHBand="1" w:evenHBand="0" w:firstRowFirstColumn="0" w:firstRowLastColumn="0" w:lastRowFirstColumn="0" w:lastRowLastColumn="0"/>
            </w:pPr>
            <w:r w:rsidRPr="007C52D6">
              <w:t>The other thing that's helpful is just being aware of the fact that wh</w:t>
            </w:r>
            <w:r w:rsidR="008706C5">
              <w:t>en</w:t>
            </w:r>
            <w:r w:rsidRPr="007C52D6">
              <w:t xml:space="preserve"> you start a textbook and you're going chapters one through 12 to produce that media, it might be really helpful if they could go through and produce chapter one for this textbook, then produce chapter one for this textbook. I know it's probably more of a challenge, but I have kids who have gotten their entire curriculum for math quarter one, a</w:t>
            </w:r>
            <w:r w:rsidR="008706C5">
              <w:t xml:space="preserve">long with </w:t>
            </w:r>
            <w:r w:rsidRPr="007C52D6">
              <w:t>kids who still don't have any of their accessible media because it hasn't been produced.</w:t>
            </w:r>
            <w:r>
              <w:t xml:space="preserve"> (OH)</w:t>
            </w:r>
          </w:p>
        </w:tc>
      </w:tr>
      <w:tr w:rsidR="000C0D19" w:rsidRPr="00CD254C" w14:paraId="49B18677" w14:textId="77777777" w:rsidTr="004669B0">
        <w:tc>
          <w:tcPr>
            <w:cnfStyle w:val="001000000000" w:firstRow="0" w:lastRow="0" w:firstColumn="1" w:lastColumn="0" w:oddVBand="0" w:evenVBand="0" w:oddHBand="0" w:evenHBand="0" w:firstRowFirstColumn="0" w:firstRowLastColumn="0" w:lastRowFirstColumn="0" w:lastRowLastColumn="0"/>
            <w:tcW w:w="2335" w:type="dxa"/>
          </w:tcPr>
          <w:p w14:paraId="2E7B5A7A" w14:textId="77777777" w:rsidR="000C0D19" w:rsidRDefault="000C0D19" w:rsidP="00193DCE">
            <w:pPr>
              <w:rPr>
                <w:rFonts w:cstheme="minorHAnsi"/>
              </w:rPr>
            </w:pPr>
          </w:p>
        </w:tc>
        <w:tc>
          <w:tcPr>
            <w:tcW w:w="7020" w:type="dxa"/>
          </w:tcPr>
          <w:p w14:paraId="4D4ACD44" w14:textId="7A16F989" w:rsidR="000C0D19" w:rsidRPr="009631A0" w:rsidRDefault="007C52D6" w:rsidP="00193DCE">
            <w:pPr>
              <w:cnfStyle w:val="000000000000" w:firstRow="0" w:lastRow="0" w:firstColumn="0" w:lastColumn="0" w:oddVBand="0" w:evenVBand="0" w:oddHBand="0" w:evenHBand="0" w:firstRowFirstColumn="0" w:firstRowLastColumn="0" w:lastRowFirstColumn="0" w:lastRowLastColumn="0"/>
            </w:pPr>
            <w:r w:rsidRPr="007C52D6">
              <w:t>Typically</w:t>
            </w:r>
            <w:r w:rsidR="00186ED9">
              <w:t>,</w:t>
            </w:r>
            <w:r w:rsidRPr="007C52D6">
              <w:t xml:space="preserve"> </w:t>
            </w:r>
            <w:r>
              <w:t>the in-house braille transcriber</w:t>
            </w:r>
            <w:r w:rsidRPr="007C52D6">
              <w:t xml:space="preserve"> does a lot of </w:t>
            </w:r>
            <w:proofErr w:type="gramStart"/>
            <w:r w:rsidRPr="007C52D6">
              <w:t>the stuff</w:t>
            </w:r>
            <w:proofErr w:type="gramEnd"/>
            <w:r w:rsidRPr="007C52D6">
              <w:t xml:space="preserve"> that isn't readily available anywhere else</w:t>
            </w:r>
            <w:r w:rsidR="00186ED9">
              <w:t xml:space="preserve">. So, </w:t>
            </w:r>
            <w:r w:rsidRPr="007C52D6">
              <w:t xml:space="preserve">give that to her and then she can produce things in chunks by deadlines on timelines. </w:t>
            </w:r>
            <w:r w:rsidR="00186ED9">
              <w:t>S</w:t>
            </w:r>
            <w:r w:rsidRPr="007C52D6">
              <w:t>he just produces it little by little throughout the year.</w:t>
            </w:r>
            <w:r>
              <w:t xml:space="preserve"> (OR)</w:t>
            </w:r>
          </w:p>
        </w:tc>
      </w:tr>
      <w:tr w:rsidR="007C52D6" w:rsidRPr="00CD254C" w14:paraId="1E242A12"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17E6AF76" w14:textId="77777777" w:rsidR="007C52D6" w:rsidRDefault="007C52D6" w:rsidP="00193DCE">
            <w:pPr>
              <w:rPr>
                <w:rFonts w:cstheme="minorHAnsi"/>
              </w:rPr>
            </w:pPr>
          </w:p>
        </w:tc>
        <w:tc>
          <w:tcPr>
            <w:tcW w:w="7020" w:type="dxa"/>
            <w:shd w:val="clear" w:color="auto" w:fill="D9E2F3"/>
          </w:tcPr>
          <w:p w14:paraId="07E60395" w14:textId="53BC694A" w:rsidR="007C52D6" w:rsidRDefault="007C52D6" w:rsidP="00193DCE">
            <w:pPr>
              <w:cnfStyle w:val="000000100000" w:firstRow="0" w:lastRow="0" w:firstColumn="0" w:lastColumn="0" w:oddVBand="0" w:evenVBand="0" w:oddHBand="1" w:evenHBand="0" w:firstRowFirstColumn="0" w:firstRowLastColumn="0" w:lastRowFirstColumn="0" w:lastRowLastColumn="0"/>
            </w:pPr>
            <w:r>
              <w:t>W</w:t>
            </w:r>
            <w:r w:rsidRPr="007C52D6">
              <w:t xml:space="preserve">e ask for a pacing guide. </w:t>
            </w:r>
            <w:proofErr w:type="gramStart"/>
            <w:r w:rsidR="004139DF">
              <w:t>Te</w:t>
            </w:r>
            <w:r w:rsidRPr="007C52D6">
              <w:t>achers many times</w:t>
            </w:r>
            <w:proofErr w:type="gramEnd"/>
            <w:r w:rsidRPr="007C52D6">
              <w:t xml:space="preserve"> go out of order in</w:t>
            </w:r>
            <w:r w:rsidR="004139DF">
              <w:t xml:space="preserve"> </w:t>
            </w:r>
            <w:r w:rsidRPr="007C52D6">
              <w:t>a textbook</w:t>
            </w:r>
            <w:r w:rsidR="004139DF">
              <w:t xml:space="preserve">, and </w:t>
            </w:r>
            <w:r w:rsidRPr="007C52D6">
              <w:t>if the TVI doesn't know</w:t>
            </w:r>
            <w:r>
              <w:t>,</w:t>
            </w:r>
            <w:r w:rsidRPr="007C52D6">
              <w:t xml:space="preserve"> he just g</w:t>
            </w:r>
            <w:r w:rsidR="004139DF">
              <w:t>ets</w:t>
            </w:r>
            <w:r w:rsidRPr="007C52D6">
              <w:t xml:space="preserve"> the book from the school and submits it</w:t>
            </w:r>
            <w:r w:rsidR="004139DF">
              <w:t>,</w:t>
            </w:r>
            <w:r w:rsidRPr="007C52D6">
              <w:t xml:space="preserve"> and there is no pacing guide. We'll start with the first page and keep going, but lo and behold, we hear in August that, </w:t>
            </w:r>
            <w:r>
              <w:t>“</w:t>
            </w:r>
            <w:r w:rsidRPr="007C52D6">
              <w:t>Hey, we're starting with chapter eight</w:t>
            </w:r>
            <w:r w:rsidR="004139DF">
              <w:t>,</w:t>
            </w:r>
            <w:r w:rsidRPr="007C52D6">
              <w:t xml:space="preserve"> and we won't hit chapter one until December.</w:t>
            </w:r>
            <w:r>
              <w:t>”</w:t>
            </w:r>
            <w:r w:rsidRPr="007C52D6">
              <w:t xml:space="preserve"> And so here we are working the whole summer, </w:t>
            </w:r>
            <w:r>
              <w:t xml:space="preserve">starting with chapter </w:t>
            </w:r>
            <w:r w:rsidRPr="007C52D6">
              <w:t>one, two, and three, and they need eight, seven or whateve</w:t>
            </w:r>
            <w:r w:rsidR="004139DF">
              <w:t>r. T</w:t>
            </w:r>
            <w:r w:rsidRPr="007C52D6">
              <w:t xml:space="preserve">hat pacing guide is very, very, very important, especially for braille. </w:t>
            </w:r>
            <w:proofErr w:type="gramStart"/>
            <w:r w:rsidR="004139DF">
              <w:t>O</w:t>
            </w:r>
            <w:r w:rsidRPr="007C52D6">
              <w:t>therwise</w:t>
            </w:r>
            <w:proofErr w:type="gramEnd"/>
            <w:r w:rsidRPr="007C52D6">
              <w:t xml:space="preserve"> we don't know how the teacher's going to use that textbook</w:t>
            </w:r>
            <w:r w:rsidR="004139DF">
              <w:t>,</w:t>
            </w:r>
            <w:r w:rsidRPr="007C52D6">
              <w:t xml:space="preserve"> and we won't have the full book ready if it's a big book.</w:t>
            </w:r>
            <w:r>
              <w:t xml:space="preserve"> (UT)</w:t>
            </w:r>
          </w:p>
        </w:tc>
      </w:tr>
      <w:bookmarkEnd w:id="47"/>
      <w:tr w:rsidR="005C3A86" w:rsidRPr="00CD254C" w14:paraId="2E5B020A" w14:textId="77777777" w:rsidTr="004669B0">
        <w:tc>
          <w:tcPr>
            <w:cnfStyle w:val="001000000000" w:firstRow="0" w:lastRow="0" w:firstColumn="1" w:lastColumn="0" w:oddVBand="0" w:evenVBand="0" w:oddHBand="0" w:evenHBand="0" w:firstRowFirstColumn="0" w:firstRowLastColumn="0" w:lastRowFirstColumn="0" w:lastRowLastColumn="0"/>
            <w:tcW w:w="2335" w:type="dxa"/>
          </w:tcPr>
          <w:p w14:paraId="659A9D39" w14:textId="3E4377D3" w:rsidR="005C3A86" w:rsidRDefault="005C3A86" w:rsidP="00193DCE">
            <w:pPr>
              <w:rPr>
                <w:rFonts w:cstheme="minorHAnsi"/>
              </w:rPr>
            </w:pPr>
            <w:r>
              <w:rPr>
                <w:rFonts w:cstheme="minorHAnsi"/>
              </w:rPr>
              <w:t>Accessible formats available at a central location (5)</w:t>
            </w:r>
          </w:p>
        </w:tc>
        <w:tc>
          <w:tcPr>
            <w:tcW w:w="7020" w:type="dxa"/>
          </w:tcPr>
          <w:p w14:paraId="778E6F91" w14:textId="20A86694" w:rsidR="005C3A86" w:rsidRPr="009631A0" w:rsidRDefault="00F1142A" w:rsidP="00193DCE">
            <w:pPr>
              <w:cnfStyle w:val="000000000000" w:firstRow="0" w:lastRow="0" w:firstColumn="0" w:lastColumn="0" w:oddVBand="0" w:evenVBand="0" w:oddHBand="0" w:evenHBand="0" w:firstRowFirstColumn="0" w:firstRowLastColumn="0" w:lastRowFirstColumn="0" w:lastRowLastColumn="0"/>
            </w:pPr>
            <w:r>
              <w:t>W</w:t>
            </w:r>
            <w:r w:rsidR="005C3A86" w:rsidRPr="005C3A86">
              <w:t>e have a couple of lending libraries</w:t>
            </w:r>
            <w:r>
              <w:t xml:space="preserve">, and one </w:t>
            </w:r>
            <w:r w:rsidR="005C3A86" w:rsidRPr="005C3A86">
              <w:t>is specific to our school</w:t>
            </w:r>
            <w:r>
              <w:t>-</w:t>
            </w:r>
            <w:r w:rsidR="005C3A86" w:rsidRPr="005C3A86">
              <w:t>age population</w:t>
            </w:r>
            <w:r>
              <w:t>. It is</w:t>
            </w:r>
            <w:r w:rsidR="005C3A86" w:rsidRPr="005C3A86">
              <w:t xml:space="preserve"> funded through the state, and anybody can get an account there</w:t>
            </w:r>
            <w:r>
              <w:t>,</w:t>
            </w:r>
            <w:r w:rsidR="005C3A86" w:rsidRPr="005C3A86">
              <w:t xml:space="preserve"> and you can borrow things, and it varies in terms of how long you can keep things, but there are just a whole bunch of different materials that are large printed</w:t>
            </w:r>
            <w:r>
              <w:t xml:space="preserve">, </w:t>
            </w:r>
            <w:r w:rsidR="005C3A86" w:rsidRPr="005C3A86">
              <w:t xml:space="preserve">braille materials, </w:t>
            </w:r>
            <w:r>
              <w:t xml:space="preserve">lots </w:t>
            </w:r>
            <w:r w:rsidR="005C3A86" w:rsidRPr="005C3A86">
              <w:t xml:space="preserve">of technology that districts can try, </w:t>
            </w:r>
            <w:r>
              <w:t xml:space="preserve">and </w:t>
            </w:r>
            <w:r w:rsidR="005C3A86" w:rsidRPr="005C3A86">
              <w:t xml:space="preserve">families can try. </w:t>
            </w:r>
            <w:r>
              <w:t>W</w:t>
            </w:r>
            <w:r w:rsidR="005C3A86" w:rsidRPr="005C3A86">
              <w:t>e also have other lending libraries throughout the state</w:t>
            </w:r>
            <w:r>
              <w:t xml:space="preserve"> where you </w:t>
            </w:r>
            <w:r w:rsidR="005C3A86" w:rsidRPr="005C3A86">
              <w:t>can do more regional borrowing</w:t>
            </w:r>
            <w:r>
              <w:t xml:space="preserve">; </w:t>
            </w:r>
            <w:r w:rsidR="005C3A86" w:rsidRPr="005C3A86">
              <w:t>those are run through one of our universities.</w:t>
            </w:r>
            <w:r w:rsidR="005C3A86">
              <w:t xml:space="preserve"> (OH)</w:t>
            </w:r>
          </w:p>
        </w:tc>
      </w:tr>
      <w:tr w:rsidR="005C3A86" w:rsidRPr="00CD254C" w14:paraId="12781C37"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691EC6E9" w14:textId="77777777" w:rsidR="005C3A86" w:rsidRDefault="005C3A86" w:rsidP="00193DCE">
            <w:pPr>
              <w:rPr>
                <w:rFonts w:cstheme="minorHAnsi"/>
              </w:rPr>
            </w:pPr>
          </w:p>
        </w:tc>
        <w:tc>
          <w:tcPr>
            <w:tcW w:w="7020" w:type="dxa"/>
            <w:shd w:val="clear" w:color="auto" w:fill="D9E2F3"/>
          </w:tcPr>
          <w:p w14:paraId="5CC1D0E7" w14:textId="6798F36E" w:rsidR="005C3A86" w:rsidRPr="005C3A86" w:rsidRDefault="005C3A86" w:rsidP="00193DCE">
            <w:pPr>
              <w:cnfStyle w:val="000000100000" w:firstRow="0" w:lastRow="0" w:firstColumn="0" w:lastColumn="0" w:oddVBand="0" w:evenVBand="0" w:oddHBand="1" w:evenHBand="0" w:firstRowFirstColumn="0" w:firstRowLastColumn="0" w:lastRowFirstColumn="0" w:lastRowLastColumn="0"/>
            </w:pPr>
            <w:r>
              <w:t>I</w:t>
            </w:r>
            <w:r w:rsidRPr="00012B18">
              <w:t xml:space="preserve">f a LEA or charter </w:t>
            </w:r>
            <w:r>
              <w:t xml:space="preserve">school </w:t>
            </w:r>
            <w:r w:rsidRPr="00012B18">
              <w:t xml:space="preserve">orders from the book depository, then the book depository tracks what materials are being used, what types </w:t>
            </w:r>
            <w:r>
              <w:t>of</w:t>
            </w:r>
            <w:r w:rsidR="009E744F">
              <w:t xml:space="preserve"> </w:t>
            </w:r>
            <w:r w:rsidRPr="00012B18">
              <w:t>schools are needing</w:t>
            </w:r>
            <w:r>
              <w:t xml:space="preserve"> certain materials</w:t>
            </w:r>
            <w:r w:rsidRPr="00012B18">
              <w:t>, and they help a curriculum director know what those materials are</w:t>
            </w:r>
            <w:r w:rsidR="009E744F">
              <w:t xml:space="preserve"> </w:t>
            </w:r>
            <w:r>
              <w:t xml:space="preserve">and </w:t>
            </w:r>
            <w:r w:rsidRPr="00012B18">
              <w:t xml:space="preserve">what they've ordered in the past. They help them with shipping and getting materials </w:t>
            </w:r>
            <w:r w:rsidR="009E744F">
              <w:t>on</w:t>
            </w:r>
            <w:r w:rsidRPr="00012B18">
              <w:t xml:space="preserve"> a timely basis. </w:t>
            </w:r>
            <w:r w:rsidR="009E744F">
              <w:t>S</w:t>
            </w:r>
            <w:r w:rsidRPr="00012B18">
              <w:t>o</w:t>
            </w:r>
            <w:r w:rsidR="009E744F">
              <w:t>,</w:t>
            </w:r>
            <w:r w:rsidRPr="00012B18">
              <w:t xml:space="preserve"> having that book depository</w:t>
            </w:r>
            <w:r>
              <w:t xml:space="preserve"> </w:t>
            </w:r>
            <w:r w:rsidRPr="00012B18">
              <w:t xml:space="preserve">is a key piece in the timing of those materials. Utah only has one book depository, but in the contract with publishers, we make sure that they are listed or have materials with a book depository. </w:t>
            </w:r>
            <w:r w:rsidR="009E744F">
              <w:t>T</w:t>
            </w:r>
            <w:r w:rsidRPr="00012B18">
              <w:t xml:space="preserve">he book depository keeps a certain </w:t>
            </w:r>
            <w:proofErr w:type="gramStart"/>
            <w:r w:rsidRPr="00012B18">
              <w:t>amount</w:t>
            </w:r>
            <w:proofErr w:type="gramEnd"/>
            <w:r w:rsidRPr="00012B18">
              <w:t xml:space="preserve"> of materials </w:t>
            </w:r>
            <w:proofErr w:type="gramStart"/>
            <w:r w:rsidRPr="00012B18">
              <w:t>on</w:t>
            </w:r>
            <w:proofErr w:type="gramEnd"/>
            <w:r w:rsidRPr="00012B18">
              <w:t xml:space="preserve"> hand for that very reason. I think the book depository is a key piece in purchasing and supplying materials.</w:t>
            </w:r>
            <w:r>
              <w:t xml:space="preserve"> (UT)</w:t>
            </w:r>
          </w:p>
        </w:tc>
      </w:tr>
      <w:tr w:rsidR="005C3A86" w:rsidRPr="00CD254C" w14:paraId="0D4A9676" w14:textId="77777777" w:rsidTr="004669B0">
        <w:tc>
          <w:tcPr>
            <w:cnfStyle w:val="001000000000" w:firstRow="0" w:lastRow="0" w:firstColumn="1" w:lastColumn="0" w:oddVBand="0" w:evenVBand="0" w:oddHBand="0" w:evenHBand="0" w:firstRowFirstColumn="0" w:firstRowLastColumn="0" w:lastRowFirstColumn="0" w:lastRowLastColumn="0"/>
            <w:tcW w:w="2335" w:type="dxa"/>
          </w:tcPr>
          <w:p w14:paraId="426C32D9" w14:textId="77777777" w:rsidR="005C3A86" w:rsidRDefault="005C3A86" w:rsidP="00193DCE">
            <w:pPr>
              <w:rPr>
                <w:rFonts w:cstheme="minorHAnsi"/>
              </w:rPr>
            </w:pPr>
          </w:p>
        </w:tc>
        <w:tc>
          <w:tcPr>
            <w:tcW w:w="7020" w:type="dxa"/>
          </w:tcPr>
          <w:p w14:paraId="4BE78E4A" w14:textId="23AF7B2C" w:rsidR="005C3A86" w:rsidRPr="009631A0" w:rsidRDefault="005C3A86" w:rsidP="00193DCE">
            <w:pPr>
              <w:cnfStyle w:val="000000000000" w:firstRow="0" w:lastRow="0" w:firstColumn="0" w:lastColumn="0" w:oddVBand="0" w:evenVBand="0" w:oddHBand="0" w:evenHBand="0" w:firstRowFirstColumn="0" w:firstRowLastColumn="0" w:lastRowFirstColumn="0" w:lastRowLastColumn="0"/>
            </w:pPr>
            <w:r>
              <w:t>O</w:t>
            </w:r>
            <w:r w:rsidRPr="007C52D6">
              <w:t xml:space="preserve">nce </w:t>
            </w:r>
            <w:proofErr w:type="gramStart"/>
            <w:r w:rsidRPr="007C52D6">
              <w:t>an</w:t>
            </w:r>
            <w:r>
              <w:t xml:space="preserve"> </w:t>
            </w:r>
            <w:r w:rsidRPr="007C52D6">
              <w:t>accessible</w:t>
            </w:r>
            <w:proofErr w:type="gramEnd"/>
            <w:r w:rsidRPr="007C52D6">
              <w:t xml:space="preserve"> instructional material has been created, </w:t>
            </w:r>
            <w:r>
              <w:t xml:space="preserve">another </w:t>
            </w:r>
            <w:r w:rsidRPr="007C52D6">
              <w:t xml:space="preserve">thing that's super useful to the whole cycle is to have included in the system some kind of library so if the material </w:t>
            </w:r>
            <w:r w:rsidR="00683F7D">
              <w:t>is</w:t>
            </w:r>
            <w:r w:rsidRPr="007C52D6">
              <w:t xml:space="preserve"> used again,</w:t>
            </w:r>
            <w:r w:rsidR="00683F7D">
              <w:t xml:space="preserve"> </w:t>
            </w:r>
            <w:r w:rsidRPr="007C52D6">
              <w:t xml:space="preserve">it is easy to find, access, </w:t>
            </w:r>
            <w:r w:rsidR="00683F7D">
              <w:t xml:space="preserve">and </w:t>
            </w:r>
            <w:r w:rsidRPr="007C52D6">
              <w:t>share with the next student or next educator so that it doesn't have to be reproduced every single time</w:t>
            </w:r>
            <w:r>
              <w:t>. (UT)</w:t>
            </w:r>
          </w:p>
        </w:tc>
      </w:tr>
      <w:tr w:rsidR="005C3A86" w:rsidRPr="00CD254C" w14:paraId="56A338D7"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3CF72FCC" w14:textId="3D58B1FE" w:rsidR="005C3A86" w:rsidRDefault="005C3A86" w:rsidP="00193DCE">
            <w:pPr>
              <w:rPr>
                <w:rFonts w:cstheme="minorHAnsi"/>
              </w:rPr>
            </w:pPr>
            <w:r>
              <w:rPr>
                <w:rFonts w:cstheme="minorHAnsi"/>
              </w:rPr>
              <w:t>Use of Louis Database of Accessible Materials (2)</w:t>
            </w:r>
          </w:p>
        </w:tc>
        <w:tc>
          <w:tcPr>
            <w:tcW w:w="7020" w:type="dxa"/>
            <w:shd w:val="clear" w:color="auto" w:fill="D9E2F3"/>
          </w:tcPr>
          <w:p w14:paraId="71F171AF" w14:textId="14D3AFFF" w:rsidR="005C3A86" w:rsidRPr="009631A0" w:rsidRDefault="006E3B1D" w:rsidP="00193DCE">
            <w:pPr>
              <w:cnfStyle w:val="000000100000" w:firstRow="0" w:lastRow="0" w:firstColumn="0" w:lastColumn="0" w:oddVBand="0" w:evenVBand="0" w:oddHBand="1" w:evenHBand="0" w:firstRowFirstColumn="0" w:firstRowLastColumn="0" w:lastRowFirstColumn="0" w:lastRowLastColumn="0"/>
            </w:pPr>
            <w:r>
              <w:t>W</w:t>
            </w:r>
            <w:r w:rsidR="005C3A86" w:rsidRPr="005C3A86">
              <w:t xml:space="preserve">hen I am accessing these files, the first place I look is </w:t>
            </w:r>
            <w:r w:rsidR="005C3A86">
              <w:t xml:space="preserve">the </w:t>
            </w:r>
            <w:r w:rsidR="005C3A86" w:rsidRPr="005C3A86">
              <w:t>Loui</w:t>
            </w:r>
            <w:r w:rsidR="005C3A86">
              <w:t>s Database</w:t>
            </w:r>
            <w:r w:rsidR="005C3A86" w:rsidRPr="005C3A86">
              <w:t xml:space="preserve">, which is on </w:t>
            </w:r>
            <w:r w:rsidR="005C3A86">
              <w:t>A</w:t>
            </w:r>
            <w:r w:rsidR="005C3A86" w:rsidRPr="005C3A86">
              <w:t xml:space="preserve">PH. And so, I don't directly search on the </w:t>
            </w:r>
            <w:r w:rsidR="005C3A86">
              <w:t>NIMAC</w:t>
            </w:r>
            <w:r w:rsidR="005C3A86" w:rsidRPr="005C3A86">
              <w:t xml:space="preserve"> website unless </w:t>
            </w:r>
            <w:r w:rsidR="005C3A86">
              <w:t>the Louis Database</w:t>
            </w:r>
            <w:r w:rsidR="005C3A86" w:rsidRPr="005C3A86">
              <w:t xml:space="preserve"> says something exists </w:t>
            </w:r>
            <w:r w:rsidR="005C3A86">
              <w:t>in the NIMAC system</w:t>
            </w:r>
            <w:r w:rsidR="005C3A86" w:rsidRPr="005C3A86">
              <w:t>.</w:t>
            </w:r>
            <w:r w:rsidR="005C3A86">
              <w:t xml:space="preserve"> (OR)</w:t>
            </w:r>
          </w:p>
        </w:tc>
      </w:tr>
      <w:tr w:rsidR="005C3A86" w:rsidRPr="00CD254C" w14:paraId="0917B9E1" w14:textId="77777777" w:rsidTr="004669B0">
        <w:tc>
          <w:tcPr>
            <w:cnfStyle w:val="001000000000" w:firstRow="0" w:lastRow="0" w:firstColumn="1" w:lastColumn="0" w:oddVBand="0" w:evenVBand="0" w:oddHBand="0" w:evenHBand="0" w:firstRowFirstColumn="0" w:firstRowLastColumn="0" w:lastRowFirstColumn="0" w:lastRowLastColumn="0"/>
            <w:tcW w:w="2335" w:type="dxa"/>
          </w:tcPr>
          <w:p w14:paraId="498239AA" w14:textId="77777777" w:rsidR="005C3A86" w:rsidRDefault="005C3A86" w:rsidP="00193DCE">
            <w:pPr>
              <w:rPr>
                <w:rFonts w:cstheme="minorHAnsi"/>
              </w:rPr>
            </w:pPr>
          </w:p>
        </w:tc>
        <w:tc>
          <w:tcPr>
            <w:tcW w:w="7020" w:type="dxa"/>
          </w:tcPr>
          <w:p w14:paraId="23EAFDCF" w14:textId="5AA01CAB" w:rsidR="005C3A86" w:rsidRPr="009631A0" w:rsidRDefault="006E3B1D" w:rsidP="00193DCE">
            <w:pPr>
              <w:cnfStyle w:val="000000000000" w:firstRow="0" w:lastRow="0" w:firstColumn="0" w:lastColumn="0" w:oddVBand="0" w:evenVBand="0" w:oddHBand="0" w:evenHBand="0" w:firstRowFirstColumn="0" w:firstRowLastColumn="0" w:lastRowFirstColumn="0" w:lastRowLastColumn="0"/>
            </w:pPr>
            <w:r>
              <w:t>W</w:t>
            </w:r>
            <w:r w:rsidR="005C3A86" w:rsidRPr="005C3A86">
              <w:t xml:space="preserve">e always research on the </w:t>
            </w:r>
            <w:r w:rsidR="005C3A86">
              <w:t xml:space="preserve">Louis </w:t>
            </w:r>
            <w:r w:rsidR="002B4899">
              <w:t>Database</w:t>
            </w:r>
            <w:r w:rsidR="005C3A86">
              <w:t xml:space="preserve"> </w:t>
            </w:r>
            <w:r w:rsidR="005C3A86" w:rsidRPr="005C3A86">
              <w:t xml:space="preserve">to see if we can find </w:t>
            </w:r>
            <w:r w:rsidR="005C3A86">
              <w:t>an accessible format</w:t>
            </w:r>
            <w:r w:rsidR="005C3A86" w:rsidRPr="005C3A86">
              <w:t xml:space="preserve"> available. </w:t>
            </w:r>
            <w:r w:rsidR="005C3A86">
              <w:t>If s</w:t>
            </w:r>
            <w:r w:rsidR="005C3A86" w:rsidRPr="005C3A86">
              <w:t xml:space="preserve">omebody's already </w:t>
            </w:r>
            <w:r w:rsidR="005C3A86">
              <w:t>produced</w:t>
            </w:r>
            <w:r w:rsidR="005C3A86" w:rsidRPr="005C3A86">
              <w:t xml:space="preserve"> it,</w:t>
            </w:r>
            <w:r>
              <w:t xml:space="preserve"> </w:t>
            </w:r>
            <w:r w:rsidR="005C3A86" w:rsidRPr="005C3A86">
              <w:t>then it's a quicker turnaround time.</w:t>
            </w:r>
            <w:r w:rsidR="005C3A86">
              <w:t xml:space="preserve"> (IA)</w:t>
            </w:r>
          </w:p>
        </w:tc>
      </w:tr>
    </w:tbl>
    <w:p w14:paraId="56861D2D" w14:textId="77777777" w:rsidR="00A438DD" w:rsidRDefault="00A438DD" w:rsidP="009A1CF7">
      <w:pPr>
        <w:spacing w:after="0" w:line="276" w:lineRule="auto"/>
        <w:rPr>
          <w:rFonts w:ascii="Calibri" w:hAnsi="Calibri" w:cs="Calibri"/>
          <w:bCs/>
          <w:sz w:val="24"/>
          <w:szCs w:val="24"/>
        </w:rPr>
      </w:pPr>
    </w:p>
    <w:p w14:paraId="33A64274" w14:textId="77777777" w:rsidR="00511597" w:rsidRDefault="00511597" w:rsidP="009A1CF7">
      <w:pPr>
        <w:spacing w:after="0" w:line="276" w:lineRule="auto"/>
        <w:rPr>
          <w:rFonts w:ascii="Calibri" w:hAnsi="Calibri" w:cs="Calibri"/>
          <w:bCs/>
          <w:sz w:val="24"/>
          <w:szCs w:val="24"/>
        </w:rPr>
      </w:pPr>
    </w:p>
    <w:p w14:paraId="1F73013C" w14:textId="699A7011" w:rsidR="00A82BD7" w:rsidRPr="00A82BD7" w:rsidRDefault="00B55C67" w:rsidP="009A1CF7">
      <w:pPr>
        <w:spacing w:after="0" w:line="276" w:lineRule="auto"/>
        <w:rPr>
          <w:rFonts w:ascii="Calibri" w:hAnsi="Calibri" w:cs="Calibri"/>
          <w:bCs/>
          <w:sz w:val="24"/>
          <w:szCs w:val="24"/>
        </w:rPr>
      </w:pPr>
      <w:r>
        <w:rPr>
          <w:rFonts w:ascii="ZWAdobeF" w:hAnsi="ZWAdobeF" w:cs="ZWAdobeF"/>
          <w:bCs/>
          <w:sz w:val="2"/>
          <w:szCs w:val="2"/>
        </w:rPr>
        <w:t>153B</w:t>
      </w:r>
      <w:r w:rsidR="00E51C75">
        <w:rPr>
          <w:rFonts w:ascii="Calibri" w:hAnsi="Calibri" w:cs="Calibri"/>
          <w:bCs/>
          <w:sz w:val="24"/>
          <w:szCs w:val="24"/>
        </w:rPr>
        <w:t>Survey respondents were also asked to identify</w:t>
      </w:r>
      <w:r w:rsidR="00554CAF">
        <w:rPr>
          <w:rFonts w:ascii="Calibri" w:hAnsi="Calibri" w:cs="Calibri"/>
          <w:bCs/>
          <w:sz w:val="24"/>
          <w:szCs w:val="24"/>
        </w:rPr>
        <w:t xml:space="preserve"> </w:t>
      </w:r>
      <w:r w:rsidR="009A1CF7">
        <w:rPr>
          <w:rFonts w:ascii="Calibri" w:hAnsi="Calibri" w:cs="Calibri"/>
          <w:bCs/>
          <w:sz w:val="24"/>
          <w:szCs w:val="24"/>
        </w:rPr>
        <w:t>state, regional, district, and school-level practices that facilitate timely delivery of accessible formats</w:t>
      </w:r>
      <w:r w:rsidR="002D1DC5">
        <w:rPr>
          <w:rFonts w:ascii="Calibri" w:hAnsi="Calibri" w:cs="Calibri"/>
          <w:bCs/>
          <w:sz w:val="24"/>
          <w:szCs w:val="24"/>
        </w:rPr>
        <w:t xml:space="preserve">. </w:t>
      </w:r>
      <w:r w:rsidR="008B7239">
        <w:rPr>
          <w:rFonts w:ascii="Calibri" w:hAnsi="Calibri" w:cs="Calibri"/>
          <w:bCs/>
          <w:sz w:val="24"/>
          <w:szCs w:val="24"/>
        </w:rPr>
        <w:t xml:space="preserve">They </w:t>
      </w:r>
      <w:r w:rsidR="002D1DC5">
        <w:rPr>
          <w:rFonts w:ascii="Calibri" w:hAnsi="Calibri" w:cs="Calibri"/>
          <w:bCs/>
          <w:sz w:val="24"/>
          <w:szCs w:val="24"/>
        </w:rPr>
        <w:t xml:space="preserve">were able to select from a </w:t>
      </w:r>
      <w:r w:rsidR="002D1DC5">
        <w:rPr>
          <w:rFonts w:ascii="Calibri" w:hAnsi="Calibri" w:cs="Calibri"/>
          <w:bCs/>
          <w:sz w:val="24"/>
          <w:szCs w:val="24"/>
        </w:rPr>
        <w:lastRenderedPageBreak/>
        <w:t xml:space="preserve">list of multiple practices, </w:t>
      </w:r>
      <w:r w:rsidR="00DA7410">
        <w:rPr>
          <w:rFonts w:ascii="Calibri" w:hAnsi="Calibri" w:cs="Calibri"/>
          <w:bCs/>
          <w:sz w:val="24"/>
          <w:szCs w:val="24"/>
        </w:rPr>
        <w:t xml:space="preserve">all of which are included in Figure </w:t>
      </w:r>
      <w:r w:rsidR="003A759C">
        <w:rPr>
          <w:rFonts w:ascii="Calibri" w:hAnsi="Calibri" w:cs="Calibri"/>
          <w:bCs/>
          <w:sz w:val="24"/>
          <w:szCs w:val="24"/>
        </w:rPr>
        <w:t>1</w:t>
      </w:r>
      <w:r w:rsidR="00EE4A78">
        <w:rPr>
          <w:rFonts w:ascii="Calibri" w:hAnsi="Calibri" w:cs="Calibri"/>
          <w:bCs/>
          <w:sz w:val="24"/>
          <w:szCs w:val="24"/>
        </w:rPr>
        <w:t>8</w:t>
      </w:r>
      <w:r w:rsidR="00DA7410">
        <w:rPr>
          <w:rFonts w:ascii="Calibri" w:hAnsi="Calibri" w:cs="Calibri"/>
          <w:bCs/>
          <w:sz w:val="24"/>
          <w:szCs w:val="24"/>
        </w:rPr>
        <w:t>.</w:t>
      </w:r>
      <w:r>
        <w:rPr>
          <w:rFonts w:ascii="ZWAdobeF" w:hAnsi="ZWAdobeF" w:cs="ZWAdobeF"/>
          <w:bCs/>
          <w:sz w:val="2"/>
          <w:szCs w:val="2"/>
        </w:rPr>
        <w:t>43F</w:t>
      </w:r>
      <w:r w:rsidR="00BB4D0B">
        <w:rPr>
          <w:rStyle w:val="FootnoteReference"/>
          <w:rFonts w:ascii="Calibri" w:hAnsi="Calibri" w:cs="Calibri"/>
          <w:bCs/>
          <w:sz w:val="24"/>
          <w:szCs w:val="24"/>
        </w:rPr>
        <w:footnoteReference w:id="45"/>
      </w:r>
      <w:r w:rsidR="00DA7410">
        <w:rPr>
          <w:rFonts w:ascii="Calibri" w:hAnsi="Calibri" w:cs="Calibri"/>
          <w:bCs/>
          <w:sz w:val="24"/>
          <w:szCs w:val="24"/>
        </w:rPr>
        <w:t xml:space="preserve"> </w:t>
      </w:r>
      <w:r w:rsidR="00762169">
        <w:rPr>
          <w:rFonts w:ascii="Calibri" w:hAnsi="Calibri" w:cs="Calibri"/>
          <w:bCs/>
          <w:sz w:val="24"/>
          <w:szCs w:val="24"/>
        </w:rPr>
        <w:t>Over three-quarters (</w:t>
      </w:r>
      <w:r w:rsidR="00E73859" w:rsidRPr="00375AE9">
        <w:rPr>
          <w:rFonts w:ascii="Calibri" w:hAnsi="Calibri" w:cs="Calibri"/>
          <w:bCs/>
          <w:sz w:val="24"/>
          <w:szCs w:val="24"/>
        </w:rPr>
        <w:t>76%</w:t>
      </w:r>
      <w:r w:rsidR="00762169">
        <w:rPr>
          <w:rFonts w:ascii="Calibri" w:hAnsi="Calibri" w:cs="Calibri"/>
          <w:bCs/>
          <w:sz w:val="24"/>
          <w:szCs w:val="24"/>
        </w:rPr>
        <w:t>)</w:t>
      </w:r>
      <w:r w:rsidR="00E73859" w:rsidRPr="00375AE9">
        <w:rPr>
          <w:rFonts w:ascii="Calibri" w:hAnsi="Calibri" w:cs="Calibri"/>
          <w:bCs/>
          <w:sz w:val="24"/>
          <w:szCs w:val="24"/>
        </w:rPr>
        <w:t xml:space="preserve"> of respondents</w:t>
      </w:r>
      <w:r w:rsidR="00762169">
        <w:rPr>
          <w:rFonts w:ascii="Calibri" w:hAnsi="Calibri" w:cs="Calibri"/>
          <w:bCs/>
          <w:sz w:val="24"/>
          <w:szCs w:val="24"/>
        </w:rPr>
        <w:t xml:space="preserve"> (n=151) indicated timely delivery was facilitated when</w:t>
      </w:r>
      <w:r w:rsidR="00E73859" w:rsidRPr="00375AE9">
        <w:rPr>
          <w:rFonts w:ascii="Calibri" w:hAnsi="Calibri" w:cs="Calibri"/>
          <w:bCs/>
          <w:sz w:val="24"/>
          <w:szCs w:val="24"/>
        </w:rPr>
        <w:t xml:space="preserve"> “</w:t>
      </w:r>
      <w:r w:rsidR="00375AE9" w:rsidRPr="00375AE9">
        <w:rPr>
          <w:rFonts w:ascii="Calibri" w:hAnsi="Calibri" w:cs="Calibri"/>
          <w:bCs/>
          <w:sz w:val="24"/>
          <w:szCs w:val="24"/>
        </w:rPr>
        <w:t>Requests for first-time production of accessible formats are made well in advance before they are needed by students.”</w:t>
      </w:r>
      <w:r w:rsidR="00375AE9">
        <w:rPr>
          <w:rFonts w:ascii="Calibri" w:hAnsi="Calibri" w:cs="Calibri"/>
          <w:bCs/>
          <w:sz w:val="24"/>
          <w:szCs w:val="24"/>
        </w:rPr>
        <w:t xml:space="preserve"> Approximately </w:t>
      </w:r>
      <w:r w:rsidR="00762169">
        <w:rPr>
          <w:rFonts w:ascii="Calibri" w:hAnsi="Calibri" w:cs="Calibri"/>
          <w:bCs/>
          <w:sz w:val="24"/>
          <w:szCs w:val="24"/>
        </w:rPr>
        <w:t xml:space="preserve">two-thirds </w:t>
      </w:r>
      <w:r w:rsidR="00375AE9">
        <w:rPr>
          <w:rFonts w:ascii="Calibri" w:hAnsi="Calibri" w:cs="Calibri"/>
          <w:bCs/>
          <w:sz w:val="24"/>
          <w:szCs w:val="24"/>
        </w:rPr>
        <w:t xml:space="preserve">of </w:t>
      </w:r>
      <w:r w:rsidR="00A82BD7">
        <w:rPr>
          <w:rFonts w:ascii="Calibri" w:hAnsi="Calibri" w:cs="Calibri"/>
          <w:bCs/>
          <w:sz w:val="24"/>
          <w:szCs w:val="24"/>
        </w:rPr>
        <w:t>respondents</w:t>
      </w:r>
      <w:r w:rsidR="00375AE9">
        <w:rPr>
          <w:rFonts w:ascii="Calibri" w:hAnsi="Calibri" w:cs="Calibri"/>
          <w:bCs/>
          <w:sz w:val="24"/>
          <w:szCs w:val="24"/>
        </w:rPr>
        <w:t xml:space="preserve"> </w:t>
      </w:r>
      <w:r w:rsidR="00A82BD7">
        <w:rPr>
          <w:rFonts w:ascii="Calibri" w:hAnsi="Calibri" w:cs="Calibri"/>
          <w:bCs/>
          <w:sz w:val="24"/>
          <w:szCs w:val="24"/>
        </w:rPr>
        <w:t>endorsed “</w:t>
      </w:r>
      <w:r w:rsidR="00A82BD7" w:rsidRPr="00A82BD7">
        <w:rPr>
          <w:rFonts w:ascii="Calibri" w:hAnsi="Calibri" w:cs="Calibri"/>
          <w:bCs/>
          <w:sz w:val="24"/>
          <w:szCs w:val="24"/>
        </w:rPr>
        <w:t>A centralized workflow within a State Education Agency (SEA), Local Education Agency (LEA</w:t>
      </w:r>
      <w:r>
        <w:rPr>
          <w:rFonts w:ascii="ZWAdobeF" w:hAnsi="ZWAdobeF" w:cs="ZWAdobeF"/>
          <w:bCs/>
          <w:sz w:val="2"/>
          <w:szCs w:val="2"/>
        </w:rPr>
        <w:t>44F</w:t>
      </w:r>
      <w:r w:rsidR="00CC3502">
        <w:rPr>
          <w:rStyle w:val="FootnoteReference"/>
          <w:rFonts w:ascii="Calibri" w:hAnsi="Calibri" w:cs="Calibri"/>
          <w:bCs/>
          <w:sz w:val="24"/>
          <w:szCs w:val="24"/>
        </w:rPr>
        <w:footnoteReference w:id="46"/>
      </w:r>
      <w:r w:rsidR="00A82BD7" w:rsidRPr="00A82BD7">
        <w:rPr>
          <w:rFonts w:ascii="Calibri" w:hAnsi="Calibri" w:cs="Calibri"/>
          <w:bCs/>
          <w:sz w:val="24"/>
          <w:szCs w:val="24"/>
        </w:rPr>
        <w:t>), or Regional District system to process requests for accessible formats</w:t>
      </w:r>
      <w:r w:rsidR="00A82BD7">
        <w:rPr>
          <w:rFonts w:ascii="Calibri" w:hAnsi="Calibri" w:cs="Calibri"/>
          <w:bCs/>
          <w:sz w:val="24"/>
          <w:szCs w:val="24"/>
        </w:rPr>
        <w:t xml:space="preserve">” </w:t>
      </w:r>
      <w:r w:rsidR="00762169">
        <w:rPr>
          <w:rFonts w:ascii="Calibri" w:hAnsi="Calibri" w:cs="Calibri"/>
          <w:bCs/>
          <w:sz w:val="24"/>
          <w:szCs w:val="24"/>
        </w:rPr>
        <w:t xml:space="preserve">(65%) </w:t>
      </w:r>
      <w:r w:rsidR="00A82BD7">
        <w:rPr>
          <w:rFonts w:ascii="Calibri" w:hAnsi="Calibri" w:cs="Calibri"/>
          <w:bCs/>
          <w:sz w:val="24"/>
          <w:szCs w:val="24"/>
        </w:rPr>
        <w:t>and “</w:t>
      </w:r>
      <w:r w:rsidR="00A82BD7" w:rsidRPr="00A82BD7">
        <w:rPr>
          <w:rFonts w:ascii="Calibri" w:hAnsi="Calibri" w:cs="Calibri"/>
          <w:bCs/>
          <w:sz w:val="24"/>
          <w:szCs w:val="24"/>
        </w:rPr>
        <w:t>Inclusion of NIMAS requirement in procurement contracts for educational materials</w:t>
      </w:r>
      <w:r w:rsidR="00A82BD7">
        <w:rPr>
          <w:rFonts w:ascii="Calibri" w:hAnsi="Calibri" w:cs="Calibri"/>
          <w:bCs/>
          <w:sz w:val="24"/>
          <w:szCs w:val="24"/>
        </w:rPr>
        <w:t>”</w:t>
      </w:r>
      <w:r w:rsidR="00762169">
        <w:rPr>
          <w:rFonts w:ascii="Calibri" w:hAnsi="Calibri" w:cs="Calibri"/>
          <w:bCs/>
          <w:sz w:val="24"/>
          <w:szCs w:val="24"/>
        </w:rPr>
        <w:t xml:space="preserve"> (64%).</w:t>
      </w:r>
      <w:r w:rsidR="00A82BD7">
        <w:rPr>
          <w:rFonts w:ascii="Calibri" w:hAnsi="Calibri" w:cs="Calibri"/>
          <w:bCs/>
          <w:sz w:val="24"/>
          <w:szCs w:val="24"/>
        </w:rPr>
        <w:t xml:space="preserve"> The two </w:t>
      </w:r>
      <w:r w:rsidR="00762169">
        <w:rPr>
          <w:rFonts w:ascii="Calibri" w:hAnsi="Calibri" w:cs="Calibri"/>
          <w:bCs/>
          <w:sz w:val="24"/>
          <w:szCs w:val="24"/>
        </w:rPr>
        <w:t>practices</w:t>
      </w:r>
      <w:r w:rsidR="00A82BD7">
        <w:rPr>
          <w:rFonts w:ascii="Calibri" w:hAnsi="Calibri" w:cs="Calibri"/>
          <w:bCs/>
          <w:sz w:val="24"/>
          <w:szCs w:val="24"/>
        </w:rPr>
        <w:t xml:space="preserve"> endorsed least, although still </w:t>
      </w:r>
      <w:r w:rsidR="00C91225">
        <w:rPr>
          <w:rFonts w:ascii="Calibri" w:hAnsi="Calibri" w:cs="Calibri"/>
          <w:bCs/>
          <w:sz w:val="24"/>
          <w:szCs w:val="24"/>
        </w:rPr>
        <w:t xml:space="preserve">selected </w:t>
      </w:r>
      <w:r w:rsidR="00A82BD7">
        <w:rPr>
          <w:rFonts w:ascii="Calibri" w:hAnsi="Calibri" w:cs="Calibri"/>
          <w:bCs/>
          <w:sz w:val="24"/>
          <w:szCs w:val="24"/>
        </w:rPr>
        <w:t>by over 50% of respondents</w:t>
      </w:r>
      <w:r w:rsidR="003A759C">
        <w:rPr>
          <w:rFonts w:ascii="Calibri" w:hAnsi="Calibri" w:cs="Calibri"/>
          <w:bCs/>
          <w:sz w:val="24"/>
          <w:szCs w:val="24"/>
        </w:rPr>
        <w:t>,</w:t>
      </w:r>
      <w:r w:rsidR="00A82BD7">
        <w:rPr>
          <w:rFonts w:ascii="Calibri" w:hAnsi="Calibri" w:cs="Calibri"/>
          <w:bCs/>
          <w:sz w:val="24"/>
          <w:szCs w:val="24"/>
        </w:rPr>
        <w:t xml:space="preserve"> were “</w:t>
      </w:r>
      <w:r w:rsidR="00A82BD7" w:rsidRPr="00A82BD7">
        <w:rPr>
          <w:rFonts w:ascii="Calibri" w:hAnsi="Calibri" w:cs="Calibri"/>
          <w:bCs/>
          <w:sz w:val="24"/>
          <w:szCs w:val="24"/>
        </w:rPr>
        <w:t>State processes that support and train AMPs who are producing accessible formats</w:t>
      </w:r>
      <w:r w:rsidR="00A82BD7">
        <w:rPr>
          <w:rFonts w:ascii="Calibri" w:hAnsi="Calibri" w:cs="Calibri"/>
          <w:bCs/>
          <w:sz w:val="24"/>
          <w:szCs w:val="24"/>
        </w:rPr>
        <w:t>” and “</w:t>
      </w:r>
      <w:r w:rsidR="00A82BD7" w:rsidRPr="00A82BD7">
        <w:rPr>
          <w:rFonts w:ascii="Calibri" w:hAnsi="Calibri" w:cs="Calibri"/>
          <w:bCs/>
          <w:sz w:val="24"/>
          <w:szCs w:val="24"/>
        </w:rPr>
        <w:t>A streamlined system for working with AMPs</w:t>
      </w:r>
      <w:r w:rsidR="00A82BD7">
        <w:rPr>
          <w:rFonts w:ascii="Calibri" w:hAnsi="Calibri" w:cs="Calibri"/>
          <w:bCs/>
          <w:sz w:val="24"/>
          <w:szCs w:val="24"/>
        </w:rPr>
        <w:t xml:space="preserve">” (endorsed by 53% and 52% of respondents, respectively). </w:t>
      </w:r>
    </w:p>
    <w:p w14:paraId="5DC98966" w14:textId="5AC8A2CD" w:rsidR="009A1CF7" w:rsidRPr="003A759C" w:rsidRDefault="009A1CF7" w:rsidP="003A759C">
      <w:pPr>
        <w:spacing w:after="0" w:line="276" w:lineRule="auto"/>
        <w:rPr>
          <w:rFonts w:ascii="Calibri" w:hAnsi="Calibri" w:cs="Calibri"/>
          <w:bCs/>
          <w:sz w:val="24"/>
          <w:szCs w:val="24"/>
        </w:rPr>
      </w:pPr>
      <w:r w:rsidRPr="009A1CF7">
        <w:rPr>
          <w:rFonts w:ascii="Calibri" w:hAnsi="Calibri" w:cs="Calibri"/>
          <w:bCs/>
          <w:sz w:val="24"/>
          <w:szCs w:val="24"/>
          <w:highlight w:val="yellow"/>
        </w:rPr>
        <w:t xml:space="preserve"> </w:t>
      </w:r>
    </w:p>
    <w:p w14:paraId="17A8EDE4" w14:textId="64CA2765" w:rsidR="009A1CF7" w:rsidRPr="00BE2000" w:rsidRDefault="009A1CF7" w:rsidP="004946C3">
      <w:pPr>
        <w:pStyle w:val="Heading4"/>
      </w:pPr>
      <w:bookmarkStart w:id="48" w:name="_Toc222904011"/>
      <w:r w:rsidRPr="0007596D">
        <w:t xml:space="preserve">Figure </w:t>
      </w:r>
      <w:r w:rsidR="003A759C">
        <w:t>1</w:t>
      </w:r>
      <w:r w:rsidR="00EE4A78">
        <w:t>8</w:t>
      </w:r>
      <w:r w:rsidRPr="0007596D">
        <w:t xml:space="preserve">. State, Regional, District, or School-Level Practices that </w:t>
      </w:r>
      <w:r w:rsidRPr="00BE2000">
        <w:t>Facilitate Timely Delivery</w:t>
      </w:r>
      <w:r w:rsidR="00B55C67">
        <w:rPr>
          <w:rFonts w:ascii="ZWAdobeF" w:hAnsi="ZWAdobeF" w:cs="ZWAdobeF"/>
          <w:i w:val="0"/>
          <w:color w:val="auto"/>
          <w:sz w:val="2"/>
          <w:szCs w:val="2"/>
        </w:rPr>
        <w:t>45F</w:t>
      </w:r>
      <w:r w:rsidRPr="00BE2000">
        <w:rPr>
          <w:rStyle w:val="FootnoteReference"/>
          <w:rFonts w:cs="Calibri"/>
          <w:smallCaps/>
          <w:color w:val="44546A" w:themeColor="text2"/>
        </w:rPr>
        <w:footnoteReference w:id="47"/>
      </w:r>
      <w:bookmarkEnd w:id="48"/>
      <w:r w:rsidRPr="00BE2000">
        <w:t xml:space="preserve"> </w:t>
      </w:r>
    </w:p>
    <w:p w14:paraId="16FC36EE" w14:textId="62E89600" w:rsidR="00B62392" w:rsidRPr="00BE2000" w:rsidRDefault="00B55C67" w:rsidP="00B62392">
      <w:pPr>
        <w:jc w:val="center"/>
        <w:rPr>
          <w:color w:val="000000" w:themeColor="text1"/>
        </w:rPr>
      </w:pPr>
      <w:r>
        <w:rPr>
          <w:rFonts w:ascii="ZWAdobeF" w:hAnsi="ZWAdobeF" w:cs="ZWAdobeF"/>
          <w:sz w:val="2"/>
          <w:szCs w:val="2"/>
        </w:rPr>
        <w:t>154</w:t>
      </w:r>
      <w:proofErr w:type="gramStart"/>
      <w:r>
        <w:rPr>
          <w:rFonts w:ascii="ZWAdobeF" w:hAnsi="ZWAdobeF" w:cs="ZWAdobeF"/>
          <w:sz w:val="2"/>
          <w:szCs w:val="2"/>
        </w:rPr>
        <w:t>B</w:t>
      </w:r>
      <w:r w:rsidR="009A1CF7" w:rsidRPr="00BE2000">
        <w:rPr>
          <w:color w:val="000000" w:themeColor="text1"/>
        </w:rPr>
        <w:t>(</w:t>
      </w:r>
      <w:proofErr w:type="gramEnd"/>
      <w:r w:rsidR="009A1CF7" w:rsidRPr="00BE2000">
        <w:rPr>
          <w:i/>
          <w:iCs/>
          <w:color w:val="000000" w:themeColor="text1"/>
        </w:rPr>
        <w:t>n</w:t>
      </w:r>
      <w:r w:rsidR="009A1CF7" w:rsidRPr="00BE2000">
        <w:rPr>
          <w:color w:val="000000" w:themeColor="text1"/>
        </w:rPr>
        <w:t xml:space="preserve"> = 15</w:t>
      </w:r>
      <w:r w:rsidR="00E73859" w:rsidRPr="00BE2000">
        <w:rPr>
          <w:color w:val="000000" w:themeColor="text1"/>
        </w:rPr>
        <w:t>1</w:t>
      </w:r>
      <w:r w:rsidR="009A1CF7" w:rsidRPr="00BE2000">
        <w:rPr>
          <w:color w:val="000000" w:themeColor="text1"/>
        </w:rPr>
        <w:t>)</w:t>
      </w:r>
    </w:p>
    <w:p w14:paraId="53978355" w14:textId="06EA3B10" w:rsidR="0066500A" w:rsidRDefault="00B55C67" w:rsidP="00B62392">
      <w:pPr>
        <w:rPr>
          <w:rFonts w:cstheme="minorHAnsi"/>
          <w:sz w:val="24"/>
          <w:szCs w:val="24"/>
        </w:rPr>
      </w:pPr>
      <w:r>
        <w:rPr>
          <w:rFonts w:ascii="ZWAdobeF" w:hAnsi="ZWAdobeF" w:cs="ZWAdobeF"/>
          <w:sz w:val="2"/>
          <w:szCs w:val="2"/>
        </w:rPr>
        <w:t>155B</w:t>
      </w:r>
      <w:r w:rsidR="009A1CF7" w:rsidRPr="00BE2000">
        <w:rPr>
          <w:rFonts w:ascii="Times New Roman" w:hAnsi="Times New Roman" w:cs="Times New Roman"/>
          <w:noProof/>
          <w:sz w:val="24"/>
          <w:szCs w:val="24"/>
        </w:rPr>
        <w:drawing>
          <wp:inline distT="0" distB="0" distL="0" distR="0" wp14:anchorId="77984FE3" wp14:editId="20F99E14">
            <wp:extent cx="6010578" cy="3966210"/>
            <wp:effectExtent l="0" t="0" r="0" b="6985"/>
            <wp:docPr id="2058618629" name="Chart 2058618629" descr="Figure 18 is a horizontal bar chart showing state, regional, district, or school-level practices that facilitate timely delivery of accessible formats (n = 151). Respondents reported that requests for first-time production of accessible formats being made well in advance of student need facilitates timely delivery (76%). A centralized workflow within a State Education Agency, Local Education Agency, or Regional District system to process requests was reported by 66%. Inclusion of a NIMAS requirement in procurement contracts for educational materials was reported by 64%. State processes that support and train AMPs producing accessible formats were reported by 53%. A streamlined system for working with AMPs was reported by 52%. Other practices were reported by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144EAD16" w14:textId="0DDA332F" w:rsidR="000F163D" w:rsidRDefault="00B55C67" w:rsidP="004C742C">
      <w:pPr>
        <w:rPr>
          <w:rFonts w:cstheme="minorHAnsi"/>
          <w:sz w:val="24"/>
          <w:szCs w:val="24"/>
          <w:highlight w:val="yellow"/>
        </w:rPr>
      </w:pPr>
      <w:r>
        <w:rPr>
          <w:rFonts w:ascii="ZWAdobeF" w:hAnsi="ZWAdobeF" w:cs="ZWAdobeF"/>
          <w:sz w:val="2"/>
          <w:szCs w:val="2"/>
        </w:rPr>
        <w:lastRenderedPageBreak/>
        <w:t>156B</w:t>
      </w:r>
      <w:r w:rsidR="009A1CF7" w:rsidRPr="00BE2000">
        <w:rPr>
          <w:rFonts w:cstheme="minorHAnsi"/>
          <w:sz w:val="24"/>
          <w:szCs w:val="24"/>
        </w:rPr>
        <w:t xml:space="preserve">When comparing the pattern of responses displayed in Figure </w:t>
      </w:r>
      <w:r w:rsidR="003A759C" w:rsidRPr="00BE2000">
        <w:rPr>
          <w:rFonts w:cstheme="minorHAnsi"/>
          <w:sz w:val="24"/>
          <w:szCs w:val="24"/>
        </w:rPr>
        <w:t>1</w:t>
      </w:r>
      <w:r w:rsidR="00EE4A78" w:rsidRPr="00BE2000">
        <w:rPr>
          <w:rFonts w:cstheme="minorHAnsi"/>
          <w:sz w:val="24"/>
          <w:szCs w:val="24"/>
        </w:rPr>
        <w:t>8</w:t>
      </w:r>
      <w:r w:rsidR="009A1CF7" w:rsidRPr="00BE2000">
        <w:rPr>
          <w:rFonts w:cstheme="minorHAnsi"/>
          <w:sz w:val="24"/>
          <w:szCs w:val="24"/>
        </w:rPr>
        <w:t xml:space="preserve"> across the three case study</w:t>
      </w:r>
      <w:r w:rsidR="009A1CF7" w:rsidRPr="000F163D">
        <w:rPr>
          <w:rFonts w:cstheme="minorHAnsi"/>
          <w:sz w:val="24"/>
          <w:szCs w:val="24"/>
        </w:rPr>
        <w:t xml:space="preserve"> states as well as the national survey, there </w:t>
      </w:r>
      <w:r w:rsidR="000F163D" w:rsidRPr="000F163D">
        <w:rPr>
          <w:rFonts w:cstheme="minorHAnsi"/>
          <w:sz w:val="24"/>
          <w:szCs w:val="24"/>
        </w:rPr>
        <w:t xml:space="preserve">was </w:t>
      </w:r>
      <w:r w:rsidR="000F163D" w:rsidRPr="00145913">
        <w:rPr>
          <w:rFonts w:cstheme="minorHAnsi"/>
          <w:i/>
          <w:iCs/>
          <w:color w:val="DC2328"/>
          <w:sz w:val="24"/>
          <w:szCs w:val="24"/>
        </w:rPr>
        <w:t>one</w:t>
      </w:r>
      <w:r w:rsidR="009A1CF7" w:rsidRPr="00145913">
        <w:rPr>
          <w:rFonts w:cstheme="minorHAnsi"/>
          <w:i/>
          <w:iCs/>
          <w:color w:val="DC2328"/>
          <w:sz w:val="24"/>
          <w:szCs w:val="24"/>
        </w:rPr>
        <w:t xml:space="preserve"> statistically significant finding</w:t>
      </w:r>
      <w:r w:rsidR="009A1CF7" w:rsidRPr="009B1AA9">
        <w:rPr>
          <w:rFonts w:cstheme="minorHAnsi"/>
          <w:color w:val="EE0000"/>
          <w:sz w:val="24"/>
          <w:szCs w:val="24"/>
        </w:rPr>
        <w:t>.</w:t>
      </w:r>
      <w:r w:rsidR="009A1CF7" w:rsidRPr="000F163D">
        <w:rPr>
          <w:rFonts w:cstheme="minorHAnsi"/>
          <w:sz w:val="24"/>
          <w:szCs w:val="24"/>
        </w:rPr>
        <w:t xml:space="preserve"> Specifically, respondents </w:t>
      </w:r>
      <w:r w:rsidR="000F163D" w:rsidRPr="000F163D">
        <w:rPr>
          <w:rFonts w:cstheme="minorHAnsi"/>
          <w:sz w:val="24"/>
          <w:szCs w:val="24"/>
        </w:rPr>
        <w:t>in Utah were less likely to endorse “A streamlined system for working with AMPs” compared to the other respondents</w:t>
      </w:r>
      <w:r w:rsidR="009A1CF7" w:rsidRPr="000F163D">
        <w:rPr>
          <w:rFonts w:cstheme="minorHAnsi"/>
          <w:sz w:val="24"/>
          <w:szCs w:val="24"/>
        </w:rPr>
        <w:t xml:space="preserve"> (</w:t>
      </w:r>
      <w:r w:rsidR="009A1CF7" w:rsidRPr="000F163D">
        <w:rPr>
          <w:rFonts w:cstheme="minorHAnsi"/>
          <w:sz w:val="24"/>
          <w:szCs w:val="24"/>
        </w:rPr>
        <w:sym w:font="Symbol" w:char="F063"/>
      </w:r>
      <w:r w:rsidR="009A1CF7" w:rsidRPr="000F163D">
        <w:rPr>
          <w:rFonts w:cstheme="minorHAnsi"/>
          <w:sz w:val="24"/>
          <w:szCs w:val="24"/>
          <w:vertAlign w:val="superscript"/>
        </w:rPr>
        <w:t>2</w:t>
      </w:r>
      <w:r w:rsidR="009A1CF7" w:rsidRPr="000F163D">
        <w:rPr>
          <w:rFonts w:cstheme="minorHAnsi"/>
          <w:sz w:val="24"/>
          <w:szCs w:val="24"/>
        </w:rPr>
        <w:t xml:space="preserve">(1) = </w:t>
      </w:r>
      <w:r w:rsidR="00586FA5">
        <w:rPr>
          <w:rFonts w:cstheme="minorHAnsi"/>
          <w:sz w:val="24"/>
          <w:szCs w:val="24"/>
        </w:rPr>
        <w:t>7.57</w:t>
      </w:r>
      <w:r w:rsidR="009A1CF7" w:rsidRPr="000F163D">
        <w:rPr>
          <w:rFonts w:cstheme="minorHAnsi"/>
          <w:sz w:val="24"/>
          <w:szCs w:val="24"/>
        </w:rPr>
        <w:t xml:space="preserve">, </w:t>
      </w:r>
      <w:r w:rsidR="009A1CF7" w:rsidRPr="000F163D">
        <w:rPr>
          <w:rFonts w:cstheme="minorHAnsi"/>
          <w:i/>
          <w:iCs/>
          <w:sz w:val="24"/>
          <w:szCs w:val="24"/>
        </w:rPr>
        <w:t>p</w:t>
      </w:r>
      <w:r w:rsidR="009A1CF7" w:rsidRPr="000F163D">
        <w:rPr>
          <w:rFonts w:cstheme="minorHAnsi"/>
          <w:sz w:val="24"/>
          <w:szCs w:val="24"/>
        </w:rPr>
        <w:t xml:space="preserve"> &lt; .05; see Figure </w:t>
      </w:r>
      <w:r w:rsidR="003A759C">
        <w:rPr>
          <w:rFonts w:cstheme="minorHAnsi"/>
          <w:sz w:val="24"/>
          <w:szCs w:val="24"/>
        </w:rPr>
        <w:t>1</w:t>
      </w:r>
      <w:r w:rsidR="00EE4A78">
        <w:rPr>
          <w:rFonts w:cstheme="minorHAnsi"/>
          <w:sz w:val="24"/>
          <w:szCs w:val="24"/>
        </w:rPr>
        <w:t>9</w:t>
      </w:r>
      <w:r w:rsidR="009A1CF7" w:rsidRPr="000F163D">
        <w:rPr>
          <w:rFonts w:cstheme="minorHAnsi"/>
          <w:sz w:val="24"/>
          <w:szCs w:val="24"/>
        </w:rPr>
        <w:t>)</w:t>
      </w:r>
      <w:r w:rsidR="000F163D" w:rsidRPr="000F163D">
        <w:rPr>
          <w:rFonts w:cstheme="minorHAnsi"/>
          <w:sz w:val="24"/>
          <w:szCs w:val="24"/>
        </w:rPr>
        <w:t xml:space="preserve">. </w:t>
      </w:r>
      <w:r w:rsidR="0051470A">
        <w:rPr>
          <w:rFonts w:cstheme="minorHAnsi"/>
          <w:sz w:val="24"/>
          <w:szCs w:val="24"/>
        </w:rPr>
        <w:t>Although t</w:t>
      </w:r>
      <w:r w:rsidR="009A1CF7" w:rsidRPr="000F163D">
        <w:rPr>
          <w:rFonts w:cstheme="minorHAnsi"/>
          <w:sz w:val="24"/>
          <w:szCs w:val="24"/>
        </w:rPr>
        <w:t xml:space="preserve">his finding </w:t>
      </w:r>
      <w:r w:rsidR="0051470A">
        <w:rPr>
          <w:rFonts w:cstheme="minorHAnsi"/>
          <w:sz w:val="24"/>
          <w:szCs w:val="24"/>
        </w:rPr>
        <w:t xml:space="preserve">may </w:t>
      </w:r>
      <w:r w:rsidR="009A1CF7" w:rsidRPr="000F163D">
        <w:rPr>
          <w:rFonts w:cstheme="minorHAnsi"/>
          <w:sz w:val="24"/>
          <w:szCs w:val="24"/>
        </w:rPr>
        <w:t xml:space="preserve">suggest that </w:t>
      </w:r>
      <w:r w:rsidR="000F163D" w:rsidRPr="000F163D">
        <w:rPr>
          <w:rFonts w:cstheme="minorHAnsi"/>
          <w:sz w:val="24"/>
          <w:szCs w:val="24"/>
        </w:rPr>
        <w:t xml:space="preserve">Utah’s structures and processes for working with AMPs </w:t>
      </w:r>
      <w:r w:rsidR="0051470A">
        <w:rPr>
          <w:rFonts w:cstheme="minorHAnsi"/>
          <w:sz w:val="24"/>
          <w:szCs w:val="24"/>
        </w:rPr>
        <w:t>are</w:t>
      </w:r>
      <w:r w:rsidR="000F163D" w:rsidRPr="000F163D">
        <w:rPr>
          <w:rFonts w:cstheme="minorHAnsi"/>
          <w:sz w:val="24"/>
          <w:szCs w:val="24"/>
        </w:rPr>
        <w:t xml:space="preserve"> different than other states</w:t>
      </w:r>
      <w:r w:rsidR="0051470A">
        <w:rPr>
          <w:rFonts w:cstheme="minorHAnsi"/>
          <w:sz w:val="24"/>
          <w:szCs w:val="24"/>
        </w:rPr>
        <w:t xml:space="preserve">, the finding may also reflect differences in the sample of </w:t>
      </w:r>
      <w:r w:rsidR="002A235F">
        <w:rPr>
          <w:rFonts w:cstheme="minorHAnsi"/>
          <w:sz w:val="24"/>
          <w:szCs w:val="24"/>
        </w:rPr>
        <w:t xml:space="preserve">survey </w:t>
      </w:r>
      <w:r w:rsidR="0051470A">
        <w:rPr>
          <w:rFonts w:cstheme="minorHAnsi"/>
          <w:sz w:val="24"/>
          <w:szCs w:val="24"/>
        </w:rPr>
        <w:t>respondents</w:t>
      </w:r>
      <w:r w:rsidR="000F163D" w:rsidRPr="000F163D">
        <w:rPr>
          <w:rFonts w:cstheme="minorHAnsi"/>
          <w:sz w:val="24"/>
          <w:szCs w:val="24"/>
        </w:rPr>
        <w:t xml:space="preserve">. </w:t>
      </w:r>
      <w:r w:rsidR="002A235F">
        <w:rPr>
          <w:rFonts w:cstheme="minorHAnsi"/>
          <w:sz w:val="24"/>
          <w:szCs w:val="24"/>
        </w:rPr>
        <w:t xml:space="preserve">Given </w:t>
      </w:r>
      <w:r w:rsidR="0051470A">
        <w:rPr>
          <w:rFonts w:cstheme="minorHAnsi"/>
          <w:sz w:val="24"/>
          <w:szCs w:val="24"/>
        </w:rPr>
        <w:t xml:space="preserve">the outreach to a wide range of stakeholders in </w:t>
      </w:r>
      <w:r w:rsidR="002A235F">
        <w:rPr>
          <w:rFonts w:cstheme="minorHAnsi"/>
          <w:sz w:val="24"/>
          <w:szCs w:val="24"/>
        </w:rPr>
        <w:t xml:space="preserve">the </w:t>
      </w:r>
      <w:r w:rsidR="0051470A">
        <w:rPr>
          <w:rFonts w:cstheme="minorHAnsi"/>
          <w:sz w:val="24"/>
          <w:szCs w:val="24"/>
        </w:rPr>
        <w:t>case study states,</w:t>
      </w:r>
      <w:r w:rsidR="00476961">
        <w:rPr>
          <w:rFonts w:cstheme="minorHAnsi"/>
          <w:sz w:val="24"/>
          <w:szCs w:val="24"/>
        </w:rPr>
        <w:t xml:space="preserve"> including Utah,</w:t>
      </w:r>
      <w:r w:rsidR="0051470A">
        <w:rPr>
          <w:rFonts w:cstheme="minorHAnsi"/>
          <w:sz w:val="24"/>
          <w:szCs w:val="24"/>
        </w:rPr>
        <w:t xml:space="preserve"> it is possible that more respondents </w:t>
      </w:r>
      <w:r w:rsidR="00476961">
        <w:rPr>
          <w:rFonts w:cstheme="minorHAnsi"/>
          <w:sz w:val="24"/>
          <w:szCs w:val="24"/>
        </w:rPr>
        <w:t xml:space="preserve">from Utah have professional roles that do not involve working with AMPs or familiarity with accessible textbook workflows. </w:t>
      </w:r>
    </w:p>
    <w:p w14:paraId="31A1B886" w14:textId="77777777" w:rsidR="009A1CF7" w:rsidRPr="009A1CF7" w:rsidRDefault="009A1CF7" w:rsidP="009A1CF7">
      <w:pPr>
        <w:spacing w:after="0" w:line="276" w:lineRule="auto"/>
        <w:rPr>
          <w:rFonts w:ascii="Times New Roman" w:hAnsi="Times New Roman" w:cs="Times New Roman"/>
          <w:sz w:val="24"/>
          <w:szCs w:val="24"/>
          <w:highlight w:val="yellow"/>
        </w:rPr>
      </w:pPr>
    </w:p>
    <w:p w14:paraId="2430C9F8" w14:textId="3A564B1F" w:rsidR="009A1CF7" w:rsidRPr="00E05A9A" w:rsidRDefault="009A1CF7" w:rsidP="004946C3">
      <w:pPr>
        <w:pStyle w:val="Heading4"/>
      </w:pPr>
      <w:bookmarkStart w:id="49" w:name="_Toc222904012"/>
      <w:r w:rsidRPr="00E05A9A">
        <w:t xml:space="preserve">Figure </w:t>
      </w:r>
      <w:r w:rsidR="003A759C">
        <w:t>1</w:t>
      </w:r>
      <w:r w:rsidR="00EE4A78">
        <w:t>9</w:t>
      </w:r>
      <w:r w:rsidRPr="00E05A9A">
        <w:t xml:space="preserve">. </w:t>
      </w:r>
      <w:r w:rsidR="00E05A9A" w:rsidRPr="00E05A9A">
        <w:t>State, Regional, District, and School-Level Practices</w:t>
      </w:r>
      <w:r w:rsidRPr="00E05A9A">
        <w:t xml:space="preserve"> that Facilitate Timely Delivery: Difference by Location</w:t>
      </w:r>
      <w:r w:rsidR="00B55C67">
        <w:rPr>
          <w:rFonts w:ascii="ZWAdobeF" w:hAnsi="ZWAdobeF" w:cs="ZWAdobeF"/>
          <w:i w:val="0"/>
          <w:color w:val="auto"/>
          <w:sz w:val="2"/>
          <w:szCs w:val="2"/>
        </w:rPr>
        <w:t>46F</w:t>
      </w:r>
      <w:r w:rsidRPr="00E05A9A">
        <w:rPr>
          <w:rStyle w:val="FootnoteReference"/>
          <w:rFonts w:cs="Calibri"/>
          <w:smallCaps/>
          <w:color w:val="44546A" w:themeColor="text2"/>
        </w:rPr>
        <w:footnoteReference w:id="48"/>
      </w:r>
      <w:bookmarkEnd w:id="49"/>
    </w:p>
    <w:p w14:paraId="7EC0E809" w14:textId="1D096E53" w:rsidR="009A1CF7" w:rsidRPr="00E05A9A" w:rsidRDefault="00B55C67" w:rsidP="009A1CF7">
      <w:pPr>
        <w:jc w:val="center"/>
      </w:pPr>
      <w:r>
        <w:rPr>
          <w:rFonts w:ascii="ZWAdobeF" w:hAnsi="ZWAdobeF" w:cs="ZWAdobeF"/>
          <w:sz w:val="2"/>
          <w:szCs w:val="2"/>
        </w:rPr>
        <w:t>157</w:t>
      </w:r>
      <w:proofErr w:type="gramStart"/>
      <w:r>
        <w:rPr>
          <w:rFonts w:ascii="ZWAdobeF" w:hAnsi="ZWAdobeF" w:cs="ZWAdobeF"/>
          <w:sz w:val="2"/>
          <w:szCs w:val="2"/>
        </w:rPr>
        <w:t>B</w:t>
      </w:r>
      <w:r w:rsidR="009A1CF7" w:rsidRPr="00E05A9A">
        <w:t>(</w:t>
      </w:r>
      <w:proofErr w:type="gramEnd"/>
      <w:r w:rsidR="009A1CF7" w:rsidRPr="00E05A9A">
        <w:rPr>
          <w:i/>
          <w:iCs/>
        </w:rPr>
        <w:t>n</w:t>
      </w:r>
      <w:r w:rsidR="009A1CF7" w:rsidRPr="00E05A9A">
        <w:t xml:space="preserve"> = 15</w:t>
      </w:r>
      <w:r w:rsidR="00E05A9A" w:rsidRPr="00E05A9A">
        <w:t>1</w:t>
      </w:r>
      <w:r w:rsidR="009A1CF7" w:rsidRPr="00E05A9A">
        <w:t>)</w:t>
      </w:r>
    </w:p>
    <w:p w14:paraId="4992A345" w14:textId="23BCCCCC" w:rsidR="009A1CF7" w:rsidRPr="009A1CF7" w:rsidRDefault="00B55C67" w:rsidP="009A1CF7">
      <w:pPr>
        <w:spacing w:after="0" w:line="276" w:lineRule="auto"/>
        <w:jc w:val="center"/>
        <w:rPr>
          <w:rFonts w:ascii="Times New Roman" w:hAnsi="Times New Roman" w:cs="Times New Roman"/>
          <w:sz w:val="24"/>
          <w:szCs w:val="24"/>
          <w:highlight w:val="yellow"/>
        </w:rPr>
      </w:pPr>
      <w:r>
        <w:rPr>
          <w:rFonts w:ascii="ZWAdobeF" w:hAnsi="ZWAdobeF" w:cs="ZWAdobeF"/>
          <w:sz w:val="2"/>
          <w:szCs w:val="2"/>
          <w:highlight w:val="yellow"/>
        </w:rPr>
        <w:t>158B</w:t>
      </w:r>
      <w:r w:rsidR="009A1CF7" w:rsidRPr="009A1CF7">
        <w:rPr>
          <w:rFonts w:ascii="Times New Roman" w:hAnsi="Times New Roman" w:cs="Times New Roman"/>
          <w:b/>
          <w:noProof/>
          <w:color w:val="0070C0"/>
          <w:highlight w:val="yellow"/>
        </w:rPr>
        <w:drawing>
          <wp:inline distT="0" distB="0" distL="0" distR="0" wp14:anchorId="3E463DAE" wp14:editId="34BC1150">
            <wp:extent cx="4368165" cy="3156719"/>
            <wp:effectExtent l="0" t="0" r="0" b="5715"/>
            <wp:docPr id="1472995697" name="Chart 3" descr="Figure 19 is a vertical bar chart showing differences by location in state, regional, district, and school-level practices that facilitate timely delivery (n = 151). Respondents endorsing a streamlined system for working with AMPs included 61% (n = 57) from the national survey, 57% (n = 47) from Ohio, 42% (n = 26) from Oregon, and 24% (n = 21) from Utah. An asterisk indicates a statistically significant difference for Utah."/>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6BB51453" w14:textId="77777777" w:rsidR="00EB51C8" w:rsidRDefault="00EB51C8" w:rsidP="009A1CF7">
      <w:pPr>
        <w:spacing w:after="0" w:line="276" w:lineRule="auto"/>
        <w:rPr>
          <w:rFonts w:ascii="Calibri" w:hAnsi="Calibri" w:cs="Calibri"/>
          <w:sz w:val="24"/>
          <w:szCs w:val="24"/>
        </w:rPr>
      </w:pPr>
    </w:p>
    <w:p w14:paraId="5459D9B8" w14:textId="2C49BBF7" w:rsidR="009A1CF7" w:rsidRPr="00A438DD" w:rsidRDefault="00B55C67" w:rsidP="009A1CF7">
      <w:pPr>
        <w:spacing w:after="0" w:line="276" w:lineRule="auto"/>
        <w:rPr>
          <w:rFonts w:ascii="Calibri" w:hAnsi="Calibri" w:cs="Calibri"/>
          <w:sz w:val="24"/>
          <w:szCs w:val="24"/>
        </w:rPr>
      </w:pPr>
      <w:r>
        <w:rPr>
          <w:rFonts w:ascii="ZWAdobeF" w:hAnsi="ZWAdobeF" w:cs="ZWAdobeF"/>
          <w:sz w:val="2"/>
          <w:szCs w:val="2"/>
        </w:rPr>
        <w:t>159B</w:t>
      </w:r>
      <w:r w:rsidR="00834636">
        <w:rPr>
          <w:rFonts w:ascii="Calibri" w:hAnsi="Calibri" w:cs="Calibri"/>
          <w:sz w:val="24"/>
          <w:szCs w:val="24"/>
        </w:rPr>
        <w:t>When examining differences in state, regional, district, and school-level practices that facilitate timely delivery</w:t>
      </w:r>
      <w:r w:rsidR="00B53084">
        <w:rPr>
          <w:rFonts w:ascii="Calibri" w:hAnsi="Calibri" w:cs="Calibri"/>
          <w:sz w:val="24"/>
          <w:szCs w:val="24"/>
        </w:rPr>
        <w:t xml:space="preserve"> across roles</w:t>
      </w:r>
      <w:r w:rsidR="00834636">
        <w:rPr>
          <w:rFonts w:ascii="Calibri" w:hAnsi="Calibri" w:cs="Calibri"/>
          <w:sz w:val="24"/>
          <w:szCs w:val="24"/>
        </w:rPr>
        <w:t xml:space="preserve">, there were </w:t>
      </w:r>
      <w:r w:rsidR="00834636" w:rsidRPr="00B97F3E">
        <w:rPr>
          <w:rFonts w:ascii="Calibri" w:hAnsi="Calibri" w:cs="Calibri"/>
          <w:i/>
          <w:iCs/>
          <w:color w:val="EE0000"/>
          <w:sz w:val="24"/>
          <w:szCs w:val="24"/>
        </w:rPr>
        <w:t>two statistically significant findings</w:t>
      </w:r>
      <w:r w:rsidR="00834636" w:rsidRPr="009B1AA9">
        <w:rPr>
          <w:rFonts w:ascii="Calibri" w:hAnsi="Calibri" w:cs="Calibri"/>
          <w:color w:val="EE0000"/>
          <w:sz w:val="24"/>
          <w:szCs w:val="24"/>
        </w:rPr>
        <w:t>.</w:t>
      </w:r>
      <w:r w:rsidR="00834636">
        <w:rPr>
          <w:rFonts w:ascii="Calibri" w:hAnsi="Calibri" w:cs="Calibri"/>
          <w:sz w:val="24"/>
          <w:szCs w:val="24"/>
        </w:rPr>
        <w:t xml:space="preserve"> NIMAC Users were more likely to endorse “A streamlined system for working with AMPs” (74%; </w:t>
      </w:r>
      <w:r w:rsidR="00834636" w:rsidRPr="000D6835">
        <w:rPr>
          <w:rFonts w:ascii="Calibri" w:hAnsi="Calibri" w:cs="Calibri"/>
          <w:i/>
          <w:iCs/>
          <w:sz w:val="24"/>
          <w:szCs w:val="24"/>
        </w:rPr>
        <w:t>n</w:t>
      </w:r>
      <w:r w:rsidR="00834636">
        <w:rPr>
          <w:rFonts w:ascii="Calibri" w:hAnsi="Calibri" w:cs="Calibri"/>
          <w:i/>
          <w:iCs/>
          <w:sz w:val="24"/>
          <w:szCs w:val="24"/>
        </w:rPr>
        <w:t xml:space="preserve"> </w:t>
      </w:r>
      <w:r w:rsidR="00834636">
        <w:rPr>
          <w:rFonts w:ascii="Calibri" w:hAnsi="Calibri" w:cs="Calibri"/>
          <w:sz w:val="24"/>
          <w:szCs w:val="24"/>
        </w:rPr>
        <w:t xml:space="preserve">= 42; </w:t>
      </w:r>
      <w:r w:rsidR="00834636" w:rsidRPr="00BB1752">
        <w:rPr>
          <w:rFonts w:cstheme="minorHAnsi"/>
          <w:sz w:val="24"/>
          <w:szCs w:val="24"/>
        </w:rPr>
        <w:sym w:font="Symbol" w:char="F063"/>
      </w:r>
      <w:r w:rsidR="00834636" w:rsidRPr="00BB1752">
        <w:rPr>
          <w:rFonts w:cstheme="minorHAnsi"/>
          <w:sz w:val="24"/>
          <w:szCs w:val="24"/>
          <w:vertAlign w:val="superscript"/>
        </w:rPr>
        <w:t>2</w:t>
      </w:r>
      <w:r w:rsidR="00834636" w:rsidRPr="00BB1752">
        <w:rPr>
          <w:rFonts w:cstheme="minorHAnsi"/>
          <w:sz w:val="24"/>
          <w:szCs w:val="24"/>
        </w:rPr>
        <w:t>(</w:t>
      </w:r>
      <w:r w:rsidR="00834636">
        <w:rPr>
          <w:rFonts w:cstheme="minorHAnsi"/>
          <w:sz w:val="24"/>
          <w:szCs w:val="24"/>
        </w:rPr>
        <w:t>1</w:t>
      </w:r>
      <w:r w:rsidR="00834636" w:rsidRPr="00BB1752">
        <w:rPr>
          <w:rFonts w:cstheme="minorHAnsi"/>
          <w:sz w:val="24"/>
          <w:szCs w:val="24"/>
        </w:rPr>
        <w:t xml:space="preserve">) = </w:t>
      </w:r>
      <w:r w:rsidR="00834636">
        <w:rPr>
          <w:rFonts w:cstheme="minorHAnsi"/>
          <w:sz w:val="24"/>
          <w:szCs w:val="24"/>
        </w:rPr>
        <w:t>11.44</w:t>
      </w:r>
      <w:r w:rsidR="00834636" w:rsidRPr="00BB1752">
        <w:rPr>
          <w:rFonts w:cstheme="minorHAnsi"/>
          <w:sz w:val="24"/>
          <w:szCs w:val="24"/>
        </w:rPr>
        <w:t xml:space="preserve">, </w:t>
      </w:r>
      <w:r w:rsidR="00834636" w:rsidRPr="00BB1752">
        <w:rPr>
          <w:rFonts w:cstheme="minorHAnsi"/>
          <w:i/>
          <w:iCs/>
          <w:sz w:val="24"/>
          <w:szCs w:val="24"/>
        </w:rPr>
        <w:t>p</w:t>
      </w:r>
      <w:r w:rsidR="00834636" w:rsidRPr="00BB1752">
        <w:rPr>
          <w:rFonts w:cstheme="minorHAnsi"/>
          <w:sz w:val="24"/>
          <w:szCs w:val="24"/>
        </w:rPr>
        <w:t xml:space="preserve"> &lt; .05</w:t>
      </w:r>
      <w:r w:rsidR="00834636">
        <w:rPr>
          <w:rFonts w:ascii="Calibri" w:hAnsi="Calibri" w:cs="Calibri"/>
          <w:sz w:val="24"/>
          <w:szCs w:val="24"/>
        </w:rPr>
        <w:t xml:space="preserve">) and </w:t>
      </w:r>
      <w:r w:rsidR="00834636">
        <w:rPr>
          <w:rFonts w:ascii="Calibri" w:hAnsi="Calibri" w:cs="Calibri"/>
          <w:bCs/>
          <w:sz w:val="24"/>
          <w:szCs w:val="24"/>
        </w:rPr>
        <w:t>“</w:t>
      </w:r>
      <w:r w:rsidR="00834636" w:rsidRPr="00A82BD7">
        <w:rPr>
          <w:rFonts w:ascii="Calibri" w:hAnsi="Calibri" w:cs="Calibri"/>
          <w:bCs/>
          <w:sz w:val="24"/>
          <w:szCs w:val="24"/>
        </w:rPr>
        <w:t>State processes that support and train AMPs who are producing accessible formats</w:t>
      </w:r>
      <w:r w:rsidR="00834636">
        <w:rPr>
          <w:rFonts w:ascii="Calibri" w:hAnsi="Calibri" w:cs="Calibri"/>
          <w:bCs/>
          <w:sz w:val="24"/>
          <w:szCs w:val="24"/>
        </w:rPr>
        <w:t xml:space="preserve">” (69%; </w:t>
      </w:r>
      <w:r w:rsidR="00834636">
        <w:rPr>
          <w:rFonts w:ascii="Calibri" w:hAnsi="Calibri" w:cs="Calibri"/>
          <w:bCs/>
          <w:i/>
          <w:iCs/>
          <w:sz w:val="24"/>
          <w:szCs w:val="24"/>
        </w:rPr>
        <w:t>n</w:t>
      </w:r>
      <w:r w:rsidR="00834636">
        <w:rPr>
          <w:rFonts w:ascii="Calibri" w:hAnsi="Calibri" w:cs="Calibri"/>
          <w:bCs/>
          <w:sz w:val="24"/>
          <w:szCs w:val="24"/>
        </w:rPr>
        <w:t xml:space="preserve"> = 42; </w:t>
      </w:r>
      <w:r w:rsidR="00834636" w:rsidRPr="00BB1752">
        <w:rPr>
          <w:rFonts w:cstheme="minorHAnsi"/>
          <w:sz w:val="24"/>
          <w:szCs w:val="24"/>
        </w:rPr>
        <w:sym w:font="Symbol" w:char="F063"/>
      </w:r>
      <w:r w:rsidR="00834636" w:rsidRPr="00BB1752">
        <w:rPr>
          <w:rFonts w:cstheme="minorHAnsi"/>
          <w:sz w:val="24"/>
          <w:szCs w:val="24"/>
          <w:vertAlign w:val="superscript"/>
        </w:rPr>
        <w:t>2</w:t>
      </w:r>
      <w:r w:rsidR="00834636" w:rsidRPr="00BB1752">
        <w:rPr>
          <w:rFonts w:cstheme="minorHAnsi"/>
          <w:sz w:val="24"/>
          <w:szCs w:val="24"/>
        </w:rPr>
        <w:t>(</w:t>
      </w:r>
      <w:r w:rsidR="00834636">
        <w:rPr>
          <w:rFonts w:cstheme="minorHAnsi"/>
          <w:sz w:val="24"/>
          <w:szCs w:val="24"/>
        </w:rPr>
        <w:t>1</w:t>
      </w:r>
      <w:r w:rsidR="00834636" w:rsidRPr="00BB1752">
        <w:rPr>
          <w:rFonts w:cstheme="minorHAnsi"/>
          <w:sz w:val="24"/>
          <w:szCs w:val="24"/>
        </w:rPr>
        <w:t xml:space="preserve">) = </w:t>
      </w:r>
      <w:r w:rsidR="00834636">
        <w:rPr>
          <w:rFonts w:cstheme="minorHAnsi"/>
          <w:sz w:val="24"/>
          <w:szCs w:val="24"/>
        </w:rPr>
        <w:t>6.03</w:t>
      </w:r>
      <w:r w:rsidR="00834636" w:rsidRPr="00BB1752">
        <w:rPr>
          <w:rFonts w:cstheme="minorHAnsi"/>
          <w:sz w:val="24"/>
          <w:szCs w:val="24"/>
        </w:rPr>
        <w:t xml:space="preserve">, </w:t>
      </w:r>
      <w:r w:rsidR="00834636" w:rsidRPr="00BB1752">
        <w:rPr>
          <w:rFonts w:cstheme="minorHAnsi"/>
          <w:i/>
          <w:iCs/>
          <w:sz w:val="24"/>
          <w:szCs w:val="24"/>
        </w:rPr>
        <w:t>p</w:t>
      </w:r>
      <w:r w:rsidR="00834636" w:rsidRPr="00BB1752">
        <w:rPr>
          <w:rFonts w:cstheme="minorHAnsi"/>
          <w:sz w:val="24"/>
          <w:szCs w:val="24"/>
        </w:rPr>
        <w:t xml:space="preserve"> &lt; .05</w:t>
      </w:r>
      <w:r w:rsidR="00834636">
        <w:rPr>
          <w:rFonts w:ascii="Calibri" w:hAnsi="Calibri" w:cs="Calibri"/>
          <w:bCs/>
          <w:sz w:val="24"/>
          <w:szCs w:val="24"/>
        </w:rPr>
        <w:t xml:space="preserve">) </w:t>
      </w:r>
      <w:r w:rsidR="00834636" w:rsidRPr="000D6835">
        <w:rPr>
          <w:rFonts w:ascii="Calibri" w:hAnsi="Calibri" w:cs="Calibri"/>
          <w:sz w:val="24"/>
          <w:szCs w:val="24"/>
        </w:rPr>
        <w:t>compared</w:t>
      </w:r>
      <w:r w:rsidR="00834636">
        <w:rPr>
          <w:rFonts w:ascii="Calibri" w:hAnsi="Calibri" w:cs="Calibri"/>
          <w:sz w:val="24"/>
          <w:szCs w:val="24"/>
        </w:rPr>
        <w:t xml:space="preserve"> to respondents who were not NIMAC Users (43% and 47%, respectively; </w:t>
      </w:r>
      <w:r w:rsidR="00834636">
        <w:rPr>
          <w:rFonts w:ascii="Calibri" w:hAnsi="Calibri" w:cs="Calibri"/>
          <w:i/>
          <w:iCs/>
          <w:sz w:val="24"/>
          <w:szCs w:val="24"/>
        </w:rPr>
        <w:t xml:space="preserve">n </w:t>
      </w:r>
      <w:r w:rsidR="00834636">
        <w:rPr>
          <w:rFonts w:ascii="Calibri" w:hAnsi="Calibri" w:cs="Calibri"/>
          <w:sz w:val="24"/>
          <w:szCs w:val="24"/>
        </w:rPr>
        <w:t>= 109</w:t>
      </w:r>
      <w:r w:rsidR="00834636">
        <w:rPr>
          <w:rFonts w:cstheme="minorHAnsi"/>
          <w:sz w:val="24"/>
          <w:szCs w:val="24"/>
        </w:rPr>
        <w:t xml:space="preserve">). These findings indicate that NIMAC Users may have </w:t>
      </w:r>
      <w:r w:rsidR="00834636">
        <w:rPr>
          <w:rFonts w:cstheme="minorHAnsi"/>
          <w:sz w:val="24"/>
          <w:szCs w:val="24"/>
        </w:rPr>
        <w:lastRenderedPageBreak/>
        <w:t xml:space="preserve">more insight into the utility of a streamlined system for working with AMPs and state processes that support and train </w:t>
      </w:r>
      <w:r w:rsidR="00B53084">
        <w:rPr>
          <w:rFonts w:cstheme="minorHAnsi"/>
          <w:sz w:val="24"/>
          <w:szCs w:val="24"/>
        </w:rPr>
        <w:t>them</w:t>
      </w:r>
      <w:r w:rsidR="00834636">
        <w:rPr>
          <w:rFonts w:cstheme="minorHAnsi"/>
          <w:sz w:val="24"/>
          <w:szCs w:val="24"/>
        </w:rPr>
        <w:t xml:space="preserve">. </w:t>
      </w:r>
    </w:p>
    <w:p w14:paraId="782DAD31" w14:textId="77777777" w:rsidR="00834636" w:rsidRPr="009A1CF7" w:rsidRDefault="00834636" w:rsidP="009A1CF7">
      <w:pPr>
        <w:spacing w:after="0" w:line="276" w:lineRule="auto"/>
        <w:rPr>
          <w:rFonts w:ascii="Times New Roman" w:hAnsi="Times New Roman" w:cs="Times New Roman"/>
          <w:sz w:val="24"/>
          <w:szCs w:val="24"/>
          <w:highlight w:val="yellow"/>
        </w:rPr>
      </w:pPr>
    </w:p>
    <w:p w14:paraId="1602528B" w14:textId="0EF3712E" w:rsidR="009A1CF7" w:rsidRPr="00445406" w:rsidRDefault="00B55C67" w:rsidP="009A1CF7">
      <w:pPr>
        <w:spacing w:after="0" w:line="276" w:lineRule="auto"/>
        <w:rPr>
          <w:rFonts w:cstheme="minorHAnsi"/>
          <w:sz w:val="24"/>
          <w:szCs w:val="24"/>
        </w:rPr>
      </w:pPr>
      <w:r>
        <w:rPr>
          <w:rFonts w:ascii="ZWAdobeF" w:hAnsi="ZWAdobeF" w:cs="ZWAdobeF"/>
          <w:sz w:val="2"/>
          <w:szCs w:val="2"/>
        </w:rPr>
        <w:t>160B</w:t>
      </w:r>
      <w:r w:rsidR="009A1CF7" w:rsidRPr="00445406">
        <w:rPr>
          <w:rFonts w:cstheme="minorHAnsi"/>
          <w:sz w:val="24"/>
          <w:szCs w:val="24"/>
        </w:rPr>
        <w:t xml:space="preserve">To further explore </w:t>
      </w:r>
      <w:r w:rsidR="00445406" w:rsidRPr="00445406">
        <w:rPr>
          <w:rFonts w:cstheme="minorHAnsi"/>
          <w:sz w:val="24"/>
          <w:szCs w:val="24"/>
        </w:rPr>
        <w:t>state, regional, district and school-level practices</w:t>
      </w:r>
      <w:r w:rsidR="009A1CF7" w:rsidRPr="00445406">
        <w:rPr>
          <w:rFonts w:cstheme="minorHAnsi"/>
          <w:sz w:val="24"/>
          <w:szCs w:val="24"/>
        </w:rPr>
        <w:t xml:space="preserve"> that facilitate timely delivery, we obtained qualitative responses from interview participants and survey respondents. Interview participants were asked to describe factors that facilitate timely delivery of accessible materials. Survey respondents were given the opportunity to </w:t>
      </w:r>
      <w:r w:rsidR="00E07B73">
        <w:rPr>
          <w:rFonts w:cstheme="minorHAnsi"/>
          <w:sz w:val="24"/>
          <w:szCs w:val="24"/>
        </w:rPr>
        <w:t>suggest other</w:t>
      </w:r>
      <w:r w:rsidR="00E07B73" w:rsidRPr="00445406">
        <w:rPr>
          <w:rFonts w:cstheme="minorHAnsi"/>
          <w:sz w:val="24"/>
          <w:szCs w:val="24"/>
        </w:rPr>
        <w:t xml:space="preserve"> </w:t>
      </w:r>
      <w:r w:rsidR="009A1CF7" w:rsidRPr="00445406">
        <w:rPr>
          <w:rFonts w:cstheme="minorHAnsi"/>
          <w:sz w:val="24"/>
          <w:szCs w:val="24"/>
        </w:rPr>
        <w:t xml:space="preserve">factors and to explain their selections. </w:t>
      </w:r>
    </w:p>
    <w:p w14:paraId="72256B25" w14:textId="77777777" w:rsidR="009A1CF7" w:rsidRPr="009A1CF7" w:rsidRDefault="009A1CF7" w:rsidP="009A1CF7">
      <w:pPr>
        <w:spacing w:after="0" w:line="276" w:lineRule="auto"/>
        <w:rPr>
          <w:rFonts w:cstheme="minorHAnsi"/>
          <w:sz w:val="24"/>
          <w:szCs w:val="24"/>
          <w:highlight w:val="yellow"/>
        </w:rPr>
      </w:pPr>
    </w:p>
    <w:p w14:paraId="090712C7" w14:textId="197159D5" w:rsidR="002E33BA" w:rsidRDefault="00B55C67" w:rsidP="009A1CF7">
      <w:pPr>
        <w:spacing w:after="0" w:line="276" w:lineRule="auto"/>
        <w:rPr>
          <w:rFonts w:cstheme="minorHAnsi"/>
          <w:sz w:val="24"/>
          <w:szCs w:val="24"/>
        </w:rPr>
      </w:pPr>
      <w:r>
        <w:rPr>
          <w:rFonts w:ascii="ZWAdobeF" w:hAnsi="ZWAdobeF" w:cs="ZWAdobeF"/>
          <w:sz w:val="2"/>
          <w:szCs w:val="2"/>
        </w:rPr>
        <w:t>161B</w:t>
      </w:r>
      <w:r w:rsidR="009A1CF7" w:rsidRPr="00445406">
        <w:rPr>
          <w:rFonts w:cstheme="minorHAnsi"/>
          <w:sz w:val="24"/>
          <w:szCs w:val="24"/>
        </w:rPr>
        <w:t xml:space="preserve">Participants’ descriptions of the </w:t>
      </w:r>
      <w:r w:rsidR="00445406" w:rsidRPr="00445406">
        <w:rPr>
          <w:rFonts w:cstheme="minorHAnsi"/>
          <w:sz w:val="24"/>
          <w:szCs w:val="24"/>
        </w:rPr>
        <w:t>state, regional, district, and school-level practices</w:t>
      </w:r>
      <w:r w:rsidR="009A1CF7" w:rsidRPr="00445406">
        <w:rPr>
          <w:rFonts w:cstheme="minorHAnsi"/>
          <w:sz w:val="24"/>
          <w:szCs w:val="24"/>
        </w:rPr>
        <w:t xml:space="preserve"> that facilitate timely delivery are presented by theme in Table </w:t>
      </w:r>
      <w:r w:rsidR="006A6885">
        <w:rPr>
          <w:rFonts w:cstheme="minorHAnsi"/>
          <w:sz w:val="24"/>
          <w:szCs w:val="24"/>
        </w:rPr>
        <w:t>10</w:t>
      </w:r>
      <w:r w:rsidR="009A1CF7" w:rsidRPr="00445406">
        <w:rPr>
          <w:rFonts w:cstheme="minorHAnsi"/>
          <w:sz w:val="24"/>
          <w:szCs w:val="24"/>
        </w:rPr>
        <w:t>.</w:t>
      </w:r>
      <w:r w:rsidR="002E33BA">
        <w:rPr>
          <w:rFonts w:cstheme="minorHAnsi"/>
          <w:sz w:val="24"/>
          <w:szCs w:val="24"/>
        </w:rPr>
        <w:t xml:space="preserve"> </w:t>
      </w:r>
      <w:r w:rsidR="002B2C3D">
        <w:rPr>
          <w:rFonts w:cstheme="minorHAnsi"/>
          <w:sz w:val="24"/>
          <w:szCs w:val="24"/>
        </w:rPr>
        <w:t>Similar to production-related factors, t</w:t>
      </w:r>
      <w:r w:rsidR="00BC7B60">
        <w:rPr>
          <w:rFonts w:cstheme="minorHAnsi"/>
          <w:sz w:val="24"/>
          <w:szCs w:val="24"/>
        </w:rPr>
        <w:t xml:space="preserve">he most commonly described theme was </w:t>
      </w:r>
      <w:r w:rsidR="0053078B">
        <w:rPr>
          <w:rFonts w:cstheme="minorHAnsi"/>
          <w:sz w:val="24"/>
          <w:szCs w:val="24"/>
        </w:rPr>
        <w:t xml:space="preserve">not </w:t>
      </w:r>
      <w:r w:rsidR="002B2C3D">
        <w:rPr>
          <w:rFonts w:cstheme="minorHAnsi"/>
          <w:sz w:val="24"/>
          <w:szCs w:val="24"/>
        </w:rPr>
        <w:t xml:space="preserve">listed </w:t>
      </w:r>
      <w:r w:rsidR="0053078B">
        <w:rPr>
          <w:rFonts w:cstheme="minorHAnsi"/>
          <w:sz w:val="24"/>
          <w:szCs w:val="24"/>
        </w:rPr>
        <w:t xml:space="preserve">in the survey: </w:t>
      </w:r>
      <w:r w:rsidR="00734123">
        <w:rPr>
          <w:rFonts w:cstheme="minorHAnsi"/>
          <w:sz w:val="24"/>
          <w:szCs w:val="24"/>
        </w:rPr>
        <w:t>E</w:t>
      </w:r>
      <w:r w:rsidR="00BC7B60">
        <w:rPr>
          <w:rFonts w:cstheme="minorHAnsi"/>
          <w:sz w:val="24"/>
          <w:szCs w:val="24"/>
        </w:rPr>
        <w:t xml:space="preserve">ffective communication among relevant stakeholders (56 excerpts). This was followed by two themes that were </w:t>
      </w:r>
      <w:r w:rsidR="0053078B">
        <w:rPr>
          <w:rFonts w:cstheme="minorHAnsi"/>
          <w:sz w:val="24"/>
          <w:szCs w:val="24"/>
        </w:rPr>
        <w:t xml:space="preserve">consistent with </w:t>
      </w:r>
      <w:r w:rsidR="00BC7B60">
        <w:rPr>
          <w:rFonts w:cstheme="minorHAnsi"/>
          <w:sz w:val="24"/>
          <w:szCs w:val="24"/>
        </w:rPr>
        <w:t xml:space="preserve">the </w:t>
      </w:r>
      <w:r w:rsidR="002E33BA">
        <w:rPr>
          <w:rFonts w:cstheme="minorHAnsi"/>
          <w:sz w:val="24"/>
          <w:szCs w:val="24"/>
        </w:rPr>
        <w:t xml:space="preserve">most commonly endorsed practices </w:t>
      </w:r>
      <w:r w:rsidR="0053078B">
        <w:rPr>
          <w:rFonts w:cstheme="minorHAnsi"/>
          <w:sz w:val="24"/>
          <w:szCs w:val="24"/>
        </w:rPr>
        <w:t>presented i</w:t>
      </w:r>
      <w:r w:rsidR="002E33BA">
        <w:rPr>
          <w:rFonts w:cstheme="minorHAnsi"/>
          <w:sz w:val="24"/>
          <w:szCs w:val="24"/>
        </w:rPr>
        <w:t xml:space="preserve">n the survey: Requests for production made well in advance (41 excerpts) and a centralized workflow to process requests (22 excerpts). </w:t>
      </w:r>
      <w:r w:rsidR="001E3CD8">
        <w:rPr>
          <w:rFonts w:cstheme="minorHAnsi"/>
          <w:sz w:val="24"/>
          <w:szCs w:val="24"/>
        </w:rPr>
        <w:t>Six</w:t>
      </w:r>
      <w:r w:rsidR="002E33BA">
        <w:rPr>
          <w:rFonts w:cstheme="minorHAnsi"/>
          <w:sz w:val="24"/>
          <w:szCs w:val="24"/>
        </w:rPr>
        <w:t xml:space="preserve"> additional themes emerged from the qualitative data that were not presented in the survey: </w:t>
      </w:r>
      <w:r w:rsidR="00851C74">
        <w:rPr>
          <w:rFonts w:cstheme="minorHAnsi"/>
          <w:sz w:val="24"/>
          <w:szCs w:val="24"/>
        </w:rPr>
        <w:t>R</w:t>
      </w:r>
      <w:r w:rsidR="002E33BA">
        <w:rPr>
          <w:rFonts w:cstheme="minorHAnsi"/>
          <w:sz w:val="24"/>
          <w:szCs w:val="24"/>
        </w:rPr>
        <w:t>elying on teachers and support staff who have relevant experience (15 excerpts)</w:t>
      </w:r>
      <w:r w:rsidR="001E3CD8">
        <w:rPr>
          <w:rFonts w:cstheme="minorHAnsi"/>
          <w:sz w:val="24"/>
          <w:szCs w:val="24"/>
        </w:rPr>
        <w:t>,</w:t>
      </w:r>
      <w:r w:rsidR="002E33BA">
        <w:rPr>
          <w:rFonts w:cstheme="minorHAnsi"/>
          <w:sz w:val="24"/>
          <w:szCs w:val="24"/>
        </w:rPr>
        <w:t xml:space="preserve"> educating stakeholders (8 excerpts)</w:t>
      </w:r>
      <w:r w:rsidR="001E3CD8">
        <w:rPr>
          <w:rFonts w:cstheme="minorHAnsi"/>
          <w:sz w:val="24"/>
          <w:szCs w:val="24"/>
        </w:rPr>
        <w:t>, including special education professionals in curriculum purchasing decisions (3 excerpts), including assessment of accessibility in curriculum review (3 excerpts), and promoting accountability through parental involvement (3 excerpts).</w:t>
      </w:r>
    </w:p>
    <w:p w14:paraId="07205F82" w14:textId="77777777" w:rsidR="002E33BA" w:rsidRDefault="002E33BA" w:rsidP="009A1CF7">
      <w:pPr>
        <w:spacing w:after="0" w:line="276" w:lineRule="auto"/>
        <w:rPr>
          <w:rFonts w:cstheme="minorHAnsi"/>
          <w:sz w:val="24"/>
          <w:szCs w:val="24"/>
        </w:rPr>
      </w:pPr>
    </w:p>
    <w:p w14:paraId="3A809A85" w14:textId="26FDF9EE" w:rsidR="007B5610" w:rsidRDefault="00B55C67" w:rsidP="007B5610">
      <w:pPr>
        <w:spacing w:after="0"/>
      </w:pPr>
      <w:r>
        <w:rPr>
          <w:rFonts w:ascii="ZWAdobeF" w:hAnsi="ZWAdobeF" w:cs="ZWAdobeF"/>
          <w:sz w:val="2"/>
          <w:szCs w:val="2"/>
        </w:rPr>
        <w:t>162B</w:t>
      </w:r>
      <w:r w:rsidR="001E3CD8">
        <w:rPr>
          <w:rFonts w:cstheme="minorHAnsi"/>
          <w:sz w:val="24"/>
          <w:szCs w:val="24"/>
        </w:rPr>
        <w:t>One</w:t>
      </w:r>
      <w:r w:rsidR="00B814EE" w:rsidRPr="00B814EE">
        <w:rPr>
          <w:rFonts w:cstheme="minorHAnsi"/>
          <w:sz w:val="24"/>
          <w:szCs w:val="24"/>
        </w:rPr>
        <w:t xml:space="preserve"> additio</w:t>
      </w:r>
      <w:r w:rsidR="00B814EE">
        <w:rPr>
          <w:rFonts w:cstheme="minorHAnsi"/>
          <w:sz w:val="24"/>
          <w:szCs w:val="24"/>
        </w:rPr>
        <w:t xml:space="preserve">nal practice </w:t>
      </w:r>
      <w:r w:rsidR="001E3CD8">
        <w:rPr>
          <w:rFonts w:cstheme="minorHAnsi"/>
          <w:sz w:val="24"/>
          <w:szCs w:val="24"/>
        </w:rPr>
        <w:t xml:space="preserve">for facilitating timely delivery was described by two participants who </w:t>
      </w:r>
      <w:r w:rsidR="001E3CD8">
        <w:rPr>
          <w:rFonts w:ascii="Calibri" w:hAnsi="Calibri" w:cs="Calibri"/>
          <w:bCs/>
          <w:sz w:val="24"/>
          <w:szCs w:val="24"/>
        </w:rPr>
        <w:t>noted that sharing success stories helps spread awareness of the importance of timely delivery: “</w:t>
      </w:r>
      <w:r w:rsidR="001E3CD8" w:rsidRPr="00016A7A">
        <w:rPr>
          <w:rFonts w:ascii="Calibri" w:hAnsi="Calibri" w:cs="Calibri"/>
          <w:bCs/>
          <w:sz w:val="24"/>
          <w:szCs w:val="24"/>
        </w:rPr>
        <w:t>I think shouting out successes and having students talk about the difference that it made for them when they had what they needed</w:t>
      </w:r>
      <w:r w:rsidR="0053078B">
        <w:rPr>
          <w:rFonts w:ascii="Calibri" w:hAnsi="Calibri" w:cs="Calibri"/>
          <w:bCs/>
          <w:sz w:val="24"/>
          <w:szCs w:val="24"/>
        </w:rPr>
        <w:t xml:space="preserve"> is an effective strategy</w:t>
      </w:r>
      <w:r w:rsidR="005D4E4F">
        <w:rPr>
          <w:rFonts w:ascii="Calibri" w:hAnsi="Calibri" w:cs="Calibri"/>
          <w:bCs/>
          <w:sz w:val="24"/>
          <w:szCs w:val="24"/>
        </w:rPr>
        <w:t>.</w:t>
      </w:r>
      <w:r w:rsidR="001E3CD8">
        <w:rPr>
          <w:rFonts w:ascii="Calibri" w:hAnsi="Calibri" w:cs="Calibri"/>
          <w:bCs/>
          <w:sz w:val="24"/>
          <w:szCs w:val="24"/>
        </w:rPr>
        <w:t xml:space="preserve">” </w:t>
      </w:r>
    </w:p>
    <w:p w14:paraId="6AAD6914" w14:textId="77777777" w:rsidR="007B5610" w:rsidRPr="00B62392" w:rsidRDefault="007B5610" w:rsidP="007B5610">
      <w:pPr>
        <w:spacing w:after="0"/>
      </w:pPr>
    </w:p>
    <w:p w14:paraId="495C6156" w14:textId="5867CEA6" w:rsidR="009A1CF7" w:rsidRPr="00572C64" w:rsidRDefault="009A1CF7" w:rsidP="004946C3">
      <w:pPr>
        <w:pStyle w:val="Heading4"/>
      </w:pPr>
      <w:bookmarkStart w:id="50" w:name="_Toc222904013"/>
      <w:r w:rsidRPr="00445406">
        <w:t xml:space="preserve">Table </w:t>
      </w:r>
      <w:r w:rsidR="006A6885">
        <w:t>10</w:t>
      </w:r>
      <w:r w:rsidRPr="00445406">
        <w:t xml:space="preserve">. Qualitative Descriptions of </w:t>
      </w:r>
      <w:r w:rsidR="00445406" w:rsidRPr="00445406">
        <w:t>State, Regional, District, and School-Level Practices</w:t>
      </w:r>
      <w:r w:rsidRPr="00445406">
        <w:t xml:space="preserve"> that Fa</w:t>
      </w:r>
      <w:r w:rsidRPr="00572C64">
        <w:t>cilitate Timely Delivery</w:t>
      </w:r>
      <w:bookmarkEnd w:id="50"/>
    </w:p>
    <w:p w14:paraId="780EE9BE" w14:textId="2DC984F2" w:rsidR="009A1CF7" w:rsidRPr="00572C64" w:rsidRDefault="00B55C67" w:rsidP="009A1CF7">
      <w:pPr>
        <w:jc w:val="center"/>
        <w:rPr>
          <w:rFonts w:ascii="Calibri" w:hAnsi="Calibri" w:cs="Calibri"/>
        </w:rPr>
      </w:pPr>
      <w:r>
        <w:rPr>
          <w:rFonts w:ascii="ZWAdobeF" w:hAnsi="ZWAdobeF" w:cs="ZWAdobeF"/>
          <w:sz w:val="2"/>
          <w:szCs w:val="2"/>
        </w:rPr>
        <w:t>163</w:t>
      </w:r>
      <w:proofErr w:type="gramStart"/>
      <w:r>
        <w:rPr>
          <w:rFonts w:ascii="ZWAdobeF" w:hAnsi="ZWAdobeF" w:cs="ZWAdobeF"/>
          <w:sz w:val="2"/>
          <w:szCs w:val="2"/>
        </w:rPr>
        <w:t>B</w:t>
      </w:r>
      <w:r w:rsidR="009A1CF7" w:rsidRPr="00572C64">
        <w:rPr>
          <w:rFonts w:ascii="Calibri" w:hAnsi="Calibri" w:cs="Calibri"/>
        </w:rPr>
        <w:t>(</w:t>
      </w:r>
      <w:proofErr w:type="gramEnd"/>
      <w:r w:rsidR="00572C64" w:rsidRPr="00572C64">
        <w:rPr>
          <w:rFonts w:ascii="Calibri" w:hAnsi="Calibri" w:cs="Calibri"/>
        </w:rPr>
        <w:t>1</w:t>
      </w:r>
      <w:r w:rsidR="001E3CD8">
        <w:rPr>
          <w:rFonts w:ascii="Calibri" w:hAnsi="Calibri" w:cs="Calibri"/>
        </w:rPr>
        <w:t>45</w:t>
      </w:r>
      <w:r w:rsidR="00572C64" w:rsidRPr="00572C64">
        <w:rPr>
          <w:rFonts w:ascii="Calibri" w:hAnsi="Calibri" w:cs="Calibri"/>
        </w:rPr>
        <w:t xml:space="preserve"> </w:t>
      </w:r>
      <w:r w:rsidR="009A1CF7" w:rsidRPr="00572C64">
        <w:rPr>
          <w:rFonts w:ascii="Calibri" w:hAnsi="Calibri" w:cs="Calibri"/>
        </w:rPr>
        <w:t>excerpts)</w:t>
      </w:r>
    </w:p>
    <w:tbl>
      <w:tblPr>
        <w:tblStyle w:val="GridTable4"/>
        <w:tblW w:w="9355" w:type="dxa"/>
        <w:tblLook w:val="04A0" w:firstRow="1" w:lastRow="0" w:firstColumn="1" w:lastColumn="0" w:noHBand="0" w:noVBand="1"/>
        <w:tblCaption w:val="Table 9. Qualitative Descriptions of State, Regional, District, and School-Level Practices that Facilitate Timely Delivery"/>
      </w:tblPr>
      <w:tblGrid>
        <w:gridCol w:w="2425"/>
        <w:gridCol w:w="6930"/>
      </w:tblGrid>
      <w:tr w:rsidR="009A1CF7" w:rsidRPr="009A1CF7" w14:paraId="2E2B39E2" w14:textId="77777777" w:rsidTr="00FF38BD">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425" w:type="dxa"/>
            <w:shd w:val="clear" w:color="auto" w:fill="44546A" w:themeFill="text2"/>
            <w:vAlign w:val="center"/>
          </w:tcPr>
          <w:p w14:paraId="6F2A257E" w14:textId="7B44A895" w:rsidR="009A1CF7" w:rsidRPr="00445406" w:rsidRDefault="00FD76F2" w:rsidP="00193DCE">
            <w:pPr>
              <w:jc w:val="center"/>
              <w:rPr>
                <w:rFonts w:cstheme="minorHAnsi"/>
              </w:rPr>
            </w:pPr>
            <w:bookmarkStart w:id="51" w:name="_Hlk216005349"/>
            <w:r>
              <w:rPr>
                <w:rFonts w:cstheme="minorHAnsi"/>
              </w:rPr>
              <w:t>Multi-level Practices</w:t>
            </w:r>
            <w:r w:rsidR="009A1CF7" w:rsidRPr="00445406">
              <w:rPr>
                <w:rFonts w:cstheme="minorHAnsi"/>
              </w:rPr>
              <w:t xml:space="preserve"> that Facilitate Timely Delivery</w:t>
            </w:r>
          </w:p>
        </w:tc>
        <w:tc>
          <w:tcPr>
            <w:tcW w:w="6930" w:type="dxa"/>
            <w:shd w:val="clear" w:color="auto" w:fill="44546A" w:themeFill="text2"/>
            <w:vAlign w:val="center"/>
          </w:tcPr>
          <w:p w14:paraId="3EED3C33" w14:textId="77777777" w:rsidR="009A1CF7" w:rsidRPr="00445406" w:rsidRDefault="009A1CF7" w:rsidP="00193DCE">
            <w:pPr>
              <w:jc w:val="center"/>
              <w:cnfStyle w:val="100000000000" w:firstRow="1" w:lastRow="0" w:firstColumn="0" w:lastColumn="0" w:oddVBand="0" w:evenVBand="0" w:oddHBand="0" w:evenHBand="0" w:firstRowFirstColumn="0" w:firstRowLastColumn="0" w:lastRowFirstColumn="0" w:lastRowLastColumn="0"/>
              <w:rPr>
                <w:rFonts w:cstheme="minorHAnsi"/>
              </w:rPr>
            </w:pPr>
            <w:r w:rsidRPr="00445406">
              <w:rPr>
                <w:rFonts w:cstheme="minorHAnsi"/>
              </w:rPr>
              <w:t>Representative Quotations</w:t>
            </w:r>
          </w:p>
        </w:tc>
      </w:tr>
      <w:tr w:rsidR="009A1CF7" w:rsidRPr="009A1CF7" w14:paraId="6D0432D3" w14:textId="77777777" w:rsidTr="00C74310">
        <w:trPr>
          <w:cnfStyle w:val="000000100000" w:firstRow="0" w:lastRow="0" w:firstColumn="0" w:lastColumn="0" w:oddVBand="0" w:evenVBand="0" w:oddHBand="1" w:evenHBand="0" w:firstRowFirstColumn="0" w:firstRowLastColumn="0" w:lastRowFirstColumn="0" w:lastRowLastColumn="0"/>
          <w:trHeight w:val="1223"/>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4B586646" w14:textId="4BEFDE85" w:rsidR="009A1CF7" w:rsidRPr="00445406" w:rsidRDefault="00445406" w:rsidP="00193DCE">
            <w:pPr>
              <w:rPr>
                <w:rFonts w:cstheme="minorHAnsi"/>
              </w:rPr>
            </w:pPr>
            <w:bookmarkStart w:id="52" w:name="_Hlk215839719"/>
            <w:r>
              <w:rPr>
                <w:rFonts w:cstheme="minorHAnsi"/>
              </w:rPr>
              <w:t>Effective communication among relevant stakeholders (56)</w:t>
            </w:r>
          </w:p>
        </w:tc>
        <w:tc>
          <w:tcPr>
            <w:tcW w:w="6930" w:type="dxa"/>
            <w:shd w:val="clear" w:color="auto" w:fill="D9E2F3"/>
          </w:tcPr>
          <w:p w14:paraId="195856BC" w14:textId="08C03CCB" w:rsidR="009A1CF7" w:rsidRPr="00445406" w:rsidRDefault="00E3544B" w:rsidP="00193DCE">
            <w:pPr>
              <w:cnfStyle w:val="000000100000" w:firstRow="0" w:lastRow="0" w:firstColumn="0" w:lastColumn="0" w:oddVBand="0" w:evenVBand="0" w:oddHBand="1" w:evenHBand="0" w:firstRowFirstColumn="0" w:firstRowLastColumn="0" w:lastRowFirstColumn="0" w:lastRowLastColumn="0"/>
            </w:pPr>
            <w:r>
              <w:t>W</w:t>
            </w:r>
            <w:r w:rsidR="00BC7B60" w:rsidRPr="00BC7B60">
              <w:t>hen teachers co-plan together</w:t>
            </w:r>
            <w:r>
              <w:t xml:space="preserve">, like </w:t>
            </w:r>
            <w:r w:rsidR="00BC7B60" w:rsidRPr="00BC7B60">
              <w:t>if there's a T</w:t>
            </w:r>
            <w:r w:rsidR="005B11E2">
              <w:t>V</w:t>
            </w:r>
            <w:r w:rsidR="00BC7B60" w:rsidRPr="00BC7B60">
              <w:t>I co-planning a lesson with a science teacher, then what they need is known ahead of time, which gives them enough time to request and then have that material available ahead of time.</w:t>
            </w:r>
            <w:r w:rsidR="00BC7B60">
              <w:t xml:space="preserve"> (OH)</w:t>
            </w:r>
          </w:p>
        </w:tc>
      </w:tr>
      <w:tr w:rsidR="00BC7B60" w:rsidRPr="009A1CF7" w14:paraId="6CA2F550" w14:textId="77777777" w:rsidTr="00FF38BD">
        <w:trPr>
          <w:trHeight w:val="34"/>
        </w:trPr>
        <w:tc>
          <w:tcPr>
            <w:cnfStyle w:val="001000000000" w:firstRow="0" w:lastRow="0" w:firstColumn="1" w:lastColumn="0" w:oddVBand="0" w:evenVBand="0" w:oddHBand="0" w:evenHBand="0" w:firstRowFirstColumn="0" w:firstRowLastColumn="0" w:lastRowFirstColumn="0" w:lastRowLastColumn="0"/>
            <w:tcW w:w="2425" w:type="dxa"/>
          </w:tcPr>
          <w:p w14:paraId="717CE93F" w14:textId="77777777" w:rsidR="00BC7B60" w:rsidRDefault="00BC7B60" w:rsidP="00193DCE">
            <w:pPr>
              <w:rPr>
                <w:rFonts w:cstheme="minorHAnsi"/>
              </w:rPr>
            </w:pPr>
          </w:p>
        </w:tc>
        <w:tc>
          <w:tcPr>
            <w:tcW w:w="6930" w:type="dxa"/>
          </w:tcPr>
          <w:p w14:paraId="600CF86A" w14:textId="13AE0E44" w:rsidR="00BC7B60" w:rsidRPr="00BC7B60" w:rsidRDefault="00F4329D" w:rsidP="00193DCE">
            <w:pPr>
              <w:cnfStyle w:val="000000000000" w:firstRow="0" w:lastRow="0" w:firstColumn="0" w:lastColumn="0" w:oddVBand="0" w:evenVBand="0" w:oddHBand="0" w:evenHBand="0" w:firstRowFirstColumn="0" w:firstRowLastColumn="0" w:lastRowFirstColumn="0" w:lastRowLastColumn="0"/>
            </w:pPr>
            <w:r w:rsidRPr="00F4329D">
              <w:t xml:space="preserve">I know </w:t>
            </w:r>
            <w:r>
              <w:t xml:space="preserve">the Instructional Resource Center </w:t>
            </w:r>
            <w:r w:rsidRPr="00F4329D">
              <w:t>does a good job pushing out</w:t>
            </w:r>
            <w:r w:rsidR="00DC64E7">
              <w:t xml:space="preserve"> requests: </w:t>
            </w:r>
            <w:r>
              <w:t>“I</w:t>
            </w:r>
            <w:r w:rsidRPr="00F4329D">
              <w:t>f you are planning for a student next year, please send us your requests.</w:t>
            </w:r>
            <w:r>
              <w:t>”</w:t>
            </w:r>
            <w:r w:rsidRPr="00F4329D">
              <w:t xml:space="preserve"> </w:t>
            </w:r>
            <w:r>
              <w:t>(OH)</w:t>
            </w:r>
          </w:p>
        </w:tc>
      </w:tr>
      <w:tr w:rsidR="00BC7B60" w:rsidRPr="009A1CF7" w14:paraId="726B1F1F" w14:textId="77777777" w:rsidTr="00C74310">
        <w:trPr>
          <w:cnfStyle w:val="000000100000" w:firstRow="0" w:lastRow="0" w:firstColumn="0" w:lastColumn="0" w:oddVBand="0" w:evenVBand="0" w:oddHBand="1" w:evenHBand="0" w:firstRowFirstColumn="0" w:firstRowLastColumn="0" w:lastRowFirstColumn="0" w:lastRowLastColumn="0"/>
          <w:trHeight w:val="34"/>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546FC82F" w14:textId="77777777" w:rsidR="00BC7B60" w:rsidRDefault="00BC7B60" w:rsidP="00193DCE">
            <w:pPr>
              <w:rPr>
                <w:rFonts w:cstheme="minorHAnsi"/>
              </w:rPr>
            </w:pPr>
          </w:p>
        </w:tc>
        <w:tc>
          <w:tcPr>
            <w:tcW w:w="6930" w:type="dxa"/>
            <w:shd w:val="clear" w:color="auto" w:fill="D9E2F3"/>
          </w:tcPr>
          <w:p w14:paraId="5F5F9F32" w14:textId="6FA8B218" w:rsidR="00BC7B60" w:rsidRPr="00BC7B60" w:rsidRDefault="00F4329D" w:rsidP="00193DCE">
            <w:pPr>
              <w:cnfStyle w:val="000000100000" w:firstRow="0" w:lastRow="0" w:firstColumn="0" w:lastColumn="0" w:oddVBand="0" w:evenVBand="0" w:oddHBand="1" w:evenHBand="0" w:firstRowFirstColumn="0" w:firstRowLastColumn="0" w:lastRowFirstColumn="0" w:lastRowLastColumn="0"/>
            </w:pPr>
            <w:r w:rsidRPr="00F4329D">
              <w:t xml:space="preserve">Let’s just say a new student moves into a district. I don't expect teachers to know </w:t>
            </w:r>
            <w:r>
              <w:t>about accessibility</w:t>
            </w:r>
            <w:r w:rsidR="00DC64E7">
              <w:t xml:space="preserve"> needs</w:t>
            </w:r>
            <w:r w:rsidRPr="00F4329D">
              <w:t>, and I don't expect administrators to know. But that's my role. I need to be working with that administrator. I need to be working with that teacher. And that's why I always tell teachers, number one, the consultative support piece of my IEP is so important. That's where I get to have that collaboration with those people.</w:t>
            </w:r>
            <w:r>
              <w:t xml:space="preserve"> (OH)</w:t>
            </w:r>
          </w:p>
        </w:tc>
      </w:tr>
      <w:tr w:rsidR="00BC7B60" w:rsidRPr="009A1CF7" w14:paraId="1F4B60FD" w14:textId="77777777" w:rsidTr="00FF38BD">
        <w:trPr>
          <w:trHeight w:val="34"/>
        </w:trPr>
        <w:tc>
          <w:tcPr>
            <w:cnfStyle w:val="001000000000" w:firstRow="0" w:lastRow="0" w:firstColumn="1" w:lastColumn="0" w:oddVBand="0" w:evenVBand="0" w:oddHBand="0" w:evenHBand="0" w:firstRowFirstColumn="0" w:firstRowLastColumn="0" w:lastRowFirstColumn="0" w:lastRowLastColumn="0"/>
            <w:tcW w:w="2425" w:type="dxa"/>
          </w:tcPr>
          <w:p w14:paraId="4298A5A5" w14:textId="77777777" w:rsidR="00BC7B60" w:rsidRDefault="00BC7B60" w:rsidP="00193DCE">
            <w:pPr>
              <w:rPr>
                <w:rFonts w:cstheme="minorHAnsi"/>
              </w:rPr>
            </w:pPr>
          </w:p>
        </w:tc>
        <w:tc>
          <w:tcPr>
            <w:tcW w:w="6930" w:type="dxa"/>
          </w:tcPr>
          <w:p w14:paraId="751770B2" w14:textId="45D3D32E" w:rsidR="00BC7B60" w:rsidRPr="00BC7B60" w:rsidRDefault="00F4329D" w:rsidP="00193DCE">
            <w:pPr>
              <w:cnfStyle w:val="000000000000" w:firstRow="0" w:lastRow="0" w:firstColumn="0" w:lastColumn="0" w:oddVBand="0" w:evenVBand="0" w:oddHBand="0" w:evenHBand="0" w:firstRowFirstColumn="0" w:firstRowLastColumn="0" w:lastRowFirstColumn="0" w:lastRowLastColumn="0"/>
            </w:pPr>
            <w:r w:rsidRPr="00F4329D">
              <w:t xml:space="preserve">I think collaboration is huge. Being able to know what's needed so you can request it and get it made into an accessible format </w:t>
            </w:r>
            <w:r w:rsidR="00DC64E7">
              <w:t>o</w:t>
            </w:r>
            <w:r w:rsidRPr="00F4329D">
              <w:t>n time</w:t>
            </w:r>
            <w:r w:rsidR="00DC64E7">
              <w:t>. If</w:t>
            </w:r>
            <w:r w:rsidRPr="00F4329D">
              <w:t xml:space="preserve"> there's really good collaboration, whether at a district level sharing out textbook series or books they're going to us</w:t>
            </w:r>
            <w:r w:rsidR="00DC64E7">
              <w:t>e,</w:t>
            </w:r>
            <w:r w:rsidRPr="00F4329D">
              <w:t xml:space="preserve"> or </w:t>
            </w:r>
            <w:r w:rsidR="00DC64E7">
              <w:t xml:space="preserve">at </w:t>
            </w:r>
            <w:r w:rsidRPr="00F4329D">
              <w:t>teacher</w:t>
            </w:r>
            <w:r w:rsidR="00DC64E7">
              <w:t>-</w:t>
            </w:r>
            <w:r w:rsidRPr="00F4329D">
              <w:t>to</w:t>
            </w:r>
            <w:r w:rsidR="00DC64E7">
              <w:t>-</w:t>
            </w:r>
            <w:r w:rsidRPr="00F4329D">
              <w:t xml:space="preserve"> teacher</w:t>
            </w:r>
            <w:r w:rsidR="00DC64E7">
              <w:t xml:space="preserve"> level. </w:t>
            </w:r>
            <w:r>
              <w:t>(OH)</w:t>
            </w:r>
          </w:p>
        </w:tc>
      </w:tr>
      <w:tr w:rsidR="00BC7B60" w:rsidRPr="009A1CF7" w14:paraId="4542D42E" w14:textId="77777777" w:rsidTr="00C74310">
        <w:trPr>
          <w:cnfStyle w:val="000000100000" w:firstRow="0" w:lastRow="0" w:firstColumn="0" w:lastColumn="0" w:oddVBand="0" w:evenVBand="0" w:oddHBand="1" w:evenHBand="0" w:firstRowFirstColumn="0" w:firstRowLastColumn="0" w:lastRowFirstColumn="0" w:lastRowLastColumn="0"/>
          <w:trHeight w:val="34"/>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300E34C5" w14:textId="77777777" w:rsidR="00BC7B60" w:rsidRDefault="00BC7B60" w:rsidP="00193DCE">
            <w:pPr>
              <w:rPr>
                <w:rFonts w:cstheme="minorHAnsi"/>
              </w:rPr>
            </w:pPr>
          </w:p>
        </w:tc>
        <w:tc>
          <w:tcPr>
            <w:tcW w:w="6930" w:type="dxa"/>
            <w:shd w:val="clear" w:color="auto" w:fill="D9E2F3"/>
          </w:tcPr>
          <w:p w14:paraId="2C0B36D2" w14:textId="3355CE75" w:rsidR="00BC7B60" w:rsidRPr="00BC7B60" w:rsidRDefault="00F72259" w:rsidP="00193DCE">
            <w:pPr>
              <w:cnfStyle w:val="000000100000" w:firstRow="0" w:lastRow="0" w:firstColumn="0" w:lastColumn="0" w:oddVBand="0" w:evenVBand="0" w:oddHBand="1" w:evenHBand="0" w:firstRowFirstColumn="0" w:firstRowLastColumn="0" w:lastRowFirstColumn="0" w:lastRowLastColumn="0"/>
            </w:pPr>
            <w:r w:rsidRPr="00F72259">
              <w:t>We</w:t>
            </w:r>
            <w:r>
              <w:t xml:space="preserve"> </w:t>
            </w:r>
            <w:r w:rsidR="00A85189">
              <w:t>at</w:t>
            </w:r>
            <w:r>
              <w:t xml:space="preserve"> Instructional Resource Center</w:t>
            </w:r>
            <w:r w:rsidR="00A85189">
              <w:t xml:space="preserve"> </w:t>
            </w:r>
            <w:r w:rsidRPr="00F72259">
              <w:t xml:space="preserve">have good support from the state. </w:t>
            </w:r>
            <w:r w:rsidR="00A85189">
              <w:t>T</w:t>
            </w:r>
            <w:r w:rsidRPr="00F72259">
              <w:t xml:space="preserve">hey send out our information </w:t>
            </w:r>
            <w:r>
              <w:t xml:space="preserve">about accessible formats </w:t>
            </w:r>
            <w:r w:rsidRPr="00F72259">
              <w:t>through their e-blast. So, we do try different avenues to get the word out that we are around to support. So</w:t>
            </w:r>
            <w:r w:rsidR="00A85189">
              <w:t>,</w:t>
            </w:r>
            <w:r w:rsidRPr="00F72259">
              <w:t xml:space="preserve"> I do think our information's being spread through different areas, but we're always on the hunt to reach more.</w:t>
            </w:r>
            <w:r>
              <w:t xml:space="preserve"> (OH)</w:t>
            </w:r>
          </w:p>
        </w:tc>
      </w:tr>
      <w:tr w:rsidR="00BC7B60" w:rsidRPr="009A1CF7" w14:paraId="3F1B0374" w14:textId="77777777" w:rsidTr="00FF38BD">
        <w:trPr>
          <w:trHeight w:val="34"/>
        </w:trPr>
        <w:tc>
          <w:tcPr>
            <w:cnfStyle w:val="001000000000" w:firstRow="0" w:lastRow="0" w:firstColumn="1" w:lastColumn="0" w:oddVBand="0" w:evenVBand="0" w:oddHBand="0" w:evenHBand="0" w:firstRowFirstColumn="0" w:firstRowLastColumn="0" w:lastRowFirstColumn="0" w:lastRowLastColumn="0"/>
            <w:tcW w:w="2425" w:type="dxa"/>
          </w:tcPr>
          <w:p w14:paraId="2517D89D" w14:textId="77777777" w:rsidR="00BC7B60" w:rsidRDefault="00BC7B60" w:rsidP="00193DCE">
            <w:pPr>
              <w:rPr>
                <w:rFonts w:cstheme="minorHAnsi"/>
              </w:rPr>
            </w:pPr>
          </w:p>
        </w:tc>
        <w:tc>
          <w:tcPr>
            <w:tcW w:w="6930" w:type="dxa"/>
          </w:tcPr>
          <w:p w14:paraId="1EDDD402" w14:textId="78A3D745" w:rsidR="00BC7B60" w:rsidRPr="00BC7B60" w:rsidRDefault="00F72259" w:rsidP="00193DCE">
            <w:pPr>
              <w:cnfStyle w:val="000000000000" w:firstRow="0" w:lastRow="0" w:firstColumn="0" w:lastColumn="0" w:oddVBand="0" w:evenVBand="0" w:oddHBand="0" w:evenHBand="0" w:firstRowFirstColumn="0" w:firstRowLastColumn="0" w:lastRowFirstColumn="0" w:lastRowLastColumn="0"/>
            </w:pPr>
            <w:r>
              <w:t>H</w:t>
            </w:r>
            <w:r w:rsidRPr="00F72259">
              <w:t xml:space="preserve">aving </w:t>
            </w:r>
            <w:proofErr w:type="gramStart"/>
            <w:r w:rsidRPr="00F72259">
              <w:t>time built</w:t>
            </w:r>
            <w:proofErr w:type="gramEnd"/>
            <w:r w:rsidRPr="00F72259">
              <w:t xml:space="preserve"> in your schedule</w:t>
            </w:r>
            <w:r>
              <w:t xml:space="preserve"> </w:t>
            </w:r>
            <w:r w:rsidRPr="00F72259">
              <w:t>to communicate with the teachers and actually have the time to plan together and talk about students.</w:t>
            </w:r>
            <w:r>
              <w:t xml:space="preserve"> (OH)</w:t>
            </w:r>
          </w:p>
        </w:tc>
      </w:tr>
      <w:tr w:rsidR="00BC7B60" w:rsidRPr="009A1CF7" w14:paraId="5BCE6C28" w14:textId="77777777" w:rsidTr="00C74310">
        <w:trPr>
          <w:cnfStyle w:val="000000100000" w:firstRow="0" w:lastRow="0" w:firstColumn="0" w:lastColumn="0" w:oddVBand="0" w:evenVBand="0" w:oddHBand="1" w:evenHBand="0" w:firstRowFirstColumn="0" w:firstRowLastColumn="0" w:lastRowFirstColumn="0" w:lastRowLastColumn="0"/>
          <w:trHeight w:val="34"/>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72DDCE96" w14:textId="77777777" w:rsidR="00BC7B60" w:rsidRDefault="00BC7B60" w:rsidP="00193DCE">
            <w:pPr>
              <w:rPr>
                <w:rFonts w:cstheme="minorHAnsi"/>
              </w:rPr>
            </w:pPr>
          </w:p>
        </w:tc>
        <w:tc>
          <w:tcPr>
            <w:tcW w:w="6930" w:type="dxa"/>
            <w:shd w:val="clear" w:color="auto" w:fill="D9E2F3"/>
          </w:tcPr>
          <w:p w14:paraId="424B3F76" w14:textId="047916F9" w:rsidR="00BC7B60" w:rsidRPr="00BC7B60" w:rsidRDefault="00F72259" w:rsidP="00193DCE">
            <w:pPr>
              <w:cnfStyle w:val="000000100000" w:firstRow="0" w:lastRow="0" w:firstColumn="0" w:lastColumn="0" w:oddVBand="0" w:evenVBand="0" w:oddHBand="1" w:evenHBand="0" w:firstRowFirstColumn="0" w:firstRowLastColumn="0" w:lastRowFirstColumn="0" w:lastRowLastColumn="0"/>
            </w:pPr>
            <w:r>
              <w:t>I</w:t>
            </w:r>
            <w:r w:rsidRPr="00F72259">
              <w:t xml:space="preserve">t takes a massive coordination effort and </w:t>
            </w:r>
            <w:r>
              <w:t>lots</w:t>
            </w:r>
            <w:r w:rsidRPr="00F72259">
              <w:t xml:space="preserve"> of communication between the teachers and the staff and the school</w:t>
            </w:r>
            <w:r w:rsidR="00EB4634">
              <w:t>.</w:t>
            </w:r>
            <w:r>
              <w:t xml:space="preserve"> (OR)</w:t>
            </w:r>
          </w:p>
        </w:tc>
      </w:tr>
      <w:tr w:rsidR="00BC7B60" w:rsidRPr="009A1CF7" w14:paraId="4EFA2902" w14:textId="77777777" w:rsidTr="00FF38BD">
        <w:trPr>
          <w:trHeight w:val="34"/>
        </w:trPr>
        <w:tc>
          <w:tcPr>
            <w:cnfStyle w:val="001000000000" w:firstRow="0" w:lastRow="0" w:firstColumn="1" w:lastColumn="0" w:oddVBand="0" w:evenVBand="0" w:oddHBand="0" w:evenHBand="0" w:firstRowFirstColumn="0" w:firstRowLastColumn="0" w:lastRowFirstColumn="0" w:lastRowLastColumn="0"/>
            <w:tcW w:w="2425" w:type="dxa"/>
          </w:tcPr>
          <w:p w14:paraId="3B539F5A" w14:textId="77777777" w:rsidR="00BC7B60" w:rsidRDefault="00BC7B60" w:rsidP="00193DCE">
            <w:pPr>
              <w:rPr>
                <w:rFonts w:cstheme="minorHAnsi"/>
              </w:rPr>
            </w:pPr>
          </w:p>
        </w:tc>
        <w:tc>
          <w:tcPr>
            <w:tcW w:w="6930" w:type="dxa"/>
          </w:tcPr>
          <w:p w14:paraId="12151CAF" w14:textId="00C367DD" w:rsidR="00BC7B60" w:rsidRPr="00BC7B60" w:rsidRDefault="00EB4634" w:rsidP="00193DCE">
            <w:pPr>
              <w:cnfStyle w:val="000000000000" w:firstRow="0" w:lastRow="0" w:firstColumn="0" w:lastColumn="0" w:oddVBand="0" w:evenVBand="0" w:oddHBand="0" w:evenHBand="0" w:firstRowFirstColumn="0" w:firstRowLastColumn="0" w:lastRowFirstColumn="0" w:lastRowLastColumn="0"/>
            </w:pPr>
            <w:r>
              <w:t>If</w:t>
            </w:r>
            <w:r w:rsidR="00F72259" w:rsidRPr="00F72259">
              <w:t xml:space="preserve"> </w:t>
            </w:r>
            <w:r w:rsidR="00F72259">
              <w:t>publishers are</w:t>
            </w:r>
            <w:r w:rsidR="00F72259" w:rsidRPr="00F72259">
              <w:t xml:space="preserve"> open and understand the urgency we're working with </w:t>
            </w:r>
            <w:r>
              <w:t xml:space="preserve">and </w:t>
            </w:r>
            <w:r w:rsidR="00F72259" w:rsidRPr="00F72259">
              <w:t>how long the process takes</w:t>
            </w:r>
            <w:r>
              <w:t xml:space="preserve">, </w:t>
            </w:r>
            <w:r w:rsidR="00F72259" w:rsidRPr="00F72259">
              <w:t>th</w:t>
            </w:r>
            <w:r>
              <w:t>e</w:t>
            </w:r>
            <w:r w:rsidR="00F72259" w:rsidRPr="00F72259">
              <w:t xml:space="preserve"> open dialogue </w:t>
            </w:r>
            <w:r>
              <w:t>can be</w:t>
            </w:r>
            <w:r w:rsidR="00F72259">
              <w:t xml:space="preserve"> a</w:t>
            </w:r>
            <w:r w:rsidR="00F72259" w:rsidRPr="00F72259">
              <w:t xml:space="preserve"> huge help.</w:t>
            </w:r>
            <w:r w:rsidR="00F72259">
              <w:t xml:space="preserve"> (UT)</w:t>
            </w:r>
          </w:p>
        </w:tc>
      </w:tr>
      <w:tr w:rsidR="00BC7B60" w:rsidRPr="009A1CF7" w14:paraId="12C330E5" w14:textId="77777777" w:rsidTr="00C74310">
        <w:trPr>
          <w:cnfStyle w:val="000000100000" w:firstRow="0" w:lastRow="0" w:firstColumn="0" w:lastColumn="0" w:oddVBand="0" w:evenVBand="0" w:oddHBand="1" w:evenHBand="0" w:firstRowFirstColumn="0" w:firstRowLastColumn="0" w:lastRowFirstColumn="0" w:lastRowLastColumn="0"/>
          <w:trHeight w:val="34"/>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44D79C31" w14:textId="77777777" w:rsidR="00BC7B60" w:rsidRDefault="00BC7B60" w:rsidP="00193DCE">
            <w:pPr>
              <w:rPr>
                <w:rFonts w:cstheme="minorHAnsi"/>
              </w:rPr>
            </w:pPr>
          </w:p>
        </w:tc>
        <w:tc>
          <w:tcPr>
            <w:tcW w:w="6930" w:type="dxa"/>
            <w:shd w:val="clear" w:color="auto" w:fill="D9E2F3"/>
          </w:tcPr>
          <w:p w14:paraId="1E8FEEA7" w14:textId="74D32B3B" w:rsidR="00BC7B60" w:rsidRPr="00BC7B60" w:rsidRDefault="00EB4634" w:rsidP="00193DCE">
            <w:pPr>
              <w:tabs>
                <w:tab w:val="left" w:pos="2335"/>
              </w:tabs>
              <w:cnfStyle w:val="000000100000" w:firstRow="0" w:lastRow="0" w:firstColumn="0" w:lastColumn="0" w:oddVBand="0" w:evenVBand="0" w:oddHBand="1" w:evenHBand="0" w:firstRowFirstColumn="0" w:firstRowLastColumn="0" w:lastRowFirstColumn="0" w:lastRowLastColumn="0"/>
            </w:pPr>
            <w:r>
              <w:t>P</w:t>
            </w:r>
            <w:r w:rsidR="00F72259" w:rsidRPr="00F72259">
              <w:t xml:space="preserve">utting out </w:t>
            </w:r>
            <w:r w:rsidR="00F72259">
              <w:t>information about accessible formats</w:t>
            </w:r>
            <w:r>
              <w:t xml:space="preserve"> </w:t>
            </w:r>
            <w:r w:rsidR="00F72259" w:rsidRPr="00F72259">
              <w:t>in the special education newsletter or in trainings for curriculum directors is helpful. A lot of times they have a lot of other stuff on their plate</w:t>
            </w:r>
            <w:r>
              <w:t>.</w:t>
            </w:r>
            <w:r w:rsidR="00F72259" w:rsidRPr="00F72259">
              <w:t xml:space="preserve"> But if we keep bringing it to the top of the pile, I think that would help.</w:t>
            </w:r>
            <w:r w:rsidR="00F72259">
              <w:t xml:space="preserve"> (UT)</w:t>
            </w:r>
          </w:p>
        </w:tc>
      </w:tr>
      <w:tr w:rsidR="00BC7B60" w:rsidRPr="009A1CF7" w14:paraId="058F5054" w14:textId="77777777" w:rsidTr="00FF38BD">
        <w:trPr>
          <w:trHeight w:val="34"/>
        </w:trPr>
        <w:tc>
          <w:tcPr>
            <w:cnfStyle w:val="001000000000" w:firstRow="0" w:lastRow="0" w:firstColumn="1" w:lastColumn="0" w:oddVBand="0" w:evenVBand="0" w:oddHBand="0" w:evenHBand="0" w:firstRowFirstColumn="0" w:firstRowLastColumn="0" w:lastRowFirstColumn="0" w:lastRowLastColumn="0"/>
            <w:tcW w:w="2425" w:type="dxa"/>
          </w:tcPr>
          <w:p w14:paraId="3D14365A" w14:textId="77777777" w:rsidR="00BC7B60" w:rsidRDefault="00BC7B60" w:rsidP="00193DCE">
            <w:pPr>
              <w:rPr>
                <w:rFonts w:cstheme="minorHAnsi"/>
              </w:rPr>
            </w:pPr>
          </w:p>
        </w:tc>
        <w:tc>
          <w:tcPr>
            <w:tcW w:w="6930" w:type="dxa"/>
          </w:tcPr>
          <w:p w14:paraId="4B75E998" w14:textId="2BA0D6D4" w:rsidR="00BC7B60" w:rsidRPr="00BC7B60" w:rsidRDefault="00507830" w:rsidP="00193DCE">
            <w:pPr>
              <w:cnfStyle w:val="000000000000" w:firstRow="0" w:lastRow="0" w:firstColumn="0" w:lastColumn="0" w:oddVBand="0" w:evenVBand="0" w:oddHBand="0" w:evenHBand="0" w:firstRowFirstColumn="0" w:firstRowLastColumn="0" w:lastRowFirstColumn="0" w:lastRowLastColumn="0"/>
            </w:pPr>
            <w:r w:rsidRPr="00507830">
              <w:t>I think it's just communication, collaboration, cooperation. It's all hands on deck</w:t>
            </w:r>
            <w:r w:rsidR="00840447">
              <w:t xml:space="preserve">. As </w:t>
            </w:r>
            <w:r w:rsidRPr="00507830">
              <w:t xml:space="preserve">soon as you have a new student, you share as much information as possible with the school district in Massachusetts. And we're an open territory state, meaning that a district picks and chooses whatever they want as long as it backs into the curriculum framework set forth by the </w:t>
            </w:r>
            <w:r>
              <w:t>D</w:t>
            </w:r>
            <w:r w:rsidRPr="00507830">
              <w:t>epartment of Ed</w:t>
            </w:r>
            <w:r w:rsidR="00840447">
              <w:t>. W</w:t>
            </w:r>
            <w:r w:rsidRPr="00507830">
              <w:t>e just share the information and hope that they're coordinating on their end. We can't overstep. It's their choice. We're an optional resource.</w:t>
            </w:r>
            <w:r>
              <w:t xml:space="preserve"> (MA)</w:t>
            </w:r>
          </w:p>
        </w:tc>
      </w:tr>
      <w:tr w:rsidR="00BC7B60" w:rsidRPr="009A1CF7" w14:paraId="665EA312" w14:textId="77777777" w:rsidTr="00C74310">
        <w:trPr>
          <w:cnfStyle w:val="000000100000" w:firstRow="0" w:lastRow="0" w:firstColumn="0" w:lastColumn="0" w:oddVBand="0" w:evenVBand="0" w:oddHBand="1" w:evenHBand="0" w:firstRowFirstColumn="0" w:firstRowLastColumn="0" w:lastRowFirstColumn="0" w:lastRowLastColumn="0"/>
          <w:trHeight w:val="34"/>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16E93DAD" w14:textId="77777777" w:rsidR="00BC7B60" w:rsidRDefault="00BC7B60" w:rsidP="00193DCE">
            <w:pPr>
              <w:rPr>
                <w:rFonts w:cstheme="minorHAnsi"/>
              </w:rPr>
            </w:pPr>
          </w:p>
        </w:tc>
        <w:tc>
          <w:tcPr>
            <w:tcW w:w="6930" w:type="dxa"/>
            <w:shd w:val="clear" w:color="auto" w:fill="D9E2F3"/>
          </w:tcPr>
          <w:p w14:paraId="0CEFCB80" w14:textId="71B9C2AD" w:rsidR="00BC7B60" w:rsidRPr="00BC7B60" w:rsidRDefault="00507830" w:rsidP="00193DCE">
            <w:pPr>
              <w:cnfStyle w:val="000000100000" w:firstRow="0" w:lastRow="0" w:firstColumn="0" w:lastColumn="0" w:oddVBand="0" w:evenVBand="0" w:oddHBand="1" w:evenHBand="0" w:firstRowFirstColumn="0" w:firstRowLastColumn="0" w:lastRowFirstColumn="0" w:lastRowLastColumn="0"/>
            </w:pPr>
            <w:r w:rsidRPr="00507830">
              <w:t>In Oklahoma, I sen</w:t>
            </w:r>
            <w:r w:rsidR="00840447">
              <w:t>d</w:t>
            </w:r>
            <w:r w:rsidRPr="00507830">
              <w:t xml:space="preserve"> an email to all of our T</w:t>
            </w:r>
            <w:r w:rsidR="005B11E2">
              <w:t>V</w:t>
            </w:r>
            <w:r w:rsidRPr="00507830">
              <w:t>Is in March reminding them that we need orders for the following school year</w:t>
            </w:r>
            <w:r w:rsidR="00840447">
              <w:t>. That</w:t>
            </w:r>
            <w:r w:rsidRPr="00507830">
              <w:t xml:space="preserve"> has helped </w:t>
            </w:r>
            <w:r w:rsidR="00840447" w:rsidRPr="00507830">
              <w:t>to remind</w:t>
            </w:r>
            <w:r w:rsidRPr="00507830">
              <w:t xml:space="preserve"> them and jog their memories that this </w:t>
            </w:r>
            <w:r>
              <w:t>request needs</w:t>
            </w:r>
            <w:r w:rsidRPr="00507830">
              <w:t xml:space="preserve"> to be in now. We do set deadlines. If it's a braille book</w:t>
            </w:r>
            <w:r w:rsidR="00840447">
              <w:t xml:space="preserve"> and</w:t>
            </w:r>
            <w:r w:rsidRPr="00507830">
              <w:t xml:space="preserve"> if it's after June, you're not going to have it in time. You're just not</w:t>
            </w:r>
            <w:r>
              <w:t>. (OK)</w:t>
            </w:r>
          </w:p>
        </w:tc>
      </w:tr>
      <w:tr w:rsidR="008B3CE3" w:rsidRPr="009A1CF7" w14:paraId="4C237B8F" w14:textId="77777777" w:rsidTr="00FF38BD">
        <w:trPr>
          <w:trHeight w:val="34"/>
        </w:trPr>
        <w:tc>
          <w:tcPr>
            <w:cnfStyle w:val="001000000000" w:firstRow="0" w:lastRow="0" w:firstColumn="1" w:lastColumn="0" w:oddVBand="0" w:evenVBand="0" w:oddHBand="0" w:evenHBand="0" w:firstRowFirstColumn="0" w:firstRowLastColumn="0" w:lastRowFirstColumn="0" w:lastRowLastColumn="0"/>
            <w:tcW w:w="2425" w:type="dxa"/>
          </w:tcPr>
          <w:p w14:paraId="38E55B03" w14:textId="77777777" w:rsidR="008B3CE3" w:rsidRDefault="008B3CE3" w:rsidP="00193DCE">
            <w:pPr>
              <w:rPr>
                <w:rFonts w:cstheme="minorHAnsi"/>
              </w:rPr>
            </w:pPr>
          </w:p>
        </w:tc>
        <w:tc>
          <w:tcPr>
            <w:tcW w:w="6930" w:type="dxa"/>
          </w:tcPr>
          <w:p w14:paraId="51E1526A" w14:textId="39DB99D0" w:rsidR="008B3CE3" w:rsidRPr="00BC7B60" w:rsidRDefault="00507830" w:rsidP="00193DCE">
            <w:pPr>
              <w:cnfStyle w:val="000000000000" w:firstRow="0" w:lastRow="0" w:firstColumn="0" w:lastColumn="0" w:oddVBand="0" w:evenVBand="0" w:oddHBand="0" w:evenHBand="0" w:firstRowFirstColumn="0" w:firstRowLastColumn="0" w:lastRowFirstColumn="0" w:lastRowLastColumn="0"/>
            </w:pPr>
            <w:r>
              <w:t xml:space="preserve">[From a local AMP] </w:t>
            </w:r>
            <w:r w:rsidR="00840447">
              <w:t>T</w:t>
            </w:r>
            <w:r>
              <w:t xml:space="preserve">wo of my teachers have given me access to their Google Classroom </w:t>
            </w:r>
            <w:proofErr w:type="gramStart"/>
            <w:r>
              <w:t>from</w:t>
            </w:r>
            <w:proofErr w:type="gramEnd"/>
            <w:r>
              <w:t xml:space="preserve"> last year. If I have access to last year's</w:t>
            </w:r>
            <w:r w:rsidR="00840447">
              <w:t xml:space="preserve"> class</w:t>
            </w:r>
            <w:r>
              <w:t xml:space="preserve">, I </w:t>
            </w:r>
            <w:proofErr w:type="gramStart"/>
            <w:r>
              <w:t>match</w:t>
            </w:r>
            <w:proofErr w:type="gramEnd"/>
            <w:r>
              <w:t xml:space="preserve"> up the dates to this year</w:t>
            </w:r>
            <w:r w:rsidR="00840447">
              <w:t>. I</w:t>
            </w:r>
            <w:r>
              <w:t>t's almost the same</w:t>
            </w:r>
            <w:r w:rsidR="00840447">
              <w:t xml:space="preserve"> and</w:t>
            </w:r>
            <w:r>
              <w:t xml:space="preserve"> gives me a great idea of what the curriculum will cover. (NC) </w:t>
            </w:r>
          </w:p>
        </w:tc>
      </w:tr>
      <w:tr w:rsidR="009A1CF7" w:rsidRPr="009A1CF7" w14:paraId="1F7D6951"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551EC243" w14:textId="4C386444" w:rsidR="009A1CF7" w:rsidRPr="00445406" w:rsidRDefault="00445406" w:rsidP="00193DCE">
            <w:pPr>
              <w:rPr>
                <w:rFonts w:cstheme="minorHAnsi"/>
              </w:rPr>
            </w:pPr>
            <w:r>
              <w:rPr>
                <w:rFonts w:cstheme="minorHAnsi"/>
              </w:rPr>
              <w:lastRenderedPageBreak/>
              <w:t>Requests for production made well in advance (41)</w:t>
            </w:r>
          </w:p>
        </w:tc>
        <w:tc>
          <w:tcPr>
            <w:tcW w:w="6930" w:type="dxa"/>
            <w:shd w:val="clear" w:color="auto" w:fill="D9E2F3"/>
          </w:tcPr>
          <w:p w14:paraId="180F56B0" w14:textId="4F3B5F3C" w:rsidR="009A1CF7" w:rsidRPr="00445406" w:rsidRDefault="00507830" w:rsidP="00193DCE">
            <w:pPr>
              <w:cnfStyle w:val="000000100000" w:firstRow="0" w:lastRow="0" w:firstColumn="0" w:lastColumn="0" w:oddVBand="0" w:evenVBand="0" w:oddHBand="1" w:evenHBand="0" w:firstRowFirstColumn="0" w:firstRowLastColumn="0" w:lastRowFirstColumn="0" w:lastRowLastColumn="0"/>
            </w:pPr>
            <w:r>
              <w:t>I</w:t>
            </w:r>
            <w:r w:rsidRPr="00507830">
              <w:t>f the teacher plan</w:t>
            </w:r>
            <w:r>
              <w:t>s in</w:t>
            </w:r>
            <w:r w:rsidRPr="00507830">
              <w:t xml:space="preserve"> advance</w:t>
            </w:r>
            <w:r w:rsidR="00C84E3F">
              <w:t xml:space="preserve">, then </w:t>
            </w:r>
            <w:r w:rsidRPr="00507830">
              <w:t>we could braille it or produce large print</w:t>
            </w:r>
            <w:r w:rsidR="00C84E3F">
              <w:t xml:space="preserve">. That’s </w:t>
            </w:r>
            <w:r w:rsidRPr="00507830">
              <w:t>been helpful.</w:t>
            </w:r>
            <w:r w:rsidR="00AE2D6D">
              <w:t xml:space="preserve"> (OH)</w:t>
            </w:r>
          </w:p>
        </w:tc>
      </w:tr>
      <w:tr w:rsidR="00507830" w:rsidRPr="009A1CF7" w14:paraId="371549A3"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2B86A841" w14:textId="77777777" w:rsidR="00507830" w:rsidRDefault="00507830" w:rsidP="00193DCE">
            <w:pPr>
              <w:rPr>
                <w:rFonts w:cstheme="minorHAnsi"/>
              </w:rPr>
            </w:pPr>
          </w:p>
        </w:tc>
        <w:tc>
          <w:tcPr>
            <w:tcW w:w="6930" w:type="dxa"/>
          </w:tcPr>
          <w:p w14:paraId="67F18201" w14:textId="69693271" w:rsidR="00507830" w:rsidRPr="00445406" w:rsidRDefault="00AE2D6D" w:rsidP="00193DCE">
            <w:pPr>
              <w:cnfStyle w:val="000000000000" w:firstRow="0" w:lastRow="0" w:firstColumn="0" w:lastColumn="0" w:oddVBand="0" w:evenVBand="0" w:oddHBand="0" w:evenHBand="0" w:firstRowFirstColumn="0" w:firstRowLastColumn="0" w:lastRowFirstColumn="0" w:lastRowLastColumn="0"/>
            </w:pPr>
            <w:r>
              <w:t>A</w:t>
            </w:r>
            <w:r w:rsidRPr="00F4329D">
              <w:t>nother strategy would be for the T</w:t>
            </w:r>
            <w:r w:rsidR="005B11E2">
              <w:t>V</w:t>
            </w:r>
            <w:r>
              <w:t>I</w:t>
            </w:r>
            <w:r w:rsidR="0017078D">
              <w:t xml:space="preserve"> to be</w:t>
            </w:r>
            <w:r w:rsidRPr="00F4329D">
              <w:t xml:space="preserve"> proactive. You really have to be thinking about it almost in March and April because the curriculum changes. I did have a teacher reach out saying, </w:t>
            </w:r>
            <w:r>
              <w:t>“O</w:t>
            </w:r>
            <w:r w:rsidRPr="00F4329D">
              <w:t>h my gosh, we have this new curriculum coming next year. I can't find it anywhere. There's so many books.</w:t>
            </w:r>
            <w:r>
              <w:t>”</w:t>
            </w:r>
            <w:r w:rsidRPr="00F4329D">
              <w:t xml:space="preserve"> </w:t>
            </w:r>
            <w:r w:rsidR="0017078D">
              <w:t>She</w:t>
            </w:r>
            <w:r w:rsidRPr="00F4329D">
              <w:t xml:space="preserve"> </w:t>
            </w:r>
            <w:proofErr w:type="gramStart"/>
            <w:r w:rsidRPr="00F4329D">
              <w:t>is being</w:t>
            </w:r>
            <w:proofErr w:type="gramEnd"/>
            <w:r w:rsidRPr="00F4329D">
              <w:t xml:space="preserve"> proactive and looking and</w:t>
            </w:r>
            <w:r>
              <w:t xml:space="preserve"> </w:t>
            </w:r>
            <w:r w:rsidRPr="00F4329D">
              <w:t xml:space="preserve">trying to prepare for the next school year. </w:t>
            </w:r>
            <w:r w:rsidR="0017078D">
              <w:t>C</w:t>
            </w:r>
            <w:r w:rsidRPr="00F4329D">
              <w:t>ollaboration, communication</w:t>
            </w:r>
            <w:r>
              <w:t>,</w:t>
            </w:r>
            <w:r w:rsidRPr="00F4329D">
              <w:t xml:space="preserve"> and being proactive are big strategies and approaches that you need to take.</w:t>
            </w:r>
            <w:r>
              <w:t xml:space="preserve"> (OH)</w:t>
            </w:r>
          </w:p>
        </w:tc>
      </w:tr>
      <w:tr w:rsidR="00507830" w:rsidRPr="009A1CF7" w14:paraId="78689D9C"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0F548864" w14:textId="77777777" w:rsidR="00507830" w:rsidRDefault="00507830" w:rsidP="00193DCE">
            <w:pPr>
              <w:rPr>
                <w:rFonts w:cstheme="minorHAnsi"/>
              </w:rPr>
            </w:pPr>
          </w:p>
        </w:tc>
        <w:tc>
          <w:tcPr>
            <w:tcW w:w="6930" w:type="dxa"/>
            <w:shd w:val="clear" w:color="auto" w:fill="D9E2F3"/>
          </w:tcPr>
          <w:p w14:paraId="39010D51" w14:textId="7449529C" w:rsidR="00507830" w:rsidRPr="00445406" w:rsidRDefault="00E4760F" w:rsidP="00193DCE">
            <w:pPr>
              <w:cnfStyle w:val="000000100000" w:firstRow="0" w:lastRow="0" w:firstColumn="0" w:lastColumn="0" w:oddVBand="0" w:evenVBand="0" w:oddHBand="1" w:evenHBand="0" w:firstRowFirstColumn="0" w:firstRowLastColumn="0" w:lastRowFirstColumn="0" w:lastRowLastColumn="0"/>
            </w:pPr>
            <w:r>
              <w:t>We</w:t>
            </w:r>
            <w:r w:rsidR="00AE2D6D" w:rsidRPr="00AE2D6D">
              <w:t xml:space="preserve"> start that conversation </w:t>
            </w:r>
            <w:r>
              <w:t xml:space="preserve">in </w:t>
            </w:r>
            <w:r w:rsidR="00AE2D6D" w:rsidRPr="00AE2D6D">
              <w:t>February</w:t>
            </w:r>
            <w:r>
              <w:t xml:space="preserve"> or</w:t>
            </w:r>
            <w:r w:rsidR="00AE2D6D" w:rsidRPr="00AE2D6D">
              <w:t xml:space="preserve"> March with our teachers</w:t>
            </w:r>
            <w:r>
              <w:t xml:space="preserve"> by saying, “H</w:t>
            </w:r>
            <w:r w:rsidR="00AE2D6D" w:rsidRPr="00AE2D6D">
              <w:t>ey, I know it's only February or March, but we really need to get an idea of what textbooks and materials are needed for the following year</w:t>
            </w:r>
            <w:r>
              <w:t>.”</w:t>
            </w:r>
            <w:r w:rsidR="00AE2D6D" w:rsidRPr="00AE2D6D">
              <w:t xml:space="preserve"> </w:t>
            </w:r>
            <w:r>
              <w:t>W</w:t>
            </w:r>
            <w:r w:rsidR="00AE2D6D" w:rsidRPr="00AE2D6D">
              <w:t xml:space="preserve">e've always told them it could take time to get things, especially during that busy time of the year when everybody's always asking for books at the same time. So, we try to start the process </w:t>
            </w:r>
            <w:r>
              <w:t>in</w:t>
            </w:r>
            <w:r w:rsidR="00AE2D6D" w:rsidRPr="00AE2D6D">
              <w:t xml:space="preserve"> early spring</w:t>
            </w:r>
            <w:r>
              <w:t>/</w:t>
            </w:r>
            <w:r w:rsidR="00AE2D6D" w:rsidRPr="00AE2D6D">
              <w:t>late winter to get teachers going</w:t>
            </w:r>
            <w:r w:rsidR="00AE2D6D">
              <w:t>. (OH)</w:t>
            </w:r>
          </w:p>
        </w:tc>
      </w:tr>
      <w:tr w:rsidR="00507830" w:rsidRPr="009A1CF7" w14:paraId="5A3EF5F1"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2B99B817" w14:textId="77777777" w:rsidR="00507830" w:rsidRDefault="00507830" w:rsidP="00193DCE">
            <w:pPr>
              <w:rPr>
                <w:rFonts w:cstheme="minorHAnsi"/>
              </w:rPr>
            </w:pPr>
          </w:p>
        </w:tc>
        <w:tc>
          <w:tcPr>
            <w:tcW w:w="6930" w:type="dxa"/>
          </w:tcPr>
          <w:p w14:paraId="433819B4" w14:textId="2D798CDA" w:rsidR="00507830" w:rsidRPr="00445406" w:rsidRDefault="00AE2D6D" w:rsidP="00193DCE">
            <w:pPr>
              <w:cnfStyle w:val="000000000000" w:firstRow="0" w:lastRow="0" w:firstColumn="0" w:lastColumn="0" w:oddVBand="0" w:evenVBand="0" w:oddHBand="0" w:evenHBand="0" w:firstRowFirstColumn="0" w:firstRowLastColumn="0" w:lastRowFirstColumn="0" w:lastRowLastColumn="0"/>
            </w:pPr>
            <w:r w:rsidRPr="00AE2D6D">
              <w:t xml:space="preserve">I think using a platform like Google to have those weekly assignments in a place that we can then send to the </w:t>
            </w:r>
            <w:r>
              <w:t>local braille transcriber</w:t>
            </w:r>
            <w:r w:rsidR="00E4760F">
              <w:t xml:space="preserve">, </w:t>
            </w:r>
            <w:r w:rsidRPr="00AE2D6D">
              <w:t xml:space="preserve">look ahead to what they </w:t>
            </w:r>
            <w:proofErr w:type="gramStart"/>
            <w:r w:rsidRPr="00AE2D6D">
              <w:t>need</w:t>
            </w:r>
            <w:r w:rsidR="00E4760F">
              <w:t>—</w:t>
            </w:r>
            <w:proofErr w:type="gramEnd"/>
            <w:r w:rsidR="00E4760F">
              <w:t xml:space="preserve">not </w:t>
            </w:r>
            <w:r w:rsidRPr="00AE2D6D">
              <w:t xml:space="preserve">just the braille, but other materials they need for science or any adaptations we can provide, </w:t>
            </w:r>
            <w:r w:rsidR="00E4760F">
              <w:t xml:space="preserve">like </w:t>
            </w:r>
            <w:r w:rsidRPr="00AE2D6D">
              <w:t>tactile maps</w:t>
            </w:r>
            <w:r w:rsidR="00E4760F">
              <w:t xml:space="preserve"> and</w:t>
            </w:r>
            <w:r w:rsidRPr="00AE2D6D">
              <w:t xml:space="preserve"> things like that. </w:t>
            </w:r>
            <w:r w:rsidR="00E4760F">
              <w:t>I</w:t>
            </w:r>
            <w:r w:rsidRPr="00AE2D6D">
              <w:t>t really is about having the time for us and the teacher to make things work.</w:t>
            </w:r>
            <w:r>
              <w:t xml:space="preserve"> (OR)</w:t>
            </w:r>
          </w:p>
        </w:tc>
      </w:tr>
      <w:tr w:rsidR="00507830" w:rsidRPr="009A1CF7" w14:paraId="30581B81"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470431DC" w14:textId="77777777" w:rsidR="00507830" w:rsidRDefault="00507830" w:rsidP="00193DCE">
            <w:pPr>
              <w:rPr>
                <w:rFonts w:cstheme="minorHAnsi"/>
              </w:rPr>
            </w:pPr>
          </w:p>
        </w:tc>
        <w:tc>
          <w:tcPr>
            <w:tcW w:w="6930" w:type="dxa"/>
            <w:shd w:val="clear" w:color="auto" w:fill="D9E2F3"/>
          </w:tcPr>
          <w:p w14:paraId="06F99865" w14:textId="1E225B91" w:rsidR="00507830" w:rsidRPr="00445406" w:rsidRDefault="00CD03FA" w:rsidP="00193DCE">
            <w:pPr>
              <w:cnfStyle w:val="000000100000" w:firstRow="0" w:lastRow="0" w:firstColumn="0" w:lastColumn="0" w:oddVBand="0" w:evenVBand="0" w:oddHBand="1" w:evenHBand="0" w:firstRowFirstColumn="0" w:firstRowLastColumn="0" w:lastRowFirstColumn="0" w:lastRowLastColumn="0"/>
            </w:pPr>
            <w:r>
              <w:t>W</w:t>
            </w:r>
            <w:r w:rsidR="00AE2D6D" w:rsidRPr="00AE2D6D">
              <w:t>e have a deadline of April 1st to receive order</w:t>
            </w:r>
            <w:r w:rsidR="00AE2D6D">
              <w:t>s</w:t>
            </w:r>
            <w:r w:rsidR="00AE2D6D" w:rsidRPr="00AE2D6D">
              <w:t xml:space="preserve"> </w:t>
            </w:r>
            <w:r w:rsidR="00AE2D6D">
              <w:t>f</w:t>
            </w:r>
            <w:r w:rsidR="00AE2D6D" w:rsidRPr="00AE2D6D">
              <w:t xml:space="preserve">or the fall. So, before April 1st, we can guarantee that the student will have something in hand, maybe not the whole book, but something in hand to start the school year off at the same time as </w:t>
            </w:r>
            <w:r w:rsidR="00AE2D6D">
              <w:t>their</w:t>
            </w:r>
            <w:r w:rsidR="00AE2D6D" w:rsidRPr="00AE2D6D">
              <w:t xml:space="preserve"> peers. </w:t>
            </w:r>
            <w:r w:rsidR="00AE2D6D">
              <w:t>A</w:t>
            </w:r>
            <w:r w:rsidR="00AE2D6D" w:rsidRPr="00AE2D6D">
              <w:t>fter that deadline, it's not guaranteed. However, we do everything possible to make it happen</w:t>
            </w:r>
            <w:r w:rsidR="00AE2D6D">
              <w:t>. (UT)</w:t>
            </w:r>
          </w:p>
        </w:tc>
      </w:tr>
      <w:tr w:rsidR="00507830" w:rsidRPr="009A1CF7" w14:paraId="2C9D2C29"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0F77DE89" w14:textId="77777777" w:rsidR="00507830" w:rsidRDefault="00507830" w:rsidP="00193DCE">
            <w:pPr>
              <w:rPr>
                <w:rFonts w:cstheme="minorHAnsi"/>
              </w:rPr>
            </w:pPr>
          </w:p>
        </w:tc>
        <w:tc>
          <w:tcPr>
            <w:tcW w:w="6930" w:type="dxa"/>
          </w:tcPr>
          <w:p w14:paraId="04A0EC7D" w14:textId="2FE6FA7E" w:rsidR="00507830" w:rsidRPr="00445406" w:rsidRDefault="00AE2D6D" w:rsidP="00193DCE">
            <w:pPr>
              <w:cnfStyle w:val="000000000000" w:firstRow="0" w:lastRow="0" w:firstColumn="0" w:lastColumn="0" w:oddVBand="0" w:evenVBand="0" w:oddHBand="0" w:evenHBand="0" w:firstRowFirstColumn="0" w:firstRowLastColumn="0" w:lastRowFirstColumn="0" w:lastRowLastColumn="0"/>
            </w:pPr>
            <w:r w:rsidRPr="00AE2D6D">
              <w:t xml:space="preserve">I'm actually one of the transcribers, so I get the </w:t>
            </w:r>
            <w:r>
              <w:t xml:space="preserve">NIMAS </w:t>
            </w:r>
            <w:r w:rsidRPr="00AE2D6D">
              <w:t xml:space="preserve">files and use them. </w:t>
            </w:r>
            <w:r w:rsidR="00DA5FFB">
              <w:t>F</w:t>
            </w:r>
            <w:r w:rsidRPr="00AE2D6D">
              <w:t xml:space="preserve">or me, it's so important </w:t>
            </w:r>
            <w:r w:rsidR="00DA5FFB">
              <w:t xml:space="preserve">to </w:t>
            </w:r>
            <w:r>
              <w:t>have</w:t>
            </w:r>
            <w:r w:rsidRPr="00AE2D6D">
              <w:t xml:space="preserve"> that April 1st deadline </w:t>
            </w:r>
            <w:r w:rsidR="00DA5FFB">
              <w:t xml:space="preserve">so I have </w:t>
            </w:r>
            <w:r w:rsidRPr="00AE2D6D">
              <w:t xml:space="preserve">time to prepare the materials for the fall. </w:t>
            </w:r>
            <w:r>
              <w:t>(UT)</w:t>
            </w:r>
          </w:p>
        </w:tc>
      </w:tr>
      <w:tr w:rsidR="00507830" w:rsidRPr="009A1CF7" w14:paraId="2E6FCE91"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33EABD7B" w14:textId="77777777" w:rsidR="00507830" w:rsidRDefault="00507830" w:rsidP="00193DCE">
            <w:pPr>
              <w:rPr>
                <w:rFonts w:cstheme="minorHAnsi"/>
              </w:rPr>
            </w:pPr>
          </w:p>
        </w:tc>
        <w:tc>
          <w:tcPr>
            <w:tcW w:w="6930" w:type="dxa"/>
            <w:shd w:val="clear" w:color="auto" w:fill="D9E2F3"/>
          </w:tcPr>
          <w:p w14:paraId="4F73F44B" w14:textId="3528F67D" w:rsidR="00507830" w:rsidRPr="00445406" w:rsidRDefault="00B97344" w:rsidP="00193DCE">
            <w:pPr>
              <w:cnfStyle w:val="000000100000" w:firstRow="0" w:lastRow="0" w:firstColumn="0" w:lastColumn="0" w:oddVBand="0" w:evenVBand="0" w:oddHBand="1" w:evenHBand="0" w:firstRowFirstColumn="0" w:firstRowLastColumn="0" w:lastRowFirstColumn="0" w:lastRowLastColumn="0"/>
            </w:pPr>
            <w:r>
              <w:t>E</w:t>
            </w:r>
            <w:r w:rsidR="009F11B2" w:rsidRPr="009F11B2">
              <w:t xml:space="preserve">ducators </w:t>
            </w:r>
            <w:r w:rsidR="009F11B2">
              <w:t xml:space="preserve">need to </w:t>
            </w:r>
            <w:r w:rsidR="009F11B2" w:rsidRPr="009F11B2">
              <w:t xml:space="preserve">have a detailed enough scope and sequence of their instruction to be able to </w:t>
            </w:r>
            <w:proofErr w:type="gramStart"/>
            <w:r w:rsidR="009F11B2" w:rsidRPr="009F11B2">
              <w:t>plan for</w:t>
            </w:r>
            <w:proofErr w:type="gramEnd"/>
            <w:r w:rsidR="009F11B2" w:rsidRPr="009F11B2">
              <w:t xml:space="preserve"> what materials are needed</w:t>
            </w:r>
            <w:r w:rsidR="009F11B2">
              <w:t>,</w:t>
            </w:r>
            <w:r w:rsidR="009F11B2" w:rsidRPr="009F11B2">
              <w:t xml:space="preserve"> when they're needed, and give enough of a runway for the materials to be developed, created, </w:t>
            </w:r>
            <w:r>
              <w:t xml:space="preserve">or </w:t>
            </w:r>
            <w:r w:rsidR="009F11B2" w:rsidRPr="009F11B2">
              <w:t>transcribed, so they can be available for instruction.</w:t>
            </w:r>
            <w:r w:rsidR="009F11B2">
              <w:t xml:space="preserve"> (UT)</w:t>
            </w:r>
          </w:p>
        </w:tc>
      </w:tr>
      <w:tr w:rsidR="00507830" w:rsidRPr="009A1CF7" w14:paraId="6FE5E241"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214D46BA" w14:textId="77777777" w:rsidR="00507830" w:rsidRDefault="00507830" w:rsidP="00193DCE">
            <w:pPr>
              <w:rPr>
                <w:rFonts w:cstheme="minorHAnsi"/>
              </w:rPr>
            </w:pPr>
          </w:p>
        </w:tc>
        <w:tc>
          <w:tcPr>
            <w:tcW w:w="6930" w:type="dxa"/>
          </w:tcPr>
          <w:p w14:paraId="2C9F21F1" w14:textId="42AFF8FF" w:rsidR="00507830" w:rsidRPr="00445406" w:rsidRDefault="00581011" w:rsidP="00193DCE">
            <w:pPr>
              <w:cnfStyle w:val="000000000000" w:firstRow="0" w:lastRow="0" w:firstColumn="0" w:lastColumn="0" w:oddVBand="0" w:evenVBand="0" w:oddHBand="0" w:evenHBand="0" w:firstRowFirstColumn="0" w:firstRowLastColumn="0" w:lastRowFirstColumn="0" w:lastRowLastColumn="0"/>
            </w:pPr>
            <w:r w:rsidRPr="00581011">
              <w:t xml:space="preserve">I work in a state that has adequate understanding of the processing of accessible materials and </w:t>
            </w:r>
            <w:proofErr w:type="gramStart"/>
            <w:r w:rsidR="000E50B9">
              <w:t>is</w:t>
            </w:r>
            <w:proofErr w:type="gramEnd"/>
            <w:r w:rsidRPr="00581011">
              <w:t xml:space="preserve"> adept at getting those materials to me, in appropriate form, when they are given the time to do so. Our </w:t>
            </w:r>
            <w:r w:rsidR="000E50B9">
              <w:t>m</w:t>
            </w:r>
            <w:r w:rsidRPr="00581011">
              <w:t xml:space="preserve">aterials </w:t>
            </w:r>
            <w:r w:rsidR="000E50B9">
              <w:t>c</w:t>
            </w:r>
            <w:r w:rsidRPr="00581011">
              <w:t>enter is amazing at getting just about everything I need ahead of time.</w:t>
            </w:r>
            <w:r>
              <w:t xml:space="preserve"> (DE)</w:t>
            </w:r>
          </w:p>
        </w:tc>
      </w:tr>
      <w:tr w:rsidR="00507830" w:rsidRPr="009A1CF7" w14:paraId="15985578"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4483144E" w14:textId="77777777" w:rsidR="00507830" w:rsidRDefault="00507830" w:rsidP="00193DCE">
            <w:pPr>
              <w:rPr>
                <w:rFonts w:cstheme="minorHAnsi"/>
              </w:rPr>
            </w:pPr>
          </w:p>
        </w:tc>
        <w:tc>
          <w:tcPr>
            <w:tcW w:w="6930" w:type="dxa"/>
            <w:shd w:val="clear" w:color="auto" w:fill="D9E2F3"/>
          </w:tcPr>
          <w:p w14:paraId="73AED7C3" w14:textId="51AD1E7F" w:rsidR="00507830" w:rsidRPr="00445406" w:rsidRDefault="00581011" w:rsidP="00193DCE">
            <w:pPr>
              <w:cnfStyle w:val="000000100000" w:firstRow="0" w:lastRow="0" w:firstColumn="0" w:lastColumn="0" w:oddVBand="0" w:evenVBand="0" w:oddHBand="1" w:evenHBand="0" w:firstRowFirstColumn="0" w:firstRowLastColumn="0" w:lastRowFirstColumn="0" w:lastRowLastColumn="0"/>
            </w:pPr>
            <w:r w:rsidRPr="00581011">
              <w:t xml:space="preserve">One of the most important things is the understanding of the timeline it takes to produce these materials and ordering </w:t>
            </w:r>
            <w:proofErr w:type="gramStart"/>
            <w:r w:rsidRPr="00581011">
              <w:t>in a timely manner for them</w:t>
            </w:r>
            <w:proofErr w:type="gramEnd"/>
            <w:r w:rsidRPr="00581011">
              <w:t xml:space="preserve"> to be done </w:t>
            </w:r>
            <w:proofErr w:type="gramStart"/>
            <w:r w:rsidRPr="00581011">
              <w:t>in</w:t>
            </w:r>
            <w:proofErr w:type="gramEnd"/>
            <w:r w:rsidRPr="00581011">
              <w:t xml:space="preserve"> the best quality possible.</w:t>
            </w:r>
            <w:r>
              <w:t xml:space="preserve"> (KY)</w:t>
            </w:r>
          </w:p>
        </w:tc>
      </w:tr>
      <w:tr w:rsidR="00507830" w:rsidRPr="009A1CF7" w14:paraId="106C7D27"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28173F73" w14:textId="77777777" w:rsidR="00507830" w:rsidRDefault="00507830" w:rsidP="00193DCE">
            <w:pPr>
              <w:rPr>
                <w:rFonts w:cstheme="minorHAnsi"/>
              </w:rPr>
            </w:pPr>
          </w:p>
        </w:tc>
        <w:tc>
          <w:tcPr>
            <w:tcW w:w="6930" w:type="dxa"/>
          </w:tcPr>
          <w:p w14:paraId="1EE9F519" w14:textId="0A5A6A83" w:rsidR="00507830" w:rsidRPr="00445406" w:rsidRDefault="00581011" w:rsidP="00193DCE">
            <w:pPr>
              <w:cnfStyle w:val="000000000000" w:firstRow="0" w:lastRow="0" w:firstColumn="0" w:lastColumn="0" w:oddVBand="0" w:evenVBand="0" w:oddHBand="0" w:evenHBand="0" w:firstRowFirstColumn="0" w:firstRowLastColumn="0" w:lastRowFirstColumn="0" w:lastRowLastColumn="0"/>
            </w:pPr>
            <w:r w:rsidRPr="00581011">
              <w:t xml:space="preserve">The </w:t>
            </w:r>
            <w:r>
              <w:t>number one</w:t>
            </w:r>
            <w:r w:rsidRPr="00581011">
              <w:t xml:space="preserve"> thing that helps us the most is know</w:t>
            </w:r>
            <w:r w:rsidR="000E50B9">
              <w:t>ing</w:t>
            </w:r>
            <w:r w:rsidRPr="00581011">
              <w:t xml:space="preserve"> what needs to be transcribed</w:t>
            </w:r>
            <w:r>
              <w:t xml:space="preserve"> well in advance. (LA)</w:t>
            </w:r>
          </w:p>
        </w:tc>
      </w:tr>
      <w:tr w:rsidR="009A1CF7" w:rsidRPr="009A1CF7" w14:paraId="09B0935B"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293E17ED" w14:textId="2A6B5747" w:rsidR="009A1CF7" w:rsidRPr="00445406" w:rsidRDefault="00445406" w:rsidP="00193DCE">
            <w:pPr>
              <w:rPr>
                <w:rFonts w:cstheme="minorHAnsi"/>
              </w:rPr>
            </w:pPr>
            <w:r>
              <w:rPr>
                <w:rFonts w:cstheme="minorHAnsi"/>
              </w:rPr>
              <w:t xml:space="preserve">Centralize workflow to process requests (22) </w:t>
            </w:r>
          </w:p>
        </w:tc>
        <w:tc>
          <w:tcPr>
            <w:tcW w:w="6930" w:type="dxa"/>
            <w:shd w:val="clear" w:color="auto" w:fill="D9E2F3"/>
          </w:tcPr>
          <w:p w14:paraId="4E28AE39" w14:textId="5FD137C0" w:rsidR="00770AFB" w:rsidRPr="00770AFB" w:rsidRDefault="00770AFB" w:rsidP="00193DCE">
            <w:pPr>
              <w:cnfStyle w:val="000000100000" w:firstRow="0" w:lastRow="0" w:firstColumn="0" w:lastColumn="0" w:oddVBand="0" w:evenVBand="0" w:oddHBand="1" w:evenHBand="0" w:firstRowFirstColumn="0" w:firstRowLastColumn="0" w:lastRowFirstColumn="0" w:lastRowLastColumn="0"/>
            </w:pPr>
            <w:r w:rsidRPr="00770AFB">
              <w:t xml:space="preserve">As a teacher, I did not know exactly how all the materials were procured, but I knew how to contact the support people who could help. We often used the </w:t>
            </w:r>
            <w:r>
              <w:t>state</w:t>
            </w:r>
            <w:r w:rsidR="000B3549">
              <w:t>’s</w:t>
            </w:r>
            <w:r>
              <w:t xml:space="preserve"> Instructional Resource Center</w:t>
            </w:r>
            <w:r w:rsidRPr="00770AFB">
              <w:t xml:space="preserve"> services to help us navigate the system.</w:t>
            </w:r>
            <w:r>
              <w:t xml:space="preserve"> (OH)</w:t>
            </w:r>
          </w:p>
        </w:tc>
      </w:tr>
      <w:tr w:rsidR="009A1CF7" w:rsidRPr="009A1CF7" w14:paraId="34238CDF"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5611CAF2" w14:textId="7E644CC6" w:rsidR="009A1CF7" w:rsidRPr="00445406" w:rsidRDefault="009A1CF7" w:rsidP="00193DCE">
            <w:pPr>
              <w:rPr>
                <w:rFonts w:cstheme="minorHAnsi"/>
              </w:rPr>
            </w:pPr>
          </w:p>
        </w:tc>
        <w:tc>
          <w:tcPr>
            <w:tcW w:w="6930" w:type="dxa"/>
          </w:tcPr>
          <w:p w14:paraId="03A38B4C" w14:textId="094BB2C3" w:rsidR="009A1CF7" w:rsidRPr="00445406" w:rsidRDefault="00770AFB" w:rsidP="00193DCE">
            <w:pPr>
              <w:cnfStyle w:val="000000000000" w:firstRow="0" w:lastRow="0" w:firstColumn="0" w:lastColumn="0" w:oddVBand="0" w:evenVBand="0" w:oddHBand="0" w:evenHBand="0" w:firstRowFirstColumn="0" w:firstRowLastColumn="0" w:lastRowFirstColumn="0" w:lastRowLastColumn="0"/>
            </w:pPr>
            <w:r w:rsidRPr="00770AFB">
              <w:t xml:space="preserve">We have a whole </w:t>
            </w:r>
            <w:r w:rsidR="000B3549">
              <w:t xml:space="preserve">AEM </w:t>
            </w:r>
            <w:r w:rsidRPr="00770AFB">
              <w:t>request portal</w:t>
            </w:r>
            <w:r w:rsidR="000B3549">
              <w:t xml:space="preserve"> and </w:t>
            </w:r>
            <w:r w:rsidRPr="00770AFB">
              <w:t>a whole process</w:t>
            </w:r>
            <w:r w:rsidR="000B3549">
              <w:t xml:space="preserve"> in</w:t>
            </w:r>
            <w:r w:rsidRPr="00770AFB">
              <w:t xml:space="preserve"> which people sign up and register. And quite honestly, practicing in other state</w:t>
            </w:r>
            <w:r w:rsidR="00F15FA5">
              <w:t>s</w:t>
            </w:r>
            <w:r w:rsidR="000B3549">
              <w:t>,</w:t>
            </w:r>
            <w:r>
              <w:t xml:space="preserve"> </w:t>
            </w:r>
            <w:r w:rsidRPr="00770AFB">
              <w:t>it is not as clear</w:t>
            </w:r>
            <w:r w:rsidR="000B3549">
              <w:t xml:space="preserve"> about </w:t>
            </w:r>
            <w:r w:rsidRPr="00770AFB">
              <w:t xml:space="preserve">how </w:t>
            </w:r>
            <w:r w:rsidR="000B3549">
              <w:t xml:space="preserve">to </w:t>
            </w:r>
            <w:r w:rsidRPr="00770AFB">
              <w:t>access accessible educational materials</w:t>
            </w:r>
            <w:r w:rsidR="000B3549">
              <w:t>.</w:t>
            </w:r>
            <w:r w:rsidRPr="00770AFB">
              <w:t xml:space="preserve"> </w:t>
            </w:r>
            <w:r>
              <w:t>(OH)</w:t>
            </w:r>
          </w:p>
        </w:tc>
      </w:tr>
      <w:tr w:rsidR="009A1CF7" w:rsidRPr="009A1CF7" w14:paraId="4E97D117"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52E00B92" w14:textId="68E255EB" w:rsidR="009A1CF7" w:rsidRPr="00445406" w:rsidRDefault="009A1CF7" w:rsidP="00193DCE">
            <w:pPr>
              <w:rPr>
                <w:rFonts w:cstheme="minorHAnsi"/>
              </w:rPr>
            </w:pPr>
          </w:p>
        </w:tc>
        <w:tc>
          <w:tcPr>
            <w:tcW w:w="6930" w:type="dxa"/>
            <w:shd w:val="clear" w:color="auto" w:fill="D9E2F3"/>
          </w:tcPr>
          <w:p w14:paraId="7828C198" w14:textId="72A2B8B2" w:rsidR="009A1CF7" w:rsidRPr="00445406" w:rsidRDefault="00770AFB" w:rsidP="00193DCE">
            <w:pPr>
              <w:cnfStyle w:val="000000100000" w:firstRow="0" w:lastRow="0" w:firstColumn="0" w:lastColumn="0" w:oddVBand="0" w:evenVBand="0" w:oddHBand="1" w:evenHBand="0" w:firstRowFirstColumn="0" w:firstRowLastColumn="0" w:lastRowFirstColumn="0" w:lastRowLastColumn="0"/>
            </w:pPr>
            <w:r>
              <w:t>Literally seven minutes before this meeting, I got a phone call from a teacher of the visually impaired saying, “Oh my God, I need access</w:t>
            </w:r>
            <w:r w:rsidR="000B3549">
              <w:t>. How do I do it?” I was</w:t>
            </w:r>
            <w:r>
              <w:t xml:space="preserve"> like</w:t>
            </w:r>
            <w:r w:rsidR="000B3549">
              <w:t>,</w:t>
            </w:r>
            <w:r>
              <w:t xml:space="preserve"> “You just need to contact the Instructional Resource Center</w:t>
            </w:r>
            <w:r w:rsidR="000B3549">
              <w:t>.</w:t>
            </w:r>
            <w:r>
              <w:t xml:space="preserve">” </w:t>
            </w:r>
            <w:r w:rsidR="000B3549">
              <w:t xml:space="preserve">Then, </w:t>
            </w:r>
            <w:r>
              <w:t>he was good</w:t>
            </w:r>
            <w:r w:rsidR="000B3549">
              <w:t xml:space="preserve">, and </w:t>
            </w:r>
            <w:r>
              <w:t xml:space="preserve">I think </w:t>
            </w:r>
            <w:proofErr w:type="gramStart"/>
            <w:r>
              <w:t>that</w:t>
            </w:r>
            <w:proofErr w:type="gramEnd"/>
            <w:r>
              <w:t xml:space="preserve"> was beautiful. (OR)</w:t>
            </w:r>
          </w:p>
        </w:tc>
      </w:tr>
      <w:tr w:rsidR="009A1CF7" w:rsidRPr="009A1CF7" w14:paraId="79FAA749"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313D3659" w14:textId="72261979" w:rsidR="009A1CF7" w:rsidRPr="00445406" w:rsidRDefault="009A1CF7" w:rsidP="00193DCE">
            <w:pPr>
              <w:rPr>
                <w:rFonts w:cstheme="minorHAnsi"/>
              </w:rPr>
            </w:pPr>
          </w:p>
        </w:tc>
        <w:tc>
          <w:tcPr>
            <w:tcW w:w="6930" w:type="dxa"/>
          </w:tcPr>
          <w:p w14:paraId="145AC9C1" w14:textId="7AC58F89" w:rsidR="009A1CF7" w:rsidRPr="00445406" w:rsidRDefault="005C5A0C" w:rsidP="00193DCE">
            <w:pPr>
              <w:cnfStyle w:val="000000000000" w:firstRow="0" w:lastRow="0" w:firstColumn="0" w:lastColumn="0" w:oddVBand="0" w:evenVBand="0" w:oddHBand="0" w:evenHBand="0" w:firstRowFirstColumn="0" w:firstRowLastColumn="0" w:lastRowFirstColumn="0" w:lastRowLastColumn="0"/>
            </w:pPr>
            <w:r>
              <w:t>A</w:t>
            </w:r>
            <w:r w:rsidR="00770AFB" w:rsidRPr="00770AFB">
              <w:t xml:space="preserve">t the high school level, I've been able to get the textbook librarians to be knowledgeable about </w:t>
            </w:r>
            <w:r w:rsidR="00770AFB">
              <w:t>B</w:t>
            </w:r>
            <w:r w:rsidR="00770AFB" w:rsidRPr="00770AFB">
              <w:t xml:space="preserve">ookshare and kind of responsible for it. So, when kids come to check out textbooks, they know </w:t>
            </w:r>
            <w:r>
              <w:t>the</w:t>
            </w:r>
            <w:r w:rsidR="00770AFB" w:rsidRPr="00770AFB">
              <w:t xml:space="preserve"> Bookshare user</w:t>
            </w:r>
            <w:r>
              <w:t xml:space="preserve">s and </w:t>
            </w:r>
            <w:r w:rsidR="00770AFB" w:rsidRPr="00770AFB">
              <w:t xml:space="preserve">automatically assign </w:t>
            </w:r>
            <w:proofErr w:type="gramStart"/>
            <w:r w:rsidR="00770AFB" w:rsidRPr="00770AFB">
              <w:t>it</w:t>
            </w:r>
            <w:proofErr w:type="gramEnd"/>
            <w:r w:rsidR="00770AFB" w:rsidRPr="00770AFB">
              <w:t xml:space="preserve"> there. So, </w:t>
            </w:r>
            <w:r>
              <w:t>f</w:t>
            </w:r>
            <w:r w:rsidR="00770AFB" w:rsidRPr="00770AFB">
              <w:t xml:space="preserve">inding a more centralized way of disseminating </w:t>
            </w:r>
            <w:r>
              <w:t xml:space="preserve">materials </w:t>
            </w:r>
            <w:r w:rsidR="00770AFB" w:rsidRPr="00770AFB">
              <w:t>has been helpful.</w:t>
            </w:r>
            <w:r w:rsidR="00770AFB">
              <w:t xml:space="preserve"> (OR)</w:t>
            </w:r>
          </w:p>
        </w:tc>
      </w:tr>
      <w:tr w:rsidR="009A1CF7" w:rsidRPr="009A1CF7" w14:paraId="3BDE7197"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1FF081E0" w14:textId="77777777" w:rsidR="009A1CF7" w:rsidRPr="00445406" w:rsidRDefault="009A1CF7" w:rsidP="00193DCE">
            <w:pPr>
              <w:rPr>
                <w:rFonts w:cstheme="minorHAnsi"/>
              </w:rPr>
            </w:pPr>
          </w:p>
        </w:tc>
        <w:tc>
          <w:tcPr>
            <w:tcW w:w="6930" w:type="dxa"/>
            <w:shd w:val="clear" w:color="auto" w:fill="D9E2F3"/>
          </w:tcPr>
          <w:p w14:paraId="68B326A5" w14:textId="3185C466" w:rsidR="009A1CF7" w:rsidRPr="00445406" w:rsidRDefault="000E3418" w:rsidP="00193DCE">
            <w:pPr>
              <w:cnfStyle w:val="000000100000" w:firstRow="0" w:lastRow="0" w:firstColumn="0" w:lastColumn="0" w:oddVBand="0" w:evenVBand="0" w:oddHBand="1" w:evenHBand="0" w:firstRowFirstColumn="0" w:firstRowLastColumn="0" w:lastRowFirstColumn="0" w:lastRowLastColumn="0"/>
            </w:pPr>
            <w:r>
              <w:t>H</w:t>
            </w:r>
            <w:r w:rsidR="00770AFB" w:rsidRPr="00770AFB">
              <w:t xml:space="preserve">aving a submission system, a collection system, and then a delivery system makes sense for the educators </w:t>
            </w:r>
            <w:r>
              <w:t xml:space="preserve">who are </w:t>
            </w:r>
            <w:r w:rsidR="00770AFB" w:rsidRPr="00770AFB">
              <w:t xml:space="preserve">submitting </w:t>
            </w:r>
            <w:r>
              <w:t xml:space="preserve">requests and </w:t>
            </w:r>
            <w:r w:rsidR="00770AFB" w:rsidRPr="00770AFB">
              <w:t>for those who are doing the work.</w:t>
            </w:r>
            <w:r w:rsidR="00770AFB">
              <w:t xml:space="preserve"> (UT)</w:t>
            </w:r>
          </w:p>
        </w:tc>
      </w:tr>
      <w:tr w:rsidR="006F5AA5" w:rsidRPr="009A1CF7" w14:paraId="46C07AC7"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73BCC441" w14:textId="77777777" w:rsidR="006F5AA5" w:rsidRPr="00445406" w:rsidRDefault="006F5AA5" w:rsidP="00193DCE">
            <w:pPr>
              <w:rPr>
                <w:rFonts w:cstheme="minorHAnsi"/>
              </w:rPr>
            </w:pPr>
          </w:p>
        </w:tc>
        <w:tc>
          <w:tcPr>
            <w:tcW w:w="6930" w:type="dxa"/>
          </w:tcPr>
          <w:p w14:paraId="2BC1D977" w14:textId="24874FC8" w:rsidR="006F5AA5" w:rsidRPr="00445406" w:rsidRDefault="006F5AA5" w:rsidP="00193DCE">
            <w:pPr>
              <w:cnfStyle w:val="000000000000" w:firstRow="0" w:lastRow="0" w:firstColumn="0" w:lastColumn="0" w:oddVBand="0" w:evenVBand="0" w:oddHBand="0" w:evenHBand="0" w:firstRowFirstColumn="0" w:firstRowLastColumn="0" w:lastRowFirstColumn="0" w:lastRowLastColumn="0"/>
            </w:pPr>
            <w:r w:rsidRPr="006F5AA5">
              <w:t>Using an Instructional Materials Center as a centralized workflow rather than splitting up between several different workflows prevents duplication of effort and additional costs to schools.</w:t>
            </w:r>
            <w:r w:rsidR="00F15FA5">
              <w:t xml:space="preserve"> </w:t>
            </w:r>
            <w:r>
              <w:t>(IA)</w:t>
            </w:r>
          </w:p>
        </w:tc>
      </w:tr>
      <w:bookmarkEnd w:id="52"/>
      <w:tr w:rsidR="006F5AA5" w:rsidRPr="009A1CF7" w14:paraId="2826DBE6"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197916C9" w14:textId="77777777" w:rsidR="006F5AA5" w:rsidRPr="00445406" w:rsidRDefault="006F5AA5" w:rsidP="00193DCE">
            <w:pPr>
              <w:rPr>
                <w:rFonts w:cstheme="minorHAnsi"/>
              </w:rPr>
            </w:pPr>
          </w:p>
        </w:tc>
        <w:tc>
          <w:tcPr>
            <w:tcW w:w="6930" w:type="dxa"/>
            <w:shd w:val="clear" w:color="auto" w:fill="D9E2F3"/>
          </w:tcPr>
          <w:p w14:paraId="556BEB18" w14:textId="6D73640E" w:rsidR="006F5AA5" w:rsidRPr="00445406" w:rsidRDefault="006F5AA5" w:rsidP="00193DCE">
            <w:pPr>
              <w:cnfStyle w:val="000000100000" w:firstRow="0" w:lastRow="0" w:firstColumn="0" w:lastColumn="0" w:oddVBand="0" w:evenVBand="0" w:oddHBand="1" w:evenHBand="0" w:firstRowFirstColumn="0" w:firstRowLastColumn="0" w:lastRowFirstColumn="0" w:lastRowLastColumn="0"/>
            </w:pPr>
            <w:r w:rsidRPr="006F5AA5">
              <w:t xml:space="preserve">We have a state </w:t>
            </w:r>
            <w:r>
              <w:t>Instructional Materials Center</w:t>
            </w:r>
            <w:r w:rsidR="000E3418">
              <w:t>,</w:t>
            </w:r>
            <w:r w:rsidRPr="006F5AA5">
              <w:t xml:space="preserve"> a loan library,</w:t>
            </w:r>
            <w:r>
              <w:t xml:space="preserve"> a</w:t>
            </w:r>
            <w:r w:rsidRPr="006F5AA5">
              <w:t xml:space="preserve"> full production system,</w:t>
            </w:r>
            <w:r>
              <w:t xml:space="preserve"> </w:t>
            </w:r>
            <w:r w:rsidR="000E3418">
              <w:t>and</w:t>
            </w:r>
            <w:r w:rsidRPr="006F5AA5">
              <w:t xml:space="preserve"> NIMAC </w:t>
            </w:r>
            <w:r>
              <w:t>Authorized Users</w:t>
            </w:r>
            <w:r w:rsidR="000E3418">
              <w:t>.</w:t>
            </w:r>
            <w:r w:rsidRPr="006F5AA5">
              <w:t xml:space="preserve"> I feel having all of the tools under one roof make</w:t>
            </w:r>
            <w:r w:rsidR="000E3418">
              <w:t>s</w:t>
            </w:r>
            <w:r w:rsidRPr="006F5AA5">
              <w:t xml:space="preserve"> it extremely well organized and efficient</w:t>
            </w:r>
            <w:r>
              <w:t>. (MI)</w:t>
            </w:r>
          </w:p>
        </w:tc>
      </w:tr>
      <w:tr w:rsidR="006F5AA5" w:rsidRPr="009A1CF7" w14:paraId="42537C0D"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0DFF8BF8" w14:textId="77777777" w:rsidR="006F5AA5" w:rsidRPr="00445406" w:rsidRDefault="006F5AA5" w:rsidP="00193DCE">
            <w:pPr>
              <w:rPr>
                <w:rFonts w:cstheme="minorHAnsi"/>
              </w:rPr>
            </w:pPr>
          </w:p>
        </w:tc>
        <w:tc>
          <w:tcPr>
            <w:tcW w:w="6930" w:type="dxa"/>
          </w:tcPr>
          <w:p w14:paraId="1FA970A7" w14:textId="2E6F32FF" w:rsidR="006F5AA5" w:rsidRPr="00445406" w:rsidRDefault="006F5AA5" w:rsidP="00193DCE">
            <w:pPr>
              <w:cnfStyle w:val="000000000000" w:firstRow="0" w:lastRow="0" w:firstColumn="0" w:lastColumn="0" w:oddVBand="0" w:evenVBand="0" w:oddHBand="0" w:evenHBand="0" w:firstRowFirstColumn="0" w:firstRowLastColumn="0" w:lastRowFirstColumn="0" w:lastRowLastColumn="0"/>
            </w:pPr>
            <w:r w:rsidRPr="006F5AA5">
              <w:t>I think what very much helps us deliver a good experience for ultimately our students and their school districts is a well-developed system that facilitates the ordering process so that we can quickly research a book</w:t>
            </w:r>
            <w:r w:rsidR="00BE3421">
              <w:t xml:space="preserve"> and determine if it is </w:t>
            </w:r>
            <w:r w:rsidRPr="006F5AA5">
              <w:t>readily available for purchase or need</w:t>
            </w:r>
            <w:r w:rsidR="00BE3421">
              <w:t>s</w:t>
            </w:r>
            <w:r w:rsidRPr="006F5AA5">
              <w:t xml:space="preserve"> to be newly commissioned for production</w:t>
            </w:r>
            <w:r w:rsidR="00BE3421">
              <w:t xml:space="preserve">. I </w:t>
            </w:r>
            <w:r w:rsidRPr="006F5AA5">
              <w:t xml:space="preserve">think part of that process is </w:t>
            </w:r>
            <w:r w:rsidR="00BE3421">
              <w:t>h</w:t>
            </w:r>
            <w:r w:rsidRPr="006F5AA5">
              <w:t xml:space="preserve">aving a staff member dedicated to </w:t>
            </w:r>
            <w:r w:rsidR="00BE3421">
              <w:t>it</w:t>
            </w:r>
            <w:r w:rsidRPr="006F5AA5">
              <w:t>.</w:t>
            </w:r>
            <w:r>
              <w:t xml:space="preserve"> (TN)</w:t>
            </w:r>
          </w:p>
        </w:tc>
      </w:tr>
      <w:tr w:rsidR="006F5AA5" w:rsidRPr="009A1CF7" w14:paraId="1D8B38AC"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2C453197" w14:textId="77777777" w:rsidR="006F5AA5" w:rsidRPr="00445406" w:rsidRDefault="006F5AA5" w:rsidP="00193DCE">
            <w:pPr>
              <w:rPr>
                <w:rFonts w:cstheme="minorHAnsi"/>
              </w:rPr>
            </w:pPr>
          </w:p>
        </w:tc>
        <w:tc>
          <w:tcPr>
            <w:tcW w:w="6930" w:type="dxa"/>
            <w:shd w:val="clear" w:color="auto" w:fill="D9E2F3"/>
          </w:tcPr>
          <w:p w14:paraId="758C2C45" w14:textId="133EBF67" w:rsidR="006F5AA5" w:rsidRPr="00445406" w:rsidRDefault="006F5AA5" w:rsidP="00193DCE">
            <w:pPr>
              <w:cnfStyle w:val="000000100000" w:firstRow="0" w:lastRow="0" w:firstColumn="0" w:lastColumn="0" w:oddVBand="0" w:evenVBand="0" w:oddHBand="1" w:evenHBand="0" w:firstRowFirstColumn="0" w:firstRowLastColumn="0" w:lastRowFirstColumn="0" w:lastRowLastColumn="0"/>
            </w:pPr>
            <w:r w:rsidRPr="006F5AA5">
              <w:t>We use a centralized system</w:t>
            </w:r>
            <w:r w:rsidR="00BE3421">
              <w:t>,</w:t>
            </w:r>
            <w:r w:rsidRPr="006F5AA5">
              <w:t xml:space="preserve"> and it works well</w:t>
            </w:r>
            <w:r w:rsidR="00BE3421">
              <w:t>. A</w:t>
            </w:r>
            <w:r w:rsidRPr="006F5AA5">
              <w:t>ll know where to go</w:t>
            </w:r>
            <w:r>
              <w:t>. (VA)</w:t>
            </w:r>
          </w:p>
        </w:tc>
      </w:tr>
      <w:tr w:rsidR="006F5AA5" w:rsidRPr="009A1CF7" w14:paraId="5305351C"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4DCB1DD6" w14:textId="72FFF8B6" w:rsidR="006F5AA5" w:rsidRPr="00445406" w:rsidRDefault="006F5AA5" w:rsidP="00193DCE">
            <w:pPr>
              <w:rPr>
                <w:rFonts w:cstheme="minorHAnsi"/>
              </w:rPr>
            </w:pPr>
            <w:r>
              <w:rPr>
                <w:rFonts w:cstheme="minorHAnsi"/>
              </w:rPr>
              <w:t>Relying on teachers and support staff who have relevant experience (15)</w:t>
            </w:r>
          </w:p>
        </w:tc>
        <w:tc>
          <w:tcPr>
            <w:tcW w:w="6930" w:type="dxa"/>
          </w:tcPr>
          <w:p w14:paraId="04448093" w14:textId="2419064C" w:rsidR="006F5AA5" w:rsidRPr="00445406" w:rsidRDefault="006F5AA5" w:rsidP="00193DCE">
            <w:pPr>
              <w:cnfStyle w:val="000000000000" w:firstRow="0" w:lastRow="0" w:firstColumn="0" w:lastColumn="0" w:oddVBand="0" w:evenVBand="0" w:oddHBand="0" w:evenHBand="0" w:firstRowFirstColumn="0" w:firstRowLastColumn="0" w:lastRowFirstColumn="0" w:lastRowLastColumn="0"/>
            </w:pPr>
            <w:r>
              <w:t>W</w:t>
            </w:r>
            <w:r w:rsidRPr="00D47477">
              <w:t xml:space="preserve">hen you have a classroom or a school district where they have a history of having visually impaired students, it seems like things </w:t>
            </w:r>
            <w:proofErr w:type="gramStart"/>
            <w:r w:rsidRPr="00D47477">
              <w:t>go</w:t>
            </w:r>
            <w:proofErr w:type="gramEnd"/>
            <w:r w:rsidRPr="00D47477">
              <w:t xml:space="preserve"> a little better. They have visually impaired teachers and specialists</w:t>
            </w:r>
            <w:r w:rsidR="005D644A">
              <w:t>,</w:t>
            </w:r>
            <w:r w:rsidRPr="00D47477">
              <w:t xml:space="preserve"> and they already kind of know the terrain.</w:t>
            </w:r>
            <w:r>
              <w:t xml:space="preserve"> (OH)</w:t>
            </w:r>
          </w:p>
        </w:tc>
      </w:tr>
      <w:tr w:rsidR="006F5AA5" w:rsidRPr="009A1CF7" w14:paraId="3EC53C8D"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0BD683E0" w14:textId="77777777" w:rsidR="006F5AA5" w:rsidRPr="00445406" w:rsidRDefault="006F5AA5" w:rsidP="00193DCE">
            <w:pPr>
              <w:rPr>
                <w:rFonts w:cstheme="minorHAnsi"/>
              </w:rPr>
            </w:pPr>
          </w:p>
        </w:tc>
        <w:tc>
          <w:tcPr>
            <w:tcW w:w="6930" w:type="dxa"/>
            <w:shd w:val="clear" w:color="auto" w:fill="D9E2F3"/>
          </w:tcPr>
          <w:p w14:paraId="3F8DD22F" w14:textId="42E544D2" w:rsidR="006F5AA5" w:rsidRPr="00D47477" w:rsidRDefault="006F5AA5" w:rsidP="00193DCE">
            <w:pPr>
              <w:cnfStyle w:val="000000100000" w:firstRow="0" w:lastRow="0" w:firstColumn="0" w:lastColumn="0" w:oddVBand="0" w:evenVBand="0" w:oddHBand="1" w:evenHBand="0" w:firstRowFirstColumn="0" w:firstRowLastColumn="0" w:lastRowFirstColumn="0" w:lastRowLastColumn="0"/>
            </w:pPr>
            <w:r w:rsidRPr="00D47477">
              <w:t>As a teacher, I did not know exactly how all the materials were procured, but I knew how to contact the support people who could help.</w:t>
            </w:r>
            <w:r w:rsidR="00B15D22">
              <w:t xml:space="preserve"> </w:t>
            </w:r>
            <w:r w:rsidRPr="00D47477">
              <w:t>We often used the OCALI services to help us navigate the system. The low-vision practitioners (braille instructors, mobility specialists, etc.) also provided information and support.</w:t>
            </w:r>
            <w:r>
              <w:t xml:space="preserve"> (OH)</w:t>
            </w:r>
          </w:p>
        </w:tc>
      </w:tr>
      <w:tr w:rsidR="006F5AA5" w:rsidRPr="009A1CF7" w14:paraId="5682453B"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47BE4441" w14:textId="77777777" w:rsidR="006F5AA5" w:rsidRPr="00445406" w:rsidRDefault="006F5AA5" w:rsidP="00193DCE">
            <w:pPr>
              <w:rPr>
                <w:rFonts w:cstheme="minorHAnsi"/>
              </w:rPr>
            </w:pPr>
          </w:p>
        </w:tc>
        <w:tc>
          <w:tcPr>
            <w:tcW w:w="6930" w:type="dxa"/>
          </w:tcPr>
          <w:p w14:paraId="694D5351" w14:textId="51A74AA7" w:rsidR="006F5AA5" w:rsidRPr="00D47477" w:rsidRDefault="006F5AA5" w:rsidP="00193DCE">
            <w:pPr>
              <w:cnfStyle w:val="000000000000" w:firstRow="0" w:lastRow="0" w:firstColumn="0" w:lastColumn="0" w:oddVBand="0" w:evenVBand="0" w:oddHBand="0" w:evenHBand="0" w:firstRowFirstColumn="0" w:firstRowLastColumn="0" w:lastRowFirstColumn="0" w:lastRowLastColumn="0"/>
            </w:pPr>
            <w:r w:rsidRPr="009F6275">
              <w:t>To the best of my knowledge, the Teacher of the Visually Impaired who works with our district has been able to assist us in providing accessible materials relatively quickly.</w:t>
            </w:r>
            <w:r>
              <w:t xml:space="preserve"> (OH)</w:t>
            </w:r>
          </w:p>
        </w:tc>
      </w:tr>
      <w:tr w:rsidR="006F5AA5" w:rsidRPr="009A1CF7" w14:paraId="20C60A62"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09D3455F" w14:textId="77777777" w:rsidR="006F5AA5" w:rsidRPr="00445406" w:rsidRDefault="006F5AA5" w:rsidP="00193DCE">
            <w:pPr>
              <w:rPr>
                <w:rFonts w:cstheme="minorHAnsi"/>
              </w:rPr>
            </w:pPr>
          </w:p>
        </w:tc>
        <w:tc>
          <w:tcPr>
            <w:tcW w:w="6930" w:type="dxa"/>
            <w:shd w:val="clear" w:color="auto" w:fill="D9E2F3"/>
          </w:tcPr>
          <w:p w14:paraId="09190AF5" w14:textId="657D142A" w:rsidR="006F5AA5" w:rsidRPr="00445406" w:rsidRDefault="005D644A" w:rsidP="00193DCE">
            <w:pPr>
              <w:cnfStyle w:val="000000100000" w:firstRow="0" w:lastRow="0" w:firstColumn="0" w:lastColumn="0" w:oddVBand="0" w:evenVBand="0" w:oddHBand="1" w:evenHBand="0" w:firstRowFirstColumn="0" w:firstRowLastColumn="0" w:lastRowFirstColumn="0" w:lastRowLastColumn="0"/>
            </w:pPr>
            <w:r>
              <w:t>I</w:t>
            </w:r>
            <w:r w:rsidR="006F5AA5" w:rsidRPr="00D47477">
              <w:t>f</w:t>
            </w:r>
            <w:r w:rsidR="006F5AA5">
              <w:t xml:space="preserve"> </w:t>
            </w:r>
            <w:r w:rsidR="006F5AA5" w:rsidRPr="00D47477">
              <w:t xml:space="preserve">I can get </w:t>
            </w:r>
            <w:proofErr w:type="gramStart"/>
            <w:r w:rsidR="006F5AA5" w:rsidRPr="00D47477">
              <w:t>the</w:t>
            </w:r>
            <w:r w:rsidR="006F5AA5">
              <w:t xml:space="preserve"> </w:t>
            </w:r>
            <w:r w:rsidR="006F5AA5" w:rsidRPr="00D47477">
              <w:t>good</w:t>
            </w:r>
            <w:proofErr w:type="gramEnd"/>
            <w:r w:rsidR="006F5AA5" w:rsidRPr="00D47477">
              <w:t xml:space="preserve"> teachers for our students</w:t>
            </w:r>
            <w:r>
              <w:t>,</w:t>
            </w:r>
            <w:r w:rsidR="006F5AA5">
              <w:t xml:space="preserve"> </w:t>
            </w:r>
            <w:r w:rsidR="006F5AA5" w:rsidRPr="00D47477">
              <w:t>then that's helpful.</w:t>
            </w:r>
            <w:r w:rsidR="006F5AA5">
              <w:t xml:space="preserve"> (OR)</w:t>
            </w:r>
          </w:p>
        </w:tc>
      </w:tr>
      <w:tr w:rsidR="006F5AA5" w:rsidRPr="009A1CF7" w14:paraId="2528D89F"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08F5BA05" w14:textId="77777777" w:rsidR="006F5AA5" w:rsidRPr="00445406" w:rsidRDefault="006F5AA5" w:rsidP="00193DCE">
            <w:pPr>
              <w:rPr>
                <w:rFonts w:cstheme="minorHAnsi"/>
              </w:rPr>
            </w:pPr>
          </w:p>
        </w:tc>
        <w:tc>
          <w:tcPr>
            <w:tcW w:w="6930" w:type="dxa"/>
          </w:tcPr>
          <w:p w14:paraId="55EDF6FB" w14:textId="1BBFD6F6" w:rsidR="006F5AA5" w:rsidRPr="00E1461B" w:rsidRDefault="006F5AA5" w:rsidP="00193DCE">
            <w:pPr>
              <w:cnfStyle w:val="000000000000" w:firstRow="0" w:lastRow="0" w:firstColumn="0" w:lastColumn="0" w:oddVBand="0" w:evenVBand="0" w:oddHBand="0" w:evenHBand="0" w:firstRowFirstColumn="0" w:firstRowLastColumn="0" w:lastRowFirstColumn="0" w:lastRowLastColumn="0"/>
            </w:pPr>
            <w:r w:rsidRPr="009F6275">
              <w:t xml:space="preserve">We work with specialists to support </w:t>
            </w:r>
            <w:r>
              <w:t>timely delivery</w:t>
            </w:r>
            <w:r w:rsidRPr="009F6275">
              <w:t xml:space="preserve"> through </w:t>
            </w:r>
            <w:proofErr w:type="gramStart"/>
            <w:r w:rsidR="00992547">
              <w:t xml:space="preserve">the </w:t>
            </w:r>
            <w:r w:rsidRPr="009F6275">
              <w:t>LEA</w:t>
            </w:r>
            <w:proofErr w:type="gramEnd"/>
            <w:r w:rsidRPr="009F6275">
              <w:t xml:space="preserve"> and ESD.</w:t>
            </w:r>
            <w:r>
              <w:t xml:space="preserve"> (OR)</w:t>
            </w:r>
          </w:p>
        </w:tc>
      </w:tr>
      <w:tr w:rsidR="006F5AA5" w:rsidRPr="009A1CF7" w14:paraId="64D3CC53"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68891FF9" w14:textId="77777777" w:rsidR="006F5AA5" w:rsidRPr="00445406" w:rsidRDefault="006F5AA5" w:rsidP="00193DCE">
            <w:pPr>
              <w:rPr>
                <w:rFonts w:cstheme="minorHAnsi"/>
              </w:rPr>
            </w:pPr>
          </w:p>
        </w:tc>
        <w:tc>
          <w:tcPr>
            <w:tcW w:w="6930" w:type="dxa"/>
            <w:shd w:val="clear" w:color="auto" w:fill="D9E2F3"/>
          </w:tcPr>
          <w:p w14:paraId="6F9C9382" w14:textId="663325D2" w:rsidR="006F5AA5" w:rsidRPr="00445406" w:rsidRDefault="006F5AA5" w:rsidP="00193DCE">
            <w:pPr>
              <w:cnfStyle w:val="000000100000" w:firstRow="0" w:lastRow="0" w:firstColumn="0" w:lastColumn="0" w:oddVBand="0" w:evenVBand="0" w:oddHBand="1" w:evenHBand="0" w:firstRowFirstColumn="0" w:firstRowLastColumn="0" w:lastRowFirstColumn="0" w:lastRowLastColumn="0"/>
            </w:pPr>
            <w:r>
              <w:t>T</w:t>
            </w:r>
            <w:r w:rsidRPr="00D47477">
              <w:t>hey had some really seasoned T</w:t>
            </w:r>
            <w:r>
              <w:t>V</w:t>
            </w:r>
            <w:r w:rsidRPr="00D47477">
              <w:t>Is in place</w:t>
            </w:r>
            <w:r w:rsidR="00992547">
              <w:t>. T</w:t>
            </w:r>
            <w:r w:rsidRPr="00D47477">
              <w:t xml:space="preserve">he TVI and AMP </w:t>
            </w:r>
            <w:r w:rsidR="00992547">
              <w:t>kind of gr</w:t>
            </w:r>
            <w:r w:rsidRPr="00D47477">
              <w:t>ew together and actually got buy-in from leadership.</w:t>
            </w:r>
            <w:r>
              <w:t xml:space="preserve"> (NC)</w:t>
            </w:r>
          </w:p>
        </w:tc>
      </w:tr>
      <w:tr w:rsidR="006F5AA5" w:rsidRPr="009A1CF7" w14:paraId="52F02BEF"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2C526DC9" w14:textId="60F5479D" w:rsidR="006F5AA5" w:rsidRPr="00445406" w:rsidRDefault="006F5AA5" w:rsidP="00193DCE">
            <w:pPr>
              <w:rPr>
                <w:rFonts w:cstheme="minorHAnsi"/>
              </w:rPr>
            </w:pPr>
            <w:r>
              <w:rPr>
                <w:rFonts w:cstheme="minorHAnsi"/>
              </w:rPr>
              <w:t>Educating stakeholders (8)</w:t>
            </w:r>
          </w:p>
        </w:tc>
        <w:tc>
          <w:tcPr>
            <w:tcW w:w="6930" w:type="dxa"/>
          </w:tcPr>
          <w:p w14:paraId="714A857E" w14:textId="6C7ABE18" w:rsidR="006F5AA5" w:rsidRPr="00445406" w:rsidRDefault="006F5AA5" w:rsidP="00193DCE">
            <w:pPr>
              <w:cnfStyle w:val="000000000000" w:firstRow="0" w:lastRow="0" w:firstColumn="0" w:lastColumn="0" w:oddVBand="0" w:evenVBand="0" w:oddHBand="0" w:evenHBand="0" w:firstRowFirstColumn="0" w:firstRowLastColumn="0" w:lastRowFirstColumn="0" w:lastRowLastColumn="0"/>
            </w:pPr>
            <w:r>
              <w:t>It had been helpful to do</w:t>
            </w:r>
            <w:r w:rsidRPr="00CE5708">
              <w:t xml:space="preserve"> presentations to curriculum committees when possible, or even </w:t>
            </w:r>
            <w:r w:rsidR="00D52A68">
              <w:t xml:space="preserve">to </w:t>
            </w:r>
            <w:r w:rsidRPr="00CE5708">
              <w:t>individual members</w:t>
            </w:r>
            <w:r w:rsidR="00D52A68">
              <w:t>,</w:t>
            </w:r>
            <w:r w:rsidRPr="00CE5708">
              <w:t xml:space="preserve"> to show them how the different technology or learning management systems interact with curriculum, </w:t>
            </w:r>
            <w:r>
              <w:t xml:space="preserve">and </w:t>
            </w:r>
            <w:r w:rsidR="00D52A68">
              <w:t xml:space="preserve">to </w:t>
            </w:r>
            <w:r w:rsidRPr="00CE5708">
              <w:t>provid</w:t>
            </w:r>
            <w:r w:rsidR="00D52A68">
              <w:t>e</w:t>
            </w:r>
            <w:r w:rsidRPr="00CE5708">
              <w:t xml:space="preserve"> checklists for basic accessibility</w:t>
            </w:r>
            <w:r>
              <w:t>. (OR)</w:t>
            </w:r>
          </w:p>
        </w:tc>
      </w:tr>
      <w:tr w:rsidR="006F5AA5" w:rsidRPr="009A1CF7" w14:paraId="5AEC690E"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0388886F" w14:textId="77777777" w:rsidR="006F5AA5" w:rsidRPr="00445406" w:rsidRDefault="006F5AA5" w:rsidP="00193DCE">
            <w:pPr>
              <w:rPr>
                <w:rFonts w:cstheme="minorHAnsi"/>
              </w:rPr>
            </w:pPr>
          </w:p>
        </w:tc>
        <w:tc>
          <w:tcPr>
            <w:tcW w:w="6930" w:type="dxa"/>
            <w:shd w:val="clear" w:color="auto" w:fill="D9E2F3"/>
          </w:tcPr>
          <w:p w14:paraId="27E6C3A5" w14:textId="09A2F9DF" w:rsidR="006F5AA5" w:rsidRDefault="006F5AA5" w:rsidP="00193DCE">
            <w:pPr>
              <w:cnfStyle w:val="000000100000" w:firstRow="0" w:lastRow="0" w:firstColumn="0" w:lastColumn="0" w:oddVBand="0" w:evenVBand="0" w:oddHBand="1" w:evenHBand="0" w:firstRowFirstColumn="0" w:firstRowLastColumn="0" w:lastRowFirstColumn="0" w:lastRowLastColumn="0"/>
            </w:pPr>
            <w:r>
              <w:t>F</w:t>
            </w:r>
            <w:r w:rsidRPr="00D70180">
              <w:t>ocus on accessible formats in state professional development efforts.</w:t>
            </w:r>
            <w:r>
              <w:t xml:space="preserve"> (OR)</w:t>
            </w:r>
          </w:p>
        </w:tc>
      </w:tr>
      <w:tr w:rsidR="006F5AA5" w:rsidRPr="009A1CF7" w14:paraId="44310102"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692249E3" w14:textId="77777777" w:rsidR="006F5AA5" w:rsidRPr="00445406" w:rsidRDefault="006F5AA5" w:rsidP="00193DCE">
            <w:pPr>
              <w:rPr>
                <w:rFonts w:cstheme="minorHAnsi"/>
              </w:rPr>
            </w:pPr>
          </w:p>
        </w:tc>
        <w:tc>
          <w:tcPr>
            <w:tcW w:w="6930" w:type="dxa"/>
          </w:tcPr>
          <w:p w14:paraId="63796BFF" w14:textId="1CC85FC7" w:rsidR="006F5AA5" w:rsidRDefault="006F5AA5" w:rsidP="00193DCE">
            <w:pPr>
              <w:cnfStyle w:val="000000000000" w:firstRow="0" w:lastRow="0" w:firstColumn="0" w:lastColumn="0" w:oddVBand="0" w:evenVBand="0" w:oddHBand="0" w:evenHBand="0" w:firstRowFirstColumn="0" w:firstRowLastColumn="0" w:lastRowFirstColumn="0" w:lastRowLastColumn="0"/>
            </w:pPr>
            <w:r>
              <w:t xml:space="preserve">We copy </w:t>
            </w:r>
            <w:r w:rsidRPr="00D70180">
              <w:t xml:space="preserve">every </w:t>
            </w:r>
            <w:r>
              <w:t>S</w:t>
            </w:r>
            <w:r w:rsidRPr="00D70180">
              <w:t xml:space="preserve">pecial </w:t>
            </w:r>
            <w:r>
              <w:t>E</w:t>
            </w:r>
            <w:r w:rsidRPr="00D70180">
              <w:t xml:space="preserve">d </w:t>
            </w:r>
            <w:r>
              <w:t>D</w:t>
            </w:r>
            <w:r w:rsidRPr="00D70180">
              <w:t xml:space="preserve">irector on </w:t>
            </w:r>
            <w:r w:rsidR="00D52A68">
              <w:t xml:space="preserve">email </w:t>
            </w:r>
            <w:r w:rsidRPr="00D70180">
              <w:t>communications</w:t>
            </w:r>
            <w:r>
              <w:t xml:space="preserve"> </w:t>
            </w:r>
            <w:r w:rsidRPr="00D70180">
              <w:t>with these T</w:t>
            </w:r>
            <w:r w:rsidR="005B11E2">
              <w:t>V</w:t>
            </w:r>
            <w:r w:rsidRPr="00D70180">
              <w:t>I</w:t>
            </w:r>
            <w:r>
              <w:t>s</w:t>
            </w:r>
            <w:r w:rsidR="00D52A68">
              <w:t xml:space="preserve">, </w:t>
            </w:r>
            <w:r w:rsidRPr="00D70180">
              <w:t xml:space="preserve">whether they want to hear it or not. </w:t>
            </w:r>
            <w:r w:rsidR="00D52A68">
              <w:t>T</w:t>
            </w:r>
            <w:r w:rsidRPr="00D70180">
              <w:t xml:space="preserve">hat's been </w:t>
            </w:r>
            <w:proofErr w:type="gramStart"/>
            <w:r w:rsidRPr="00D70180">
              <w:t>a best</w:t>
            </w:r>
            <w:proofErr w:type="gramEnd"/>
            <w:r w:rsidRPr="00D70180">
              <w:t xml:space="preserve"> practice that we've been doing for about four years, and I think that's helped.</w:t>
            </w:r>
            <w:r>
              <w:t xml:space="preserve"> (UT)</w:t>
            </w:r>
          </w:p>
        </w:tc>
      </w:tr>
      <w:tr w:rsidR="006F5AA5" w:rsidRPr="009A1CF7" w14:paraId="60EFFD99"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3ED6335A" w14:textId="77777777" w:rsidR="006F5AA5" w:rsidRPr="00445406" w:rsidRDefault="006F5AA5" w:rsidP="00193DCE">
            <w:pPr>
              <w:rPr>
                <w:rFonts w:cstheme="minorHAnsi"/>
              </w:rPr>
            </w:pPr>
          </w:p>
        </w:tc>
        <w:tc>
          <w:tcPr>
            <w:tcW w:w="6930" w:type="dxa"/>
            <w:shd w:val="clear" w:color="auto" w:fill="D9E2F3"/>
          </w:tcPr>
          <w:p w14:paraId="3A7CCDCD" w14:textId="401A6053" w:rsidR="006F5AA5" w:rsidRPr="00D70180" w:rsidRDefault="006F5AA5" w:rsidP="00193DCE">
            <w:pPr>
              <w:cnfStyle w:val="000000100000" w:firstRow="0" w:lastRow="0" w:firstColumn="0" w:lastColumn="0" w:oddVBand="0" w:evenVBand="0" w:oddHBand="1" w:evenHBand="0" w:firstRowFirstColumn="0" w:firstRowLastColumn="0" w:lastRowFirstColumn="0" w:lastRowLastColumn="0"/>
            </w:pPr>
            <w:r>
              <w:t>W</w:t>
            </w:r>
            <w:r w:rsidRPr="00B814EE">
              <w:t xml:space="preserve">e </w:t>
            </w:r>
            <w:r w:rsidR="007A39AF">
              <w:t>offer</w:t>
            </w:r>
            <w:r w:rsidRPr="00B814EE">
              <w:t xml:space="preserve"> a new </w:t>
            </w:r>
            <w:r>
              <w:t>S</w:t>
            </w:r>
            <w:r w:rsidRPr="00B814EE">
              <w:t xml:space="preserve">pecial </w:t>
            </w:r>
            <w:r>
              <w:t>E</w:t>
            </w:r>
            <w:r w:rsidRPr="00B814EE">
              <w:t xml:space="preserve">d </w:t>
            </w:r>
            <w:r w:rsidR="007A39AF">
              <w:t>A</w:t>
            </w:r>
            <w:r w:rsidRPr="00B814EE">
              <w:t xml:space="preserve">dministrator </w:t>
            </w:r>
            <w:r w:rsidR="007A39AF">
              <w:t>c</w:t>
            </w:r>
            <w:r w:rsidRPr="00B814EE">
              <w:t xml:space="preserve">ohort training every year. </w:t>
            </w:r>
            <w:proofErr w:type="gramStart"/>
            <w:r w:rsidRPr="00B814EE">
              <w:t>So</w:t>
            </w:r>
            <w:proofErr w:type="gramEnd"/>
            <w:r w:rsidRPr="00B814EE">
              <w:t xml:space="preserve"> if you're a new</w:t>
            </w:r>
            <w:r>
              <w:t xml:space="preserve"> </w:t>
            </w:r>
            <w:r w:rsidR="00F15FA5">
              <w:t>S</w:t>
            </w:r>
            <w:r w:rsidR="00F15FA5" w:rsidRPr="00B814EE">
              <w:t>pecial</w:t>
            </w:r>
            <w:r w:rsidRPr="00B814EE">
              <w:t xml:space="preserve"> </w:t>
            </w:r>
            <w:r>
              <w:t>E</w:t>
            </w:r>
            <w:r w:rsidRPr="00B814EE">
              <w:t>d administrator in Utah,</w:t>
            </w:r>
            <w:r w:rsidR="007A39AF">
              <w:t xml:space="preserve"> in</w:t>
            </w:r>
            <w:r w:rsidRPr="00B814EE">
              <w:t xml:space="preserve"> the first three years of your job, or if you transfer LEAs and you </w:t>
            </w:r>
            <w:r w:rsidR="007A39AF">
              <w:t xml:space="preserve">just </w:t>
            </w:r>
            <w:r w:rsidRPr="00B814EE">
              <w:t>want a refresher</w:t>
            </w:r>
            <w:r>
              <w:t xml:space="preserve">, </w:t>
            </w:r>
            <w:r w:rsidRPr="00B814EE">
              <w:t xml:space="preserve">we provide information to new </w:t>
            </w:r>
            <w:r>
              <w:t>S</w:t>
            </w:r>
            <w:r w:rsidRPr="00B814EE">
              <w:t xml:space="preserve">pecial </w:t>
            </w:r>
            <w:r>
              <w:t>E</w:t>
            </w:r>
            <w:r w:rsidRPr="00B814EE">
              <w:t xml:space="preserve">d </w:t>
            </w:r>
            <w:r w:rsidR="007A39AF">
              <w:t>D</w:t>
            </w:r>
            <w:r w:rsidRPr="00B814EE">
              <w:t xml:space="preserve">irectors every year about their responsibilities, how to access </w:t>
            </w:r>
            <w:r>
              <w:t xml:space="preserve">Utah’s IRC, </w:t>
            </w:r>
            <w:r w:rsidRPr="00B814EE">
              <w:t>and what</w:t>
            </w:r>
            <w:r w:rsidR="007A39AF">
              <w:t>’s</w:t>
            </w:r>
            <w:r w:rsidRPr="00B814EE">
              <w:t xml:space="preserve"> available a</w:t>
            </w:r>
            <w:r>
              <w:t>t APH</w:t>
            </w:r>
            <w:r w:rsidRPr="00B814EE">
              <w:t>.</w:t>
            </w:r>
            <w:r>
              <w:t xml:space="preserve"> (UT)</w:t>
            </w:r>
          </w:p>
        </w:tc>
      </w:tr>
      <w:tr w:rsidR="006F5AA5" w:rsidRPr="009A1CF7" w14:paraId="11008151"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62D23EB9" w14:textId="1A73A25C" w:rsidR="006F5AA5" w:rsidRPr="00445406" w:rsidRDefault="006F5AA5" w:rsidP="00193DCE">
            <w:pPr>
              <w:rPr>
                <w:rFonts w:cstheme="minorHAnsi"/>
              </w:rPr>
            </w:pPr>
          </w:p>
        </w:tc>
        <w:tc>
          <w:tcPr>
            <w:tcW w:w="6930" w:type="dxa"/>
          </w:tcPr>
          <w:p w14:paraId="36BD2350" w14:textId="3A4F6B10" w:rsidR="006F5AA5" w:rsidRPr="00445406" w:rsidRDefault="006F5AA5" w:rsidP="00193DCE">
            <w:pPr>
              <w:cnfStyle w:val="000000000000" w:firstRow="0" w:lastRow="0" w:firstColumn="0" w:lastColumn="0" w:oddVBand="0" w:evenVBand="0" w:oddHBand="0" w:evenHBand="0" w:firstRowFirstColumn="0" w:firstRowLastColumn="0" w:lastRowFirstColumn="0" w:lastRowLastColumn="0"/>
            </w:pPr>
            <w:r w:rsidRPr="00D70180">
              <w:t>Wisconsin has a very high number of provisionally licensed teachers of the blind. We have a mentoring program to help them learn</w:t>
            </w:r>
            <w:r w:rsidR="00173FEF">
              <w:t>,</w:t>
            </w:r>
            <w:r w:rsidRPr="00D70180">
              <w:t xml:space="preserve"> and we teach them about </w:t>
            </w:r>
            <w:proofErr w:type="gramStart"/>
            <w:r w:rsidRPr="00D70180">
              <w:t xml:space="preserve">the </w:t>
            </w:r>
            <w:r>
              <w:t>NIMAC</w:t>
            </w:r>
            <w:proofErr w:type="gramEnd"/>
            <w:r w:rsidRPr="00D70180">
              <w:t xml:space="preserve"> and the responsibilities that lie on the TVI. </w:t>
            </w:r>
            <w:r>
              <w:t>[WI]</w:t>
            </w:r>
          </w:p>
        </w:tc>
      </w:tr>
      <w:tr w:rsidR="001E3CD8" w:rsidRPr="009A1CF7" w14:paraId="2A5B363A"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26DB6B16" w14:textId="3CC948A6" w:rsidR="001E3CD8" w:rsidRPr="00445406" w:rsidRDefault="001E3CD8" w:rsidP="00193DCE">
            <w:pPr>
              <w:rPr>
                <w:rFonts w:cstheme="minorHAnsi"/>
              </w:rPr>
            </w:pPr>
            <w:r>
              <w:rPr>
                <w:rFonts w:cstheme="minorHAnsi"/>
              </w:rPr>
              <w:t>Including assessment of accessibility in curriculum reviews (4)</w:t>
            </w:r>
          </w:p>
        </w:tc>
        <w:tc>
          <w:tcPr>
            <w:tcW w:w="6930" w:type="dxa"/>
            <w:shd w:val="clear" w:color="auto" w:fill="D9E2F3"/>
          </w:tcPr>
          <w:p w14:paraId="4AA801D5" w14:textId="42996EDE" w:rsidR="001E3CD8" w:rsidRPr="00D70180" w:rsidRDefault="001E3CD8" w:rsidP="00193DCE">
            <w:pPr>
              <w:cnfStyle w:val="000000100000" w:firstRow="0" w:lastRow="0" w:firstColumn="0" w:lastColumn="0" w:oddVBand="0" w:evenVBand="0" w:oddHBand="1" w:evenHBand="0" w:firstRowFirstColumn="0" w:firstRowLastColumn="0" w:lastRowFirstColumn="0" w:lastRowLastColumn="0"/>
            </w:pPr>
            <w:r>
              <w:t>We were trying to help teachers as they walked through the curriculum adoption process for their school or for their district</w:t>
            </w:r>
            <w:r w:rsidR="00007F78">
              <w:t xml:space="preserve">, including </w:t>
            </w:r>
            <w:r>
              <w:t>giv</w:t>
            </w:r>
            <w:r w:rsidR="00007F78">
              <w:t>ing</w:t>
            </w:r>
            <w:r>
              <w:t xml:space="preserve"> them three or four questions that they could take into a curriculum review</w:t>
            </w:r>
            <w:r w:rsidR="00007F78">
              <w:t>:</w:t>
            </w:r>
            <w:r>
              <w:t xml:space="preserve"> Is this accessible? How easy is it to get to the accessibility features? Is it something you feel like you could use in your classroom? </w:t>
            </w:r>
            <w:r w:rsidR="00007F78">
              <w:t>W</w:t>
            </w:r>
            <w:r>
              <w:t xml:space="preserve">e give teachers some awareness from the beginning that there are accessibility </w:t>
            </w:r>
            <w:proofErr w:type="gramStart"/>
            <w:r>
              <w:t>features</w:t>
            </w:r>
            <w:proofErr w:type="gramEnd"/>
            <w:r>
              <w:t xml:space="preserve"> and they will be asked to use them. (OR)</w:t>
            </w:r>
          </w:p>
        </w:tc>
      </w:tr>
      <w:tr w:rsidR="001E3CD8" w:rsidRPr="009A1CF7" w14:paraId="4F3BDCED"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011D43CA" w14:textId="77777777" w:rsidR="001E3CD8" w:rsidRPr="00445406" w:rsidRDefault="001E3CD8" w:rsidP="00193DCE">
            <w:pPr>
              <w:rPr>
                <w:rFonts w:cstheme="minorHAnsi"/>
              </w:rPr>
            </w:pPr>
          </w:p>
        </w:tc>
        <w:tc>
          <w:tcPr>
            <w:tcW w:w="6930" w:type="dxa"/>
          </w:tcPr>
          <w:p w14:paraId="5ABE3D20" w14:textId="40E981EE" w:rsidR="001E3CD8" w:rsidRPr="002E2051" w:rsidRDefault="00007F78" w:rsidP="00193DCE">
            <w:pPr>
              <w:cnfStyle w:val="000000000000" w:firstRow="0" w:lastRow="0" w:firstColumn="0" w:lastColumn="0" w:oddVBand="0" w:evenVBand="0" w:oddHBand="0" w:evenHBand="0" w:firstRowFirstColumn="0" w:firstRowLastColumn="0" w:lastRowFirstColumn="0" w:lastRowLastColumn="0"/>
            </w:pPr>
            <w:r>
              <w:rPr>
                <w:rFonts w:cstheme="minorHAnsi"/>
              </w:rPr>
              <w:t>There are</w:t>
            </w:r>
            <w:r w:rsidR="001E3CD8" w:rsidRPr="002E2051">
              <w:rPr>
                <w:rFonts w:cstheme="minorHAnsi"/>
              </w:rPr>
              <w:t xml:space="preserve"> state curriculum adoption rules in Oregon</w:t>
            </w:r>
            <w:r>
              <w:rPr>
                <w:rFonts w:cstheme="minorHAnsi"/>
              </w:rPr>
              <w:t>,</w:t>
            </w:r>
            <w:r w:rsidR="001E3CD8" w:rsidRPr="002E2051">
              <w:rPr>
                <w:rFonts w:cstheme="minorHAnsi"/>
              </w:rPr>
              <w:t xml:space="preserve"> where in order for any curricula to be put on the recommended list, they have to go through a whole accessibility check from a third party. So, at the very highest level, I think that kind of policy has to be in place</w:t>
            </w:r>
            <w:r>
              <w:rPr>
                <w:rFonts w:cstheme="minorHAnsi"/>
              </w:rPr>
              <w:t>.</w:t>
            </w:r>
            <w:r w:rsidR="001E3CD8" w:rsidRPr="002E2051">
              <w:rPr>
                <w:rFonts w:cstheme="minorHAnsi"/>
              </w:rPr>
              <w:t xml:space="preserve"> (OR)</w:t>
            </w:r>
          </w:p>
        </w:tc>
      </w:tr>
      <w:tr w:rsidR="001E3CD8" w:rsidRPr="009A1CF7" w14:paraId="395CD70C"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5B6DBE51" w14:textId="10F4D064" w:rsidR="001E3CD8" w:rsidRPr="00445406" w:rsidRDefault="001E3CD8" w:rsidP="00193DCE">
            <w:pPr>
              <w:rPr>
                <w:rFonts w:cstheme="minorHAnsi"/>
              </w:rPr>
            </w:pPr>
            <w:r>
              <w:rPr>
                <w:rFonts w:cstheme="minorHAnsi"/>
              </w:rPr>
              <w:t>NIMAS requirement included in procurement contracts (3)</w:t>
            </w:r>
          </w:p>
        </w:tc>
        <w:tc>
          <w:tcPr>
            <w:tcW w:w="6930" w:type="dxa"/>
            <w:shd w:val="clear" w:color="auto" w:fill="D9E2F3"/>
          </w:tcPr>
          <w:p w14:paraId="1C2B049E" w14:textId="30DBC936" w:rsidR="001E3CD8" w:rsidRPr="00445406" w:rsidRDefault="001E3CD8" w:rsidP="00193DCE">
            <w:pPr>
              <w:cnfStyle w:val="000000100000" w:firstRow="0" w:lastRow="0" w:firstColumn="0" w:lastColumn="0" w:oddVBand="0" w:evenVBand="0" w:oddHBand="1" w:evenHBand="0" w:firstRowFirstColumn="0" w:firstRowLastColumn="0" w:lastRowFirstColumn="0" w:lastRowLastColumn="0"/>
            </w:pPr>
            <w:r>
              <w:t>Publishers</w:t>
            </w:r>
            <w:r w:rsidRPr="00BC7B60">
              <w:t xml:space="preserve"> don't refuse</w:t>
            </w:r>
            <w:r>
              <w:t xml:space="preserve"> to add NIMAS files to the NIMAC system</w:t>
            </w:r>
            <w:r w:rsidR="000F07E1">
              <w:t xml:space="preserve"> if </w:t>
            </w:r>
            <w:r w:rsidRPr="00BC7B60">
              <w:t xml:space="preserve">it's </w:t>
            </w:r>
            <w:r>
              <w:t>in</w:t>
            </w:r>
            <w:r w:rsidRPr="00BC7B60">
              <w:t xml:space="preserve"> the </w:t>
            </w:r>
            <w:r>
              <w:t xml:space="preserve">procurement contract </w:t>
            </w:r>
            <w:r w:rsidRPr="00BC7B60">
              <w:t>agreement with the school district</w:t>
            </w:r>
            <w:r w:rsidR="000F07E1">
              <w:t>.</w:t>
            </w:r>
            <w:r>
              <w:t xml:space="preserve"> (OH)</w:t>
            </w:r>
          </w:p>
        </w:tc>
      </w:tr>
      <w:tr w:rsidR="001E3CD8" w:rsidRPr="00CD254C" w14:paraId="4F9179DB"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39B2C34C" w14:textId="77777777" w:rsidR="001E3CD8" w:rsidRPr="00445406" w:rsidRDefault="001E3CD8" w:rsidP="00193DCE">
            <w:pPr>
              <w:rPr>
                <w:rFonts w:cstheme="minorHAnsi"/>
              </w:rPr>
            </w:pPr>
          </w:p>
        </w:tc>
        <w:tc>
          <w:tcPr>
            <w:tcW w:w="6930" w:type="dxa"/>
          </w:tcPr>
          <w:p w14:paraId="19FB0F95" w14:textId="3F9EA7FA" w:rsidR="001E3CD8" w:rsidRPr="00445406" w:rsidRDefault="001E3CD8" w:rsidP="00193DCE">
            <w:pPr>
              <w:cnfStyle w:val="000000000000" w:firstRow="0" w:lastRow="0" w:firstColumn="0" w:lastColumn="0" w:oddVBand="0" w:evenVBand="0" w:oddHBand="0" w:evenHBand="0" w:firstRowFirstColumn="0" w:firstRowLastColumn="0" w:lastRowFirstColumn="0" w:lastRowLastColumn="0"/>
            </w:pPr>
            <w:r w:rsidRPr="00BC7B60">
              <w:t xml:space="preserve">I think planning ahead is crucial but not always possible. However, NIMAS requirements being included </w:t>
            </w:r>
            <w:r>
              <w:t xml:space="preserve">in procurement contracts </w:t>
            </w:r>
            <w:r w:rsidRPr="00BC7B60">
              <w:t>will ensure access when needed.</w:t>
            </w:r>
            <w:r>
              <w:t xml:space="preserve"> (MN)</w:t>
            </w:r>
          </w:p>
        </w:tc>
      </w:tr>
      <w:tr w:rsidR="001E3CD8" w:rsidRPr="00CD254C" w14:paraId="65CD0035"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00D3E9B8" w14:textId="1AEB35C4" w:rsidR="001E3CD8" w:rsidRPr="00445406" w:rsidRDefault="001E3CD8" w:rsidP="00193DCE">
            <w:pPr>
              <w:rPr>
                <w:rFonts w:cstheme="minorHAnsi"/>
              </w:rPr>
            </w:pPr>
            <w:r>
              <w:rPr>
                <w:rFonts w:cstheme="minorHAnsi"/>
              </w:rPr>
              <w:lastRenderedPageBreak/>
              <w:t>Including Special Education professionals in curriculum decisions (3)</w:t>
            </w:r>
          </w:p>
        </w:tc>
        <w:tc>
          <w:tcPr>
            <w:tcW w:w="6930" w:type="dxa"/>
            <w:shd w:val="clear" w:color="auto" w:fill="D9E2F3"/>
          </w:tcPr>
          <w:p w14:paraId="5CB9FA87" w14:textId="7B51F7C3" w:rsidR="001E3CD8" w:rsidRPr="00BC7B60" w:rsidRDefault="001E3CD8" w:rsidP="00193DCE">
            <w:pPr>
              <w:cnfStyle w:val="000000100000" w:firstRow="0" w:lastRow="0" w:firstColumn="0" w:lastColumn="0" w:oddVBand="0" w:evenVBand="0" w:oddHBand="1" w:evenHBand="0" w:firstRowFirstColumn="0" w:firstRowLastColumn="0" w:lastRowFirstColumn="0" w:lastRowLastColumn="0"/>
            </w:pPr>
            <w:r w:rsidRPr="001D6A12">
              <w:t xml:space="preserve">Some of the folks who pick curricula at the district level have checklists that they're looking at. </w:t>
            </w:r>
            <w:r w:rsidR="002D0A98">
              <w:t xml:space="preserve">They think that </w:t>
            </w:r>
            <w:r w:rsidRPr="001D6A12">
              <w:t xml:space="preserve">if it says it's </w:t>
            </w:r>
            <w:r>
              <w:t>accessible</w:t>
            </w:r>
            <w:r w:rsidRPr="001D6A12">
              <w:t>, it must be</w:t>
            </w:r>
            <w:r w:rsidR="002D0A98">
              <w:t xml:space="preserve"> </w:t>
            </w:r>
            <w:r w:rsidRPr="001D6A12">
              <w:t xml:space="preserve">whether it actually is or not. </w:t>
            </w:r>
            <w:r w:rsidR="002D0A98">
              <w:t>I</w:t>
            </w:r>
            <w:r w:rsidRPr="001D6A12">
              <w:t>t is always good to have somebody with that broader knowledge base take a peek to see what they mean by that terminology.</w:t>
            </w:r>
            <w:r>
              <w:t xml:space="preserve"> (OH)</w:t>
            </w:r>
          </w:p>
        </w:tc>
      </w:tr>
      <w:tr w:rsidR="001E3CD8" w:rsidRPr="00CD254C" w14:paraId="725CBA10"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0EAB7BD3" w14:textId="77777777" w:rsidR="001E3CD8" w:rsidRPr="00445406" w:rsidRDefault="001E3CD8" w:rsidP="00193DCE">
            <w:pPr>
              <w:rPr>
                <w:rFonts w:cstheme="minorHAnsi"/>
              </w:rPr>
            </w:pPr>
          </w:p>
        </w:tc>
        <w:tc>
          <w:tcPr>
            <w:tcW w:w="6930" w:type="dxa"/>
          </w:tcPr>
          <w:p w14:paraId="63BA04F3" w14:textId="77298F47" w:rsidR="001E3CD8" w:rsidRPr="00BC7B60" w:rsidRDefault="001E3CD8" w:rsidP="00193DCE">
            <w:pPr>
              <w:cnfStyle w:val="000000000000" w:firstRow="0" w:lastRow="0" w:firstColumn="0" w:lastColumn="0" w:oddVBand="0" w:evenVBand="0" w:oddHBand="0" w:evenHBand="0" w:firstRowFirstColumn="0" w:firstRowLastColumn="0" w:lastRowFirstColumn="0" w:lastRowLastColumn="0"/>
            </w:pPr>
            <w:r>
              <w:t xml:space="preserve">It is helpful </w:t>
            </w:r>
            <w:r w:rsidRPr="001D6A12">
              <w:t xml:space="preserve">when </w:t>
            </w:r>
            <w:r>
              <w:t>procurement staff</w:t>
            </w:r>
            <w:r w:rsidRPr="001D6A12">
              <w:t xml:space="preserve"> bring the student services staff, either student services administrators or one of us</w:t>
            </w:r>
            <w:r>
              <w:t xml:space="preserve"> </w:t>
            </w:r>
            <w:r w:rsidR="002D0A98">
              <w:t>[</w:t>
            </w:r>
            <w:r>
              <w:t>Special Education staff]</w:t>
            </w:r>
            <w:r w:rsidR="002D0A98">
              <w:t>,</w:t>
            </w:r>
            <w:r w:rsidRPr="001D6A12">
              <w:t xml:space="preserve"> early </w:t>
            </w:r>
            <w:proofErr w:type="gramStart"/>
            <w:r w:rsidRPr="001D6A12">
              <w:t>on in the conversation</w:t>
            </w:r>
            <w:proofErr w:type="gramEnd"/>
            <w:r w:rsidRPr="001D6A12">
              <w:t xml:space="preserve"> when they're looking</w:t>
            </w:r>
            <w:r>
              <w:t xml:space="preserve"> </w:t>
            </w:r>
            <w:r w:rsidR="002D0A98">
              <w:t xml:space="preserve">at </w:t>
            </w:r>
            <w:r>
              <w:t>and</w:t>
            </w:r>
            <w:r w:rsidRPr="001D6A12">
              <w:t xml:space="preserve"> starting the ordering process</w:t>
            </w:r>
            <w:r>
              <w:t>. (OR)</w:t>
            </w:r>
          </w:p>
        </w:tc>
      </w:tr>
      <w:tr w:rsidR="001E3CD8" w:rsidRPr="00CD254C" w14:paraId="30394E58"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shd w:val="clear" w:color="auto" w:fill="D9E2F3"/>
          </w:tcPr>
          <w:p w14:paraId="3971BC5A" w14:textId="4C7A64D6" w:rsidR="001E3CD8" w:rsidRPr="00445406" w:rsidRDefault="001E3CD8" w:rsidP="00193DCE">
            <w:pPr>
              <w:rPr>
                <w:rFonts w:cstheme="minorHAnsi"/>
              </w:rPr>
            </w:pPr>
            <w:r>
              <w:rPr>
                <w:rFonts w:cstheme="minorHAnsi"/>
              </w:rPr>
              <w:t>Accountability through parental involvement (3)</w:t>
            </w:r>
          </w:p>
        </w:tc>
        <w:tc>
          <w:tcPr>
            <w:tcW w:w="6930" w:type="dxa"/>
            <w:shd w:val="clear" w:color="auto" w:fill="D9E2F3"/>
          </w:tcPr>
          <w:p w14:paraId="5B5392F3" w14:textId="24BB4AE5" w:rsidR="001E3CD8" w:rsidRPr="00BC7B60" w:rsidRDefault="001E3CD8" w:rsidP="00193DCE">
            <w:pPr>
              <w:cnfStyle w:val="000000100000" w:firstRow="0" w:lastRow="0" w:firstColumn="0" w:lastColumn="0" w:oddVBand="0" w:evenVBand="0" w:oddHBand="1" w:evenHBand="0" w:firstRowFirstColumn="0" w:firstRowLastColumn="0" w:lastRowFirstColumn="0" w:lastRowLastColumn="0"/>
            </w:pPr>
            <w:r w:rsidRPr="005932BB">
              <w:t xml:space="preserve">I do a lot of parent training </w:t>
            </w:r>
            <w:r>
              <w:t>that involves</w:t>
            </w:r>
            <w:r w:rsidRPr="005932BB">
              <w:t xml:space="preserve"> helping parents know what they need to be asking for. And </w:t>
            </w:r>
            <w:r w:rsidR="00F15FA5" w:rsidRPr="005932BB">
              <w:t>so,</w:t>
            </w:r>
            <w:r w:rsidRPr="005932BB">
              <w:t xml:space="preserve"> </w:t>
            </w:r>
            <w:r w:rsidR="00774846">
              <w:t xml:space="preserve">the </w:t>
            </w:r>
            <w:r w:rsidRPr="005932BB">
              <w:t>S</w:t>
            </w:r>
            <w:r>
              <w:t>E</w:t>
            </w:r>
            <w:r w:rsidRPr="005932BB">
              <w:t>As and the LEAs aren't off the hook</w:t>
            </w:r>
            <w:r w:rsidR="00774846">
              <w:t xml:space="preserve">. </w:t>
            </w:r>
            <w:r>
              <w:t>(OR)</w:t>
            </w:r>
          </w:p>
        </w:tc>
      </w:tr>
      <w:tr w:rsidR="001E3CD8" w:rsidRPr="00CD254C" w14:paraId="275E1780" w14:textId="77777777" w:rsidTr="00FF38BD">
        <w:tc>
          <w:tcPr>
            <w:cnfStyle w:val="001000000000" w:firstRow="0" w:lastRow="0" w:firstColumn="1" w:lastColumn="0" w:oddVBand="0" w:evenVBand="0" w:oddHBand="0" w:evenHBand="0" w:firstRowFirstColumn="0" w:firstRowLastColumn="0" w:lastRowFirstColumn="0" w:lastRowLastColumn="0"/>
            <w:tcW w:w="2425" w:type="dxa"/>
          </w:tcPr>
          <w:p w14:paraId="60F222CB" w14:textId="77777777" w:rsidR="001E3CD8" w:rsidRPr="00445406" w:rsidRDefault="001E3CD8" w:rsidP="00193DCE">
            <w:pPr>
              <w:rPr>
                <w:rFonts w:cstheme="minorHAnsi"/>
              </w:rPr>
            </w:pPr>
          </w:p>
        </w:tc>
        <w:tc>
          <w:tcPr>
            <w:tcW w:w="6930" w:type="dxa"/>
          </w:tcPr>
          <w:p w14:paraId="442DAD4C" w14:textId="474BA048" w:rsidR="001E3CD8" w:rsidRPr="00BC7B60" w:rsidRDefault="001E3CD8" w:rsidP="00193DCE">
            <w:pPr>
              <w:cnfStyle w:val="000000000000" w:firstRow="0" w:lastRow="0" w:firstColumn="0" w:lastColumn="0" w:oddVBand="0" w:evenVBand="0" w:oddHBand="0" w:evenHBand="0" w:firstRowFirstColumn="0" w:firstRowLastColumn="0" w:lastRowFirstColumn="0" w:lastRowLastColumn="0"/>
            </w:pPr>
            <w:r w:rsidRPr="005932BB">
              <w:t>I was a parent in my school district. I've been able to weasel my way into things and talk about accessibility, but they do seem mind-blown when I bring it up</w:t>
            </w:r>
            <w:r>
              <w:t>. (OR)</w:t>
            </w:r>
          </w:p>
        </w:tc>
      </w:tr>
      <w:bookmarkEnd w:id="51"/>
    </w:tbl>
    <w:p w14:paraId="3DD7C607" w14:textId="77777777" w:rsidR="009A1CF7" w:rsidRDefault="009A1CF7" w:rsidP="00A02991">
      <w:pPr>
        <w:spacing w:after="0" w:line="276" w:lineRule="auto"/>
        <w:rPr>
          <w:rFonts w:ascii="Calibri" w:hAnsi="Calibri" w:cs="Calibri"/>
          <w:bCs/>
          <w:sz w:val="24"/>
          <w:szCs w:val="24"/>
        </w:rPr>
      </w:pPr>
    </w:p>
    <w:p w14:paraId="6F1084C3" w14:textId="77777777" w:rsidR="00A438DD" w:rsidRDefault="00A438DD" w:rsidP="00A02991">
      <w:pPr>
        <w:spacing w:after="0" w:line="276" w:lineRule="auto"/>
        <w:rPr>
          <w:rFonts w:ascii="Calibri" w:hAnsi="Calibri" w:cs="Calibri"/>
          <w:bCs/>
          <w:sz w:val="24"/>
          <w:szCs w:val="24"/>
        </w:rPr>
      </w:pPr>
    </w:p>
    <w:p w14:paraId="309B1C72" w14:textId="3CC35CBD" w:rsidR="00DA7410" w:rsidRPr="00DA7410" w:rsidRDefault="00B55C67" w:rsidP="00DA7410">
      <w:pPr>
        <w:spacing w:after="0" w:line="276" w:lineRule="auto"/>
        <w:rPr>
          <w:rFonts w:ascii="Calibri" w:hAnsi="Calibri" w:cs="Calibri"/>
          <w:bCs/>
          <w:sz w:val="24"/>
          <w:szCs w:val="24"/>
          <w:highlight w:val="green"/>
        </w:rPr>
      </w:pPr>
      <w:r>
        <w:rPr>
          <w:rFonts w:ascii="ZWAdobeF" w:hAnsi="ZWAdobeF" w:cs="ZWAdobeF"/>
          <w:bCs/>
          <w:sz w:val="2"/>
          <w:szCs w:val="2"/>
        </w:rPr>
        <w:t>164B</w:t>
      </w:r>
      <w:r w:rsidR="00DA7410" w:rsidRPr="00DA7410">
        <w:rPr>
          <w:rFonts w:ascii="Calibri" w:hAnsi="Calibri" w:cs="Calibri"/>
          <w:bCs/>
          <w:sz w:val="24"/>
          <w:szCs w:val="24"/>
        </w:rPr>
        <w:t xml:space="preserve">To explore </w:t>
      </w:r>
      <w:r w:rsidR="00753247">
        <w:rPr>
          <w:rFonts w:ascii="Calibri" w:hAnsi="Calibri" w:cs="Calibri"/>
          <w:bCs/>
          <w:sz w:val="24"/>
          <w:szCs w:val="24"/>
        </w:rPr>
        <w:t xml:space="preserve">the third set of </w:t>
      </w:r>
      <w:r w:rsidR="00DA7410" w:rsidRPr="00DA7410">
        <w:rPr>
          <w:rFonts w:ascii="Calibri" w:hAnsi="Calibri" w:cs="Calibri"/>
          <w:bCs/>
          <w:sz w:val="24"/>
          <w:szCs w:val="24"/>
        </w:rPr>
        <w:t xml:space="preserve">practices related to the timely delivery of accessible formats, </w:t>
      </w:r>
      <w:r w:rsidR="00D23CE1">
        <w:rPr>
          <w:rFonts w:ascii="Calibri" w:hAnsi="Calibri" w:cs="Calibri"/>
          <w:bCs/>
          <w:sz w:val="24"/>
          <w:szCs w:val="24"/>
        </w:rPr>
        <w:t xml:space="preserve">select </w:t>
      </w:r>
      <w:r w:rsidR="00DA7410" w:rsidRPr="00DA7410">
        <w:rPr>
          <w:rFonts w:ascii="Calibri" w:hAnsi="Calibri" w:cs="Calibri"/>
          <w:bCs/>
          <w:sz w:val="24"/>
          <w:szCs w:val="24"/>
        </w:rPr>
        <w:t>survey respondents</w:t>
      </w:r>
      <w:r w:rsidR="00490FC8">
        <w:rPr>
          <w:rFonts w:ascii="Calibri" w:hAnsi="Calibri" w:cs="Calibri"/>
          <w:bCs/>
          <w:sz w:val="24"/>
          <w:szCs w:val="24"/>
        </w:rPr>
        <w:t xml:space="preserve"> </w:t>
      </w:r>
      <w:r w:rsidR="00D23CE1">
        <w:rPr>
          <w:rFonts w:ascii="Calibri" w:hAnsi="Calibri" w:cs="Calibri"/>
          <w:bCs/>
          <w:sz w:val="24"/>
          <w:szCs w:val="24"/>
        </w:rPr>
        <w:t>(i.e.,</w:t>
      </w:r>
      <w:r w:rsidR="00490FC8">
        <w:rPr>
          <w:rFonts w:ascii="Calibri" w:hAnsi="Calibri" w:cs="Calibri"/>
          <w:bCs/>
          <w:sz w:val="24"/>
          <w:szCs w:val="24"/>
        </w:rPr>
        <w:t xml:space="preserve"> publishers and NIMAC </w:t>
      </w:r>
      <w:r w:rsidR="00D23CE1">
        <w:rPr>
          <w:rFonts w:ascii="Calibri" w:hAnsi="Calibri" w:cs="Calibri"/>
          <w:bCs/>
          <w:sz w:val="24"/>
          <w:szCs w:val="24"/>
        </w:rPr>
        <w:t>U</w:t>
      </w:r>
      <w:r w:rsidR="00490FC8">
        <w:rPr>
          <w:rFonts w:ascii="Calibri" w:hAnsi="Calibri" w:cs="Calibri"/>
          <w:bCs/>
          <w:sz w:val="24"/>
          <w:szCs w:val="24"/>
        </w:rPr>
        <w:t>sers</w:t>
      </w:r>
      <w:r w:rsidR="00D23CE1">
        <w:rPr>
          <w:rFonts w:ascii="Calibri" w:hAnsi="Calibri" w:cs="Calibri"/>
          <w:bCs/>
          <w:sz w:val="24"/>
          <w:szCs w:val="24"/>
        </w:rPr>
        <w:t>)</w:t>
      </w:r>
      <w:r w:rsidR="00DA7410" w:rsidRPr="00DA7410">
        <w:rPr>
          <w:rFonts w:ascii="Calibri" w:hAnsi="Calibri" w:cs="Calibri"/>
          <w:bCs/>
          <w:sz w:val="24"/>
          <w:szCs w:val="24"/>
        </w:rPr>
        <w:t xml:space="preserve"> were presented with a list of </w:t>
      </w:r>
      <w:r w:rsidR="00753247">
        <w:rPr>
          <w:rFonts w:ascii="Calibri" w:hAnsi="Calibri" w:cs="Calibri"/>
          <w:bCs/>
          <w:sz w:val="24"/>
          <w:szCs w:val="24"/>
        </w:rPr>
        <w:t xml:space="preserve">NIMAC </w:t>
      </w:r>
      <w:r w:rsidR="00DA7410" w:rsidRPr="00DA7410">
        <w:rPr>
          <w:rFonts w:ascii="Calibri" w:hAnsi="Calibri" w:cs="Calibri"/>
          <w:bCs/>
          <w:sz w:val="24"/>
          <w:szCs w:val="24"/>
        </w:rPr>
        <w:t xml:space="preserve">practices (all of which are included in Figure </w:t>
      </w:r>
      <w:r w:rsidR="00EE4A78">
        <w:rPr>
          <w:rFonts w:ascii="Calibri" w:hAnsi="Calibri" w:cs="Calibri"/>
          <w:bCs/>
          <w:sz w:val="24"/>
          <w:szCs w:val="24"/>
        </w:rPr>
        <w:t>20</w:t>
      </w:r>
      <w:r w:rsidR="00DA7410" w:rsidRPr="00DA7410">
        <w:rPr>
          <w:rFonts w:ascii="Calibri" w:hAnsi="Calibri" w:cs="Calibri"/>
          <w:bCs/>
          <w:sz w:val="24"/>
          <w:szCs w:val="24"/>
        </w:rPr>
        <w:t xml:space="preserve">) and asked to indicate which ones they </w:t>
      </w:r>
      <w:r w:rsidR="00DA7410" w:rsidRPr="008D402D">
        <w:rPr>
          <w:rFonts w:ascii="Calibri" w:hAnsi="Calibri" w:cs="Calibri"/>
          <w:bCs/>
          <w:sz w:val="24"/>
          <w:szCs w:val="24"/>
        </w:rPr>
        <w:t xml:space="preserve">endorsed. </w:t>
      </w:r>
      <w:r w:rsidR="00753247">
        <w:rPr>
          <w:rFonts w:ascii="Calibri" w:hAnsi="Calibri" w:cs="Calibri"/>
          <w:bCs/>
          <w:sz w:val="24"/>
          <w:szCs w:val="24"/>
        </w:rPr>
        <w:t xml:space="preserve">Nearly all (83%) of survey respondents indicated timely delivery is facilitated when </w:t>
      </w:r>
      <w:r w:rsidR="008D402D" w:rsidRPr="008D402D">
        <w:rPr>
          <w:rFonts w:ascii="Calibri" w:hAnsi="Calibri" w:cs="Calibri"/>
          <w:bCs/>
          <w:sz w:val="24"/>
          <w:szCs w:val="24"/>
        </w:rPr>
        <w:t>“Publishers submit NIMAS files to the NIMAC system before they are needed by students</w:t>
      </w:r>
      <w:r w:rsidR="00753247">
        <w:rPr>
          <w:rFonts w:ascii="Calibri" w:hAnsi="Calibri" w:cs="Calibri"/>
          <w:bCs/>
          <w:sz w:val="24"/>
          <w:szCs w:val="24"/>
        </w:rPr>
        <w:t>.</w:t>
      </w:r>
      <w:r w:rsidR="008D402D">
        <w:rPr>
          <w:rFonts w:ascii="Calibri" w:hAnsi="Calibri" w:cs="Calibri"/>
          <w:bCs/>
          <w:sz w:val="24"/>
          <w:szCs w:val="24"/>
        </w:rPr>
        <w:t xml:space="preserve">” </w:t>
      </w:r>
      <w:r w:rsidR="00753247">
        <w:rPr>
          <w:rFonts w:ascii="Calibri" w:hAnsi="Calibri" w:cs="Calibri"/>
          <w:bCs/>
          <w:sz w:val="24"/>
          <w:szCs w:val="24"/>
        </w:rPr>
        <w:t xml:space="preserve">At least two-thirds of survey respondents selected two other facilitators: </w:t>
      </w:r>
      <w:r w:rsidR="008D402D">
        <w:rPr>
          <w:rFonts w:ascii="Calibri" w:hAnsi="Calibri" w:cs="Calibri"/>
          <w:bCs/>
          <w:sz w:val="24"/>
          <w:szCs w:val="24"/>
        </w:rPr>
        <w:t>“</w:t>
      </w:r>
      <w:r w:rsidR="008D402D" w:rsidRPr="008D402D">
        <w:rPr>
          <w:rFonts w:ascii="Calibri" w:hAnsi="Calibri" w:cs="Calibri"/>
          <w:bCs/>
          <w:sz w:val="24"/>
          <w:szCs w:val="24"/>
        </w:rPr>
        <w:t>When accessible formats need to be produced for the first time, the NIMAS file is already available in the NIMAC system</w:t>
      </w:r>
      <w:r w:rsidR="008D402D">
        <w:rPr>
          <w:rFonts w:ascii="Calibri" w:hAnsi="Calibri" w:cs="Calibri"/>
          <w:bCs/>
          <w:sz w:val="24"/>
          <w:szCs w:val="24"/>
        </w:rPr>
        <w:t>” (74%)</w:t>
      </w:r>
      <w:r w:rsidR="00753247">
        <w:rPr>
          <w:rFonts w:ascii="Calibri" w:hAnsi="Calibri" w:cs="Calibri"/>
          <w:bCs/>
          <w:sz w:val="24"/>
          <w:szCs w:val="24"/>
        </w:rPr>
        <w:t xml:space="preserve"> and</w:t>
      </w:r>
      <w:r w:rsidR="008D402D">
        <w:rPr>
          <w:rFonts w:ascii="Calibri" w:hAnsi="Calibri" w:cs="Calibri"/>
          <w:bCs/>
          <w:sz w:val="24"/>
          <w:szCs w:val="24"/>
        </w:rPr>
        <w:t xml:space="preserve"> “</w:t>
      </w:r>
      <w:r w:rsidR="008D402D" w:rsidRPr="008D402D">
        <w:rPr>
          <w:rFonts w:ascii="Calibri" w:hAnsi="Calibri" w:cs="Calibri"/>
          <w:bCs/>
          <w:sz w:val="24"/>
          <w:szCs w:val="24"/>
        </w:rPr>
        <w:t>NIMAC staff providing effective and timely technical assistance</w:t>
      </w:r>
      <w:r w:rsidR="008D402D">
        <w:rPr>
          <w:rFonts w:ascii="Calibri" w:hAnsi="Calibri" w:cs="Calibri"/>
          <w:bCs/>
          <w:sz w:val="24"/>
          <w:szCs w:val="24"/>
        </w:rPr>
        <w:t>” (68%)</w:t>
      </w:r>
      <w:r w:rsidR="00753247">
        <w:rPr>
          <w:rFonts w:ascii="Calibri" w:hAnsi="Calibri" w:cs="Calibri"/>
          <w:bCs/>
          <w:sz w:val="24"/>
          <w:szCs w:val="24"/>
        </w:rPr>
        <w:t>. Nearly half of respondents identified a fourth facilitator</w:t>
      </w:r>
      <w:r w:rsidR="008D402D">
        <w:rPr>
          <w:rFonts w:ascii="Calibri" w:hAnsi="Calibri" w:cs="Calibri"/>
          <w:bCs/>
          <w:sz w:val="24"/>
          <w:szCs w:val="24"/>
        </w:rPr>
        <w:t>, “</w:t>
      </w:r>
      <w:r w:rsidR="008D402D" w:rsidRPr="008D402D">
        <w:rPr>
          <w:rFonts w:ascii="Calibri" w:hAnsi="Calibri" w:cs="Calibri"/>
          <w:bCs/>
          <w:sz w:val="24"/>
          <w:szCs w:val="24"/>
        </w:rPr>
        <w:t>Publishers hold vendors to a timeline for NIMAS conversion</w:t>
      </w:r>
      <w:r w:rsidR="00753247">
        <w:rPr>
          <w:rFonts w:ascii="Calibri" w:hAnsi="Calibri" w:cs="Calibri"/>
          <w:bCs/>
          <w:sz w:val="24"/>
          <w:szCs w:val="24"/>
        </w:rPr>
        <w:t>.</w:t>
      </w:r>
      <w:r w:rsidR="008D402D">
        <w:rPr>
          <w:rFonts w:ascii="Calibri" w:hAnsi="Calibri" w:cs="Calibri"/>
          <w:bCs/>
          <w:sz w:val="24"/>
          <w:szCs w:val="24"/>
        </w:rPr>
        <w:t xml:space="preserve">” </w:t>
      </w:r>
    </w:p>
    <w:p w14:paraId="499F1D0D" w14:textId="77777777" w:rsidR="00DA7410" w:rsidRPr="00DA7410" w:rsidRDefault="00DA7410" w:rsidP="00DA7410">
      <w:pPr>
        <w:rPr>
          <w:rFonts w:ascii="Calibri" w:hAnsi="Calibri" w:cs="Calibri"/>
          <w:sz w:val="24"/>
          <w:szCs w:val="24"/>
          <w:highlight w:val="green"/>
        </w:rPr>
      </w:pPr>
    </w:p>
    <w:p w14:paraId="782A66AE" w14:textId="1B8CC0A7" w:rsidR="00DA7410" w:rsidRPr="00490FC8" w:rsidRDefault="00DA7410" w:rsidP="004946C3">
      <w:pPr>
        <w:pStyle w:val="Heading4"/>
      </w:pPr>
      <w:bookmarkStart w:id="53" w:name="_Toc222904014"/>
      <w:r w:rsidRPr="00DA7410">
        <w:lastRenderedPageBreak/>
        <w:t xml:space="preserve">Figure </w:t>
      </w:r>
      <w:r w:rsidR="00EE4A78">
        <w:t>20</w:t>
      </w:r>
      <w:r w:rsidRPr="00490FC8">
        <w:t xml:space="preserve">. </w:t>
      </w:r>
      <w:r w:rsidR="00490FC8" w:rsidRPr="00490FC8">
        <w:t>NIMAC-Related</w:t>
      </w:r>
      <w:r w:rsidRPr="00490FC8">
        <w:t xml:space="preserve"> Practices that Facilitate the Timely Delivery</w:t>
      </w:r>
      <w:r w:rsidR="00B55C67">
        <w:rPr>
          <w:rFonts w:ascii="ZWAdobeF" w:hAnsi="ZWAdobeF" w:cs="ZWAdobeF"/>
          <w:i w:val="0"/>
          <w:color w:val="auto"/>
          <w:sz w:val="2"/>
          <w:szCs w:val="2"/>
        </w:rPr>
        <w:t>47F</w:t>
      </w:r>
      <w:r w:rsidRPr="00490FC8">
        <w:rPr>
          <w:rStyle w:val="FootnoteReference"/>
          <w:rFonts w:cs="Calibri"/>
          <w:smallCaps/>
          <w:color w:val="44546A" w:themeColor="text2"/>
        </w:rPr>
        <w:footnoteReference w:id="49"/>
      </w:r>
      <w:bookmarkEnd w:id="53"/>
      <w:r w:rsidRPr="00490FC8">
        <w:t xml:space="preserve"> </w:t>
      </w:r>
    </w:p>
    <w:p w14:paraId="04851F05" w14:textId="0FEAC63A" w:rsidR="00DA7410" w:rsidRPr="0098716F" w:rsidRDefault="000642FC" w:rsidP="0098716F">
      <w:pPr>
        <w:jc w:val="center"/>
        <w:rPr>
          <w:color w:val="000000" w:themeColor="text1"/>
        </w:rPr>
      </w:pPr>
      <w:r w:rsidRPr="00DA7410">
        <w:rPr>
          <w:rFonts w:ascii="Times New Roman" w:hAnsi="Times New Roman" w:cs="Times New Roman"/>
          <w:noProof/>
          <w:sz w:val="24"/>
          <w:szCs w:val="24"/>
          <w:highlight w:val="green"/>
        </w:rPr>
        <w:drawing>
          <wp:anchor distT="0" distB="0" distL="114300" distR="114300" simplePos="0" relativeHeight="251674624" behindDoc="0" locked="0" layoutInCell="1" allowOverlap="1" wp14:anchorId="7FE4B20F" wp14:editId="705A1137">
            <wp:simplePos x="0" y="0"/>
            <wp:positionH relativeFrom="column">
              <wp:posOffset>38735</wp:posOffset>
            </wp:positionH>
            <wp:positionV relativeFrom="paragraph">
              <wp:posOffset>200025</wp:posOffset>
            </wp:positionV>
            <wp:extent cx="5861685" cy="2625725"/>
            <wp:effectExtent l="0" t="0" r="5715" b="3175"/>
            <wp:wrapTopAndBottom/>
            <wp:docPr id="914381458" name="Chart 914381458" descr="Figure 20 is a horizontal bar chart showing NIMAC-related practices that facilitate timely delivery of accessible formats (n = 53). Respondents reported that publishers submitting NIMAS files to the NIMAC system before they are needed by students facilitates timely delivery (83%). When accessible formats need to be produced for the first time, having the NIMAS file already available in the NIMAC system was reported by 74%. NIMAC staff providing effective and timely technical assistance was reported by 68%. Publishers holding vendors to a timeline for NIMAS conversion was reported by 47%. Other practices were reported by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14:sizeRelV relativeFrom="margin">
              <wp14:pctHeight>0</wp14:pctHeight>
            </wp14:sizeRelV>
          </wp:anchor>
        </w:drawing>
      </w:r>
      <w:r w:rsidR="00B55C67">
        <w:rPr>
          <w:rFonts w:ascii="ZWAdobeF" w:hAnsi="ZWAdobeF" w:cs="ZWAdobeF"/>
          <w:sz w:val="2"/>
          <w:szCs w:val="2"/>
        </w:rPr>
        <w:t>165</w:t>
      </w:r>
      <w:proofErr w:type="gramStart"/>
      <w:r w:rsidR="00B55C67">
        <w:rPr>
          <w:rFonts w:ascii="ZWAdobeF" w:hAnsi="ZWAdobeF" w:cs="ZWAdobeF"/>
          <w:sz w:val="2"/>
          <w:szCs w:val="2"/>
        </w:rPr>
        <w:t>B</w:t>
      </w:r>
      <w:r w:rsidR="00DA7410" w:rsidRPr="002370E3">
        <w:rPr>
          <w:color w:val="000000" w:themeColor="text1"/>
        </w:rPr>
        <w:t>(</w:t>
      </w:r>
      <w:proofErr w:type="gramEnd"/>
      <w:r w:rsidR="00DA7410" w:rsidRPr="002370E3">
        <w:rPr>
          <w:i/>
          <w:iCs/>
          <w:color w:val="000000" w:themeColor="text1"/>
        </w:rPr>
        <w:t>n</w:t>
      </w:r>
      <w:r w:rsidR="00DA7410" w:rsidRPr="002370E3">
        <w:rPr>
          <w:color w:val="000000" w:themeColor="text1"/>
        </w:rPr>
        <w:t xml:space="preserve"> = </w:t>
      </w:r>
      <w:r w:rsidR="002370E3" w:rsidRPr="002370E3">
        <w:rPr>
          <w:color w:val="000000" w:themeColor="text1"/>
        </w:rPr>
        <w:t>53</w:t>
      </w:r>
      <w:r w:rsidR="00DA7410" w:rsidRPr="002370E3">
        <w:rPr>
          <w:color w:val="000000" w:themeColor="text1"/>
        </w:rPr>
        <w:t>)</w:t>
      </w:r>
    </w:p>
    <w:p w14:paraId="0203C8CE" w14:textId="728FD66D" w:rsidR="00DA7410" w:rsidRPr="00DA7410" w:rsidRDefault="00DA7410" w:rsidP="00DA7410">
      <w:pPr>
        <w:spacing w:after="0" w:line="276" w:lineRule="auto"/>
        <w:rPr>
          <w:rFonts w:ascii="Times New Roman" w:hAnsi="Times New Roman" w:cs="Times New Roman"/>
          <w:sz w:val="24"/>
          <w:szCs w:val="24"/>
          <w:highlight w:val="green"/>
        </w:rPr>
      </w:pPr>
    </w:p>
    <w:p w14:paraId="32F7BC62" w14:textId="798F7790" w:rsidR="00D01DCD" w:rsidRPr="00346ED8" w:rsidRDefault="00B55C67" w:rsidP="00D01DCD">
      <w:pPr>
        <w:spacing w:after="0" w:line="276" w:lineRule="auto"/>
        <w:rPr>
          <w:rFonts w:cstheme="minorHAnsi"/>
          <w:sz w:val="24"/>
          <w:szCs w:val="24"/>
        </w:rPr>
      </w:pPr>
      <w:r>
        <w:rPr>
          <w:rFonts w:ascii="ZWAdobeF" w:hAnsi="ZWAdobeF" w:cs="ZWAdobeF"/>
          <w:sz w:val="2"/>
          <w:szCs w:val="2"/>
        </w:rPr>
        <w:t>166B</w:t>
      </w:r>
      <w:r w:rsidR="00D01DCD" w:rsidRPr="00346ED8">
        <w:rPr>
          <w:rFonts w:cstheme="minorHAnsi"/>
          <w:sz w:val="24"/>
          <w:szCs w:val="24"/>
        </w:rPr>
        <w:t xml:space="preserve">Due to small sample sizes, statistical testing was not conducted to compare the pattern of responses displayed in Figure </w:t>
      </w:r>
      <w:r w:rsidR="00EE4A78">
        <w:rPr>
          <w:rFonts w:cstheme="minorHAnsi"/>
          <w:sz w:val="24"/>
          <w:szCs w:val="24"/>
        </w:rPr>
        <w:t>20</w:t>
      </w:r>
      <w:r w:rsidR="00D01DCD" w:rsidRPr="00346ED8">
        <w:rPr>
          <w:rFonts w:cstheme="minorHAnsi"/>
          <w:sz w:val="24"/>
          <w:szCs w:val="24"/>
        </w:rPr>
        <w:t xml:space="preserve"> </w:t>
      </w:r>
      <w:r w:rsidR="00D01DCD">
        <w:rPr>
          <w:rFonts w:cstheme="minorHAnsi"/>
          <w:sz w:val="24"/>
          <w:szCs w:val="24"/>
        </w:rPr>
        <w:t xml:space="preserve">by location </w:t>
      </w:r>
      <w:r w:rsidR="00193A9C">
        <w:rPr>
          <w:rFonts w:cstheme="minorHAnsi"/>
          <w:sz w:val="24"/>
          <w:szCs w:val="24"/>
        </w:rPr>
        <w:t>or</w:t>
      </w:r>
      <w:r w:rsidR="00D01DCD">
        <w:rPr>
          <w:rFonts w:cstheme="minorHAnsi"/>
          <w:sz w:val="24"/>
          <w:szCs w:val="24"/>
        </w:rPr>
        <w:t xml:space="preserve"> role</w:t>
      </w:r>
      <w:r w:rsidR="00D01DCD" w:rsidRPr="00346ED8">
        <w:rPr>
          <w:rFonts w:cstheme="minorHAnsi"/>
          <w:sz w:val="24"/>
          <w:szCs w:val="24"/>
        </w:rPr>
        <w:t xml:space="preserve">. </w:t>
      </w:r>
    </w:p>
    <w:p w14:paraId="6884495E" w14:textId="77777777" w:rsidR="00AC51B5" w:rsidRDefault="00AC51B5" w:rsidP="00DA7410">
      <w:pPr>
        <w:spacing w:after="0" w:line="276" w:lineRule="auto"/>
        <w:rPr>
          <w:rFonts w:cstheme="minorHAnsi"/>
          <w:sz w:val="24"/>
          <w:szCs w:val="24"/>
        </w:rPr>
      </w:pPr>
    </w:p>
    <w:p w14:paraId="7427A560" w14:textId="71057612" w:rsidR="00F9764D" w:rsidRDefault="00B55C67" w:rsidP="00DA7410">
      <w:pPr>
        <w:spacing w:after="0" w:line="276" w:lineRule="auto"/>
        <w:rPr>
          <w:rFonts w:cstheme="minorHAnsi"/>
          <w:sz w:val="24"/>
          <w:szCs w:val="24"/>
        </w:rPr>
      </w:pPr>
      <w:r>
        <w:rPr>
          <w:rFonts w:ascii="ZWAdobeF" w:hAnsi="ZWAdobeF" w:cs="ZWAdobeF"/>
          <w:sz w:val="2"/>
          <w:szCs w:val="2"/>
        </w:rPr>
        <w:t>167B</w:t>
      </w:r>
      <w:r w:rsidR="00AC51B5">
        <w:rPr>
          <w:rFonts w:cstheme="minorHAnsi"/>
          <w:sz w:val="24"/>
          <w:szCs w:val="24"/>
        </w:rPr>
        <w:t xml:space="preserve">Survey respondents who </w:t>
      </w:r>
      <w:r w:rsidR="00DF1535">
        <w:rPr>
          <w:rFonts w:cstheme="minorHAnsi"/>
          <w:sz w:val="24"/>
          <w:szCs w:val="24"/>
        </w:rPr>
        <w:t xml:space="preserve">were </w:t>
      </w:r>
      <w:r w:rsidR="00AC51B5">
        <w:rPr>
          <w:rFonts w:cstheme="minorHAnsi"/>
          <w:sz w:val="24"/>
          <w:szCs w:val="24"/>
        </w:rPr>
        <w:t>NIMAC Users indicate</w:t>
      </w:r>
      <w:r w:rsidR="00DF1535">
        <w:rPr>
          <w:rFonts w:cstheme="minorHAnsi"/>
          <w:sz w:val="24"/>
          <w:szCs w:val="24"/>
        </w:rPr>
        <w:t>d</w:t>
      </w:r>
      <w:r w:rsidR="00AC51B5">
        <w:rPr>
          <w:rFonts w:cstheme="minorHAnsi"/>
          <w:sz w:val="24"/>
          <w:szCs w:val="24"/>
        </w:rPr>
        <w:t xml:space="preserve"> their level of agreement with the following statement: “NIMAS files help facilitate the timely delivery of accessible formats.” </w:t>
      </w:r>
      <w:r w:rsidR="0018469B">
        <w:rPr>
          <w:rFonts w:cstheme="minorHAnsi"/>
          <w:sz w:val="24"/>
          <w:szCs w:val="24"/>
        </w:rPr>
        <w:t xml:space="preserve">Figure </w:t>
      </w:r>
      <w:r w:rsidR="00EE4A78">
        <w:rPr>
          <w:rFonts w:cstheme="minorHAnsi"/>
          <w:sz w:val="24"/>
          <w:szCs w:val="24"/>
        </w:rPr>
        <w:t>21</w:t>
      </w:r>
      <w:r w:rsidR="0018469B">
        <w:rPr>
          <w:rFonts w:cstheme="minorHAnsi"/>
          <w:sz w:val="24"/>
          <w:szCs w:val="24"/>
        </w:rPr>
        <w:t xml:space="preserve"> shows that </w:t>
      </w:r>
      <w:r w:rsidR="00A92261">
        <w:rPr>
          <w:rFonts w:cstheme="minorHAnsi"/>
          <w:sz w:val="24"/>
          <w:szCs w:val="24"/>
        </w:rPr>
        <w:t xml:space="preserve">nearly all respondents (94%) agreed with this statement, providing additional evidence </w:t>
      </w:r>
      <w:r w:rsidR="007905A1">
        <w:rPr>
          <w:rFonts w:cstheme="minorHAnsi"/>
          <w:sz w:val="24"/>
          <w:szCs w:val="24"/>
        </w:rPr>
        <w:t>illuminating the</w:t>
      </w:r>
      <w:r w:rsidR="00A92261">
        <w:rPr>
          <w:rFonts w:cstheme="minorHAnsi"/>
          <w:sz w:val="24"/>
          <w:szCs w:val="24"/>
        </w:rPr>
        <w:t xml:space="preserve"> critical role of NIMAS file formats </w:t>
      </w:r>
      <w:r w:rsidR="00CA3A20">
        <w:rPr>
          <w:rFonts w:cstheme="minorHAnsi"/>
          <w:sz w:val="24"/>
          <w:szCs w:val="24"/>
        </w:rPr>
        <w:t>for</w:t>
      </w:r>
      <w:r w:rsidR="00A92261">
        <w:rPr>
          <w:rFonts w:cstheme="minorHAnsi"/>
          <w:sz w:val="24"/>
          <w:szCs w:val="24"/>
        </w:rPr>
        <w:t xml:space="preserve"> timely delivery of AEM.</w:t>
      </w:r>
    </w:p>
    <w:p w14:paraId="00E32FEA" w14:textId="77777777" w:rsidR="000642FC" w:rsidRDefault="000642FC" w:rsidP="00DA7410">
      <w:pPr>
        <w:spacing w:after="0" w:line="276" w:lineRule="auto"/>
        <w:rPr>
          <w:rFonts w:cstheme="minorHAnsi"/>
          <w:sz w:val="24"/>
          <w:szCs w:val="24"/>
        </w:rPr>
      </w:pPr>
    </w:p>
    <w:p w14:paraId="522C8C84" w14:textId="01C778B9" w:rsidR="00756892" w:rsidRDefault="00756892" w:rsidP="004946C3">
      <w:pPr>
        <w:pStyle w:val="Heading4"/>
      </w:pPr>
      <w:bookmarkStart w:id="54" w:name="_Toc222904015"/>
      <w:r w:rsidRPr="005919AC">
        <w:t xml:space="preserve">Figure </w:t>
      </w:r>
      <w:r w:rsidR="00EE4A78">
        <w:t>21</w:t>
      </w:r>
      <w:r w:rsidRPr="005919AC">
        <w:t xml:space="preserve">. </w:t>
      </w:r>
      <w:bookmarkStart w:id="55" w:name="_Hlk216280874"/>
      <w:r w:rsidR="004F0E4C">
        <w:t>Agreement with NIMAS Files Helping Facilitate Timely Delivery</w:t>
      </w:r>
      <w:bookmarkEnd w:id="55"/>
      <w:r w:rsidR="00B55C67">
        <w:rPr>
          <w:rFonts w:ascii="ZWAdobeF" w:hAnsi="ZWAdobeF" w:cs="ZWAdobeF"/>
          <w:i w:val="0"/>
          <w:color w:val="auto"/>
          <w:sz w:val="2"/>
          <w:szCs w:val="2"/>
        </w:rPr>
        <w:t>48F</w:t>
      </w:r>
      <w:r w:rsidR="007C5EEA">
        <w:rPr>
          <w:rStyle w:val="FootnoteReference"/>
          <w:rFonts w:cs="Calibri"/>
          <w:smallCaps/>
          <w:color w:val="44546A" w:themeColor="text2"/>
        </w:rPr>
        <w:footnoteReference w:id="50"/>
      </w:r>
      <w:bookmarkEnd w:id="54"/>
    </w:p>
    <w:p w14:paraId="12178583" w14:textId="7C58AD83" w:rsidR="00756892" w:rsidRPr="007921A0" w:rsidRDefault="00B55C67" w:rsidP="00756892">
      <w:pPr>
        <w:jc w:val="center"/>
      </w:pPr>
      <w:r>
        <w:rPr>
          <w:rFonts w:ascii="ZWAdobeF" w:hAnsi="ZWAdobeF" w:cs="ZWAdobeF"/>
          <w:sz w:val="2"/>
          <w:szCs w:val="2"/>
        </w:rPr>
        <w:t>168</w:t>
      </w:r>
      <w:proofErr w:type="gramStart"/>
      <w:r>
        <w:rPr>
          <w:rFonts w:ascii="ZWAdobeF" w:hAnsi="ZWAdobeF" w:cs="ZWAdobeF"/>
          <w:sz w:val="2"/>
          <w:szCs w:val="2"/>
        </w:rPr>
        <w:t>B</w:t>
      </w:r>
      <w:r w:rsidR="00756892">
        <w:t>(</w:t>
      </w:r>
      <w:proofErr w:type="gramEnd"/>
      <w:r w:rsidR="00756892" w:rsidRPr="009F1957">
        <w:rPr>
          <w:i/>
          <w:iCs/>
        </w:rPr>
        <w:t>n</w:t>
      </w:r>
      <w:r w:rsidR="00756892">
        <w:t xml:space="preserve"> = </w:t>
      </w:r>
      <w:r w:rsidR="007C5EEA">
        <w:t>50</w:t>
      </w:r>
      <w:r w:rsidR="00756892">
        <w:t>)</w:t>
      </w:r>
    </w:p>
    <w:p w14:paraId="2B69B919" w14:textId="06E43883" w:rsidR="00756892" w:rsidRDefault="00B55C67" w:rsidP="00756892">
      <w:pPr>
        <w:spacing w:after="0" w:line="276" w:lineRule="auto"/>
        <w:jc w:val="center"/>
        <w:rPr>
          <w:rFonts w:ascii="Calibri" w:hAnsi="Calibri" w:cs="Calibri"/>
          <w:sz w:val="24"/>
          <w:szCs w:val="24"/>
        </w:rPr>
      </w:pPr>
      <w:r>
        <w:rPr>
          <w:rFonts w:ascii="ZWAdobeF" w:hAnsi="ZWAdobeF" w:cs="ZWAdobeF"/>
          <w:sz w:val="2"/>
          <w:szCs w:val="2"/>
        </w:rPr>
        <w:t>169B</w:t>
      </w:r>
      <w:r w:rsidR="00756892" w:rsidRPr="00FD0A0B">
        <w:rPr>
          <w:rFonts w:ascii="Calibri" w:hAnsi="Calibri" w:cs="Calibri"/>
          <w:noProof/>
        </w:rPr>
        <w:drawing>
          <wp:inline distT="0" distB="0" distL="0" distR="0" wp14:anchorId="11EECB01" wp14:editId="7AABE4F5">
            <wp:extent cx="5041424" cy="1711444"/>
            <wp:effectExtent l="0" t="0" r="6985" b="3175"/>
            <wp:docPr id="134784838" name="Chart 134784838" descr="Figure 21 is a pie chart showing agreement with the statement that NIMAS files help facilitate timely delivery of accessible formats (n = 50). Sixty-two percent of respondents strongly agree, 32% agree, 2% disagree, and 4% strongly disagree."/>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09667C66" w14:textId="12F97402" w:rsidR="008B32F4" w:rsidRDefault="00B55C67" w:rsidP="00DA7410">
      <w:pPr>
        <w:spacing w:after="0" w:line="276" w:lineRule="auto"/>
        <w:rPr>
          <w:rFonts w:cstheme="minorHAnsi"/>
          <w:sz w:val="24"/>
          <w:szCs w:val="24"/>
        </w:rPr>
      </w:pPr>
      <w:r>
        <w:rPr>
          <w:rFonts w:ascii="ZWAdobeF" w:hAnsi="ZWAdobeF" w:cs="ZWAdobeF"/>
          <w:sz w:val="2"/>
          <w:szCs w:val="2"/>
        </w:rPr>
        <w:lastRenderedPageBreak/>
        <w:t>170B</w:t>
      </w:r>
      <w:r w:rsidR="008B32F4">
        <w:rPr>
          <w:rFonts w:cstheme="minorHAnsi"/>
          <w:sz w:val="24"/>
          <w:szCs w:val="24"/>
        </w:rPr>
        <w:t xml:space="preserve">NIMAC Users </w:t>
      </w:r>
      <w:r w:rsidR="007905A1">
        <w:rPr>
          <w:rFonts w:cstheme="minorHAnsi"/>
          <w:sz w:val="24"/>
          <w:szCs w:val="24"/>
        </w:rPr>
        <w:t xml:space="preserve">completing the survey </w:t>
      </w:r>
      <w:r w:rsidR="008B32F4">
        <w:rPr>
          <w:rFonts w:cstheme="minorHAnsi"/>
          <w:sz w:val="24"/>
          <w:szCs w:val="24"/>
        </w:rPr>
        <w:t xml:space="preserve">were </w:t>
      </w:r>
      <w:r w:rsidR="007905A1">
        <w:rPr>
          <w:rFonts w:cstheme="minorHAnsi"/>
          <w:sz w:val="24"/>
          <w:szCs w:val="24"/>
        </w:rPr>
        <w:t xml:space="preserve">also </w:t>
      </w:r>
      <w:r w:rsidR="008B32F4">
        <w:rPr>
          <w:rFonts w:cstheme="minorHAnsi"/>
          <w:sz w:val="24"/>
          <w:szCs w:val="24"/>
        </w:rPr>
        <w:t xml:space="preserve">asked to </w:t>
      </w:r>
      <w:r w:rsidR="007905A1">
        <w:rPr>
          <w:rFonts w:cstheme="minorHAnsi"/>
          <w:sz w:val="24"/>
          <w:szCs w:val="24"/>
        </w:rPr>
        <w:t xml:space="preserve">indicate </w:t>
      </w:r>
      <w:r w:rsidR="008B32F4">
        <w:rPr>
          <w:rFonts w:cstheme="minorHAnsi"/>
          <w:sz w:val="24"/>
          <w:szCs w:val="24"/>
        </w:rPr>
        <w:t xml:space="preserve">their agreement with </w:t>
      </w:r>
      <w:r w:rsidR="007905A1">
        <w:rPr>
          <w:rFonts w:cstheme="minorHAnsi"/>
          <w:sz w:val="24"/>
          <w:szCs w:val="24"/>
        </w:rPr>
        <w:t xml:space="preserve">a second </w:t>
      </w:r>
      <w:r w:rsidR="008B32F4">
        <w:rPr>
          <w:rFonts w:cstheme="minorHAnsi"/>
          <w:sz w:val="24"/>
          <w:szCs w:val="24"/>
        </w:rPr>
        <w:t>statement: “</w:t>
      </w:r>
      <w:r w:rsidR="005A0A16" w:rsidRPr="005A0A16">
        <w:rPr>
          <w:rFonts w:cstheme="minorHAnsi"/>
          <w:sz w:val="24"/>
          <w:szCs w:val="24"/>
        </w:rPr>
        <w:t>The NIMAC Watchlist request system is a valuable service for serving students when NIMAS files have not been received by the publisher.</w:t>
      </w:r>
      <w:r w:rsidR="005A0A16">
        <w:rPr>
          <w:rFonts w:cstheme="minorHAnsi"/>
          <w:sz w:val="24"/>
          <w:szCs w:val="24"/>
        </w:rPr>
        <w:t>”</w:t>
      </w:r>
      <w:r w:rsidR="004F0E4C">
        <w:rPr>
          <w:rFonts w:cstheme="minorHAnsi"/>
          <w:sz w:val="24"/>
          <w:szCs w:val="24"/>
        </w:rPr>
        <w:t xml:space="preserve"> </w:t>
      </w:r>
      <w:r w:rsidR="007905A1">
        <w:rPr>
          <w:rFonts w:cstheme="minorHAnsi"/>
          <w:sz w:val="24"/>
          <w:szCs w:val="24"/>
        </w:rPr>
        <w:t>Again, a</w:t>
      </w:r>
      <w:r w:rsidR="004F0E4C">
        <w:rPr>
          <w:rFonts w:cstheme="minorHAnsi"/>
          <w:sz w:val="24"/>
          <w:szCs w:val="24"/>
        </w:rPr>
        <w:t xml:space="preserve">s displayed in Figure </w:t>
      </w:r>
      <w:r w:rsidR="00EE4A78">
        <w:rPr>
          <w:rFonts w:cstheme="minorHAnsi"/>
          <w:sz w:val="24"/>
          <w:szCs w:val="24"/>
        </w:rPr>
        <w:t>22</w:t>
      </w:r>
      <w:r w:rsidR="004F0E4C">
        <w:rPr>
          <w:rFonts w:cstheme="minorHAnsi"/>
          <w:sz w:val="24"/>
          <w:szCs w:val="24"/>
        </w:rPr>
        <w:t xml:space="preserve">, </w:t>
      </w:r>
      <w:r w:rsidR="007905A1">
        <w:rPr>
          <w:rFonts w:cstheme="minorHAnsi"/>
          <w:sz w:val="24"/>
          <w:szCs w:val="24"/>
        </w:rPr>
        <w:t>the vast majority (91%) agreed, providing additional evidence in support of the NIMAC Watchlist</w:t>
      </w:r>
      <w:r w:rsidR="0098716F">
        <w:rPr>
          <w:rFonts w:cstheme="minorHAnsi"/>
          <w:sz w:val="24"/>
          <w:szCs w:val="24"/>
        </w:rPr>
        <w:t xml:space="preserve">. </w:t>
      </w:r>
    </w:p>
    <w:p w14:paraId="015A3BDF" w14:textId="269D6322" w:rsidR="00F9764D" w:rsidRDefault="00F9764D">
      <w:pPr>
        <w:rPr>
          <w:rFonts w:ascii="Calibri" w:eastAsiaTheme="majorEastAsia" w:hAnsi="Calibri" w:cs="Calibri"/>
          <w:smallCaps/>
          <w:color w:val="44546A" w:themeColor="text2"/>
          <w:sz w:val="24"/>
          <w:szCs w:val="24"/>
        </w:rPr>
      </w:pPr>
    </w:p>
    <w:p w14:paraId="65846803" w14:textId="5C6F1192" w:rsidR="004F0E4C" w:rsidRDefault="004F0E4C" w:rsidP="004946C3">
      <w:pPr>
        <w:pStyle w:val="Heading4"/>
      </w:pPr>
      <w:bookmarkStart w:id="56" w:name="_Toc222904016"/>
      <w:r w:rsidRPr="005919AC">
        <w:t xml:space="preserve">Figure </w:t>
      </w:r>
      <w:r w:rsidR="0098716F">
        <w:t>2</w:t>
      </w:r>
      <w:r w:rsidR="00EE4A78">
        <w:t>2</w:t>
      </w:r>
      <w:r w:rsidRPr="005919AC">
        <w:t xml:space="preserve">. </w:t>
      </w:r>
      <w:r>
        <w:t>Agreement with the NIMAC Watchlist Being a Valuable Service</w:t>
      </w:r>
      <w:r w:rsidR="00B55C67">
        <w:rPr>
          <w:rFonts w:ascii="ZWAdobeF" w:hAnsi="ZWAdobeF" w:cs="ZWAdobeF"/>
          <w:i w:val="0"/>
          <w:color w:val="auto"/>
          <w:sz w:val="2"/>
          <w:szCs w:val="2"/>
        </w:rPr>
        <w:t>49F</w:t>
      </w:r>
      <w:r>
        <w:rPr>
          <w:rStyle w:val="FootnoteReference"/>
          <w:rFonts w:cs="Calibri"/>
          <w:smallCaps/>
          <w:color w:val="44546A" w:themeColor="text2"/>
        </w:rPr>
        <w:footnoteReference w:id="51"/>
      </w:r>
      <w:bookmarkEnd w:id="56"/>
    </w:p>
    <w:p w14:paraId="239718FA" w14:textId="55B16EEE" w:rsidR="004F0E4C" w:rsidRPr="007921A0" w:rsidRDefault="00B55C67" w:rsidP="004F0E4C">
      <w:pPr>
        <w:jc w:val="center"/>
      </w:pPr>
      <w:r>
        <w:rPr>
          <w:rFonts w:ascii="ZWAdobeF" w:hAnsi="ZWAdobeF" w:cs="ZWAdobeF"/>
          <w:sz w:val="2"/>
          <w:szCs w:val="2"/>
        </w:rPr>
        <w:t>171</w:t>
      </w:r>
      <w:proofErr w:type="gramStart"/>
      <w:r>
        <w:rPr>
          <w:rFonts w:ascii="ZWAdobeF" w:hAnsi="ZWAdobeF" w:cs="ZWAdobeF"/>
          <w:sz w:val="2"/>
          <w:szCs w:val="2"/>
        </w:rPr>
        <w:t>B</w:t>
      </w:r>
      <w:r w:rsidR="004F0E4C" w:rsidRPr="00AF3B65">
        <w:t>(</w:t>
      </w:r>
      <w:proofErr w:type="gramEnd"/>
      <w:r w:rsidR="004F0E4C" w:rsidRPr="00AF3B65">
        <w:rPr>
          <w:i/>
          <w:iCs/>
        </w:rPr>
        <w:t>n</w:t>
      </w:r>
      <w:r w:rsidR="004F0E4C" w:rsidRPr="00AF3B65">
        <w:t xml:space="preserve"> = </w:t>
      </w:r>
      <w:r w:rsidR="00AF3B65" w:rsidRPr="00AF3B65">
        <w:t>32</w:t>
      </w:r>
      <w:r w:rsidR="004F0E4C" w:rsidRPr="00AF3B65">
        <w:t>)</w:t>
      </w:r>
    </w:p>
    <w:p w14:paraId="2AF0987E" w14:textId="7E5D206A" w:rsidR="008B32F4" w:rsidRDefault="00B55C67" w:rsidP="00CC2EF6">
      <w:pPr>
        <w:spacing w:after="0" w:line="276" w:lineRule="auto"/>
        <w:jc w:val="center"/>
        <w:rPr>
          <w:rFonts w:cstheme="minorHAnsi"/>
          <w:sz w:val="24"/>
          <w:szCs w:val="24"/>
        </w:rPr>
      </w:pPr>
      <w:r>
        <w:rPr>
          <w:rFonts w:ascii="ZWAdobeF" w:hAnsi="ZWAdobeF" w:cs="ZWAdobeF"/>
          <w:sz w:val="2"/>
          <w:szCs w:val="2"/>
        </w:rPr>
        <w:t>172B</w:t>
      </w:r>
      <w:r w:rsidR="004F0E4C" w:rsidRPr="00FD0A0B">
        <w:rPr>
          <w:rFonts w:ascii="Calibri" w:hAnsi="Calibri" w:cs="Calibri"/>
          <w:noProof/>
        </w:rPr>
        <w:drawing>
          <wp:inline distT="0" distB="0" distL="0" distR="0" wp14:anchorId="2ABD7F46" wp14:editId="24F99F1B">
            <wp:extent cx="5016137" cy="2221230"/>
            <wp:effectExtent l="0" t="0" r="0" b="7620"/>
            <wp:docPr id="215696933" name="Chart 215696933" descr="Figure 22 is a pie chart showing agreement with the statement that the NIMAC watchlist is a valuable service (n = 32). Fifty-three percent of respondents strongly agree, 38% agree, and 9% strongly disagree."/>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695DD0B5" w14:textId="6F467E03" w:rsidR="00DA7410" w:rsidRPr="00AD67A0" w:rsidRDefault="00B55C67" w:rsidP="00DA7410">
      <w:pPr>
        <w:spacing w:after="0" w:line="276" w:lineRule="auto"/>
        <w:rPr>
          <w:rFonts w:cstheme="minorHAnsi"/>
          <w:sz w:val="24"/>
          <w:szCs w:val="24"/>
        </w:rPr>
      </w:pPr>
      <w:r>
        <w:rPr>
          <w:rFonts w:ascii="ZWAdobeF" w:hAnsi="ZWAdobeF" w:cs="ZWAdobeF"/>
          <w:sz w:val="2"/>
          <w:szCs w:val="2"/>
        </w:rPr>
        <w:t>173B</w:t>
      </w:r>
      <w:r w:rsidR="00DA7410" w:rsidRPr="00AD67A0">
        <w:rPr>
          <w:rFonts w:cstheme="minorHAnsi"/>
          <w:sz w:val="24"/>
          <w:szCs w:val="24"/>
        </w:rPr>
        <w:t xml:space="preserve">To further explore </w:t>
      </w:r>
      <w:r w:rsidR="00240264">
        <w:rPr>
          <w:rFonts w:cstheme="minorHAnsi"/>
          <w:sz w:val="24"/>
          <w:szCs w:val="24"/>
        </w:rPr>
        <w:t>how NIMAS files</w:t>
      </w:r>
      <w:r w:rsidR="00AF3B65">
        <w:rPr>
          <w:rFonts w:cstheme="minorHAnsi"/>
          <w:sz w:val="24"/>
          <w:szCs w:val="24"/>
        </w:rPr>
        <w:t>, the NIMAC Watchlist,</w:t>
      </w:r>
      <w:r w:rsidR="00240264">
        <w:rPr>
          <w:rFonts w:cstheme="minorHAnsi"/>
          <w:sz w:val="24"/>
          <w:szCs w:val="24"/>
        </w:rPr>
        <w:t xml:space="preserve"> and other </w:t>
      </w:r>
      <w:r w:rsidR="00836BC3" w:rsidRPr="00AD67A0">
        <w:rPr>
          <w:rFonts w:cstheme="minorHAnsi"/>
          <w:sz w:val="24"/>
          <w:szCs w:val="24"/>
        </w:rPr>
        <w:t xml:space="preserve">NIMAC-related </w:t>
      </w:r>
      <w:r w:rsidR="00DA7410" w:rsidRPr="00AD67A0">
        <w:rPr>
          <w:rFonts w:cstheme="minorHAnsi"/>
          <w:sz w:val="24"/>
          <w:szCs w:val="24"/>
        </w:rPr>
        <w:t xml:space="preserve">practices facilitate timely delivery, we obtained qualitative responses from interview participants and survey respondents. </w:t>
      </w:r>
      <w:bookmarkStart w:id="57" w:name="_Hlk216339752"/>
      <w:r w:rsidR="00DA7410" w:rsidRPr="00AD67A0">
        <w:rPr>
          <w:rFonts w:cstheme="minorHAnsi"/>
          <w:sz w:val="24"/>
          <w:szCs w:val="24"/>
        </w:rPr>
        <w:t>Interview participants were asked to describe</w:t>
      </w:r>
      <w:r w:rsidR="00836BC3" w:rsidRPr="00AD67A0">
        <w:rPr>
          <w:rFonts w:cstheme="minorHAnsi"/>
          <w:sz w:val="24"/>
          <w:szCs w:val="24"/>
        </w:rPr>
        <w:t xml:space="preserve"> </w:t>
      </w:r>
      <w:r w:rsidR="00DA7410" w:rsidRPr="00AD67A0">
        <w:rPr>
          <w:rFonts w:cstheme="minorHAnsi"/>
          <w:sz w:val="24"/>
          <w:szCs w:val="24"/>
        </w:rPr>
        <w:t>factors that facilitate timely delivery of accessible materials</w:t>
      </w:r>
      <w:r w:rsidR="00DB795B">
        <w:rPr>
          <w:rFonts w:cstheme="minorHAnsi"/>
          <w:sz w:val="24"/>
          <w:szCs w:val="24"/>
        </w:rPr>
        <w:t>, and a</w:t>
      </w:r>
      <w:r w:rsidR="00706C8B">
        <w:rPr>
          <w:rFonts w:cstheme="minorHAnsi"/>
          <w:sz w:val="24"/>
          <w:szCs w:val="24"/>
        </w:rPr>
        <w:t xml:space="preserve">dditional questions were asked of </w:t>
      </w:r>
      <w:r w:rsidR="00DE010B">
        <w:rPr>
          <w:rFonts w:cstheme="minorHAnsi"/>
          <w:sz w:val="24"/>
          <w:szCs w:val="24"/>
        </w:rPr>
        <w:t>NIMAC Users and AMPs</w:t>
      </w:r>
      <w:r w:rsidR="00DB795B">
        <w:rPr>
          <w:rFonts w:cstheme="minorHAnsi"/>
          <w:sz w:val="24"/>
          <w:szCs w:val="24"/>
        </w:rPr>
        <w:t xml:space="preserve"> (see Appendix B).</w:t>
      </w:r>
      <w:bookmarkEnd w:id="57"/>
      <w:r w:rsidR="00DB795B">
        <w:rPr>
          <w:rFonts w:cstheme="minorHAnsi"/>
          <w:sz w:val="24"/>
          <w:szCs w:val="24"/>
        </w:rPr>
        <w:t xml:space="preserve"> </w:t>
      </w:r>
      <w:r w:rsidR="00DA7410" w:rsidRPr="00AD67A0">
        <w:rPr>
          <w:rFonts w:cstheme="minorHAnsi"/>
          <w:sz w:val="24"/>
          <w:szCs w:val="24"/>
        </w:rPr>
        <w:t xml:space="preserve">Survey respondents were given the opportunity to </w:t>
      </w:r>
      <w:r w:rsidR="00DB795B">
        <w:rPr>
          <w:rFonts w:cstheme="minorHAnsi"/>
          <w:sz w:val="24"/>
          <w:szCs w:val="24"/>
        </w:rPr>
        <w:t>suggest other</w:t>
      </w:r>
      <w:r w:rsidR="00DB795B" w:rsidRPr="00AD67A0">
        <w:rPr>
          <w:rFonts w:cstheme="minorHAnsi"/>
          <w:sz w:val="24"/>
          <w:szCs w:val="24"/>
        </w:rPr>
        <w:t xml:space="preserve"> </w:t>
      </w:r>
      <w:r w:rsidR="00D0094C">
        <w:rPr>
          <w:rFonts w:cstheme="minorHAnsi"/>
          <w:sz w:val="24"/>
          <w:szCs w:val="24"/>
        </w:rPr>
        <w:t xml:space="preserve">factors </w:t>
      </w:r>
      <w:r w:rsidR="00DB795B">
        <w:rPr>
          <w:rFonts w:cstheme="minorHAnsi"/>
          <w:sz w:val="24"/>
          <w:szCs w:val="24"/>
        </w:rPr>
        <w:t>and</w:t>
      </w:r>
      <w:r w:rsidR="00DA7410" w:rsidRPr="00AD67A0">
        <w:rPr>
          <w:rFonts w:cstheme="minorHAnsi"/>
          <w:sz w:val="24"/>
          <w:szCs w:val="24"/>
        </w:rPr>
        <w:t xml:space="preserve"> to explain their selections. </w:t>
      </w:r>
    </w:p>
    <w:p w14:paraId="4F1CADDC" w14:textId="77777777" w:rsidR="00DA7410" w:rsidRPr="00DA7410" w:rsidRDefault="00DA7410" w:rsidP="00DA7410">
      <w:pPr>
        <w:spacing w:after="0" w:line="276" w:lineRule="auto"/>
        <w:rPr>
          <w:rFonts w:cstheme="minorHAnsi"/>
          <w:sz w:val="24"/>
          <w:szCs w:val="24"/>
          <w:highlight w:val="green"/>
        </w:rPr>
      </w:pPr>
    </w:p>
    <w:p w14:paraId="1A469F4D" w14:textId="53AB6290" w:rsidR="00DA7410" w:rsidRPr="004408E0" w:rsidRDefault="00B55C67" w:rsidP="00DA7410">
      <w:pPr>
        <w:spacing w:after="0" w:line="276" w:lineRule="auto"/>
        <w:rPr>
          <w:rFonts w:cstheme="minorHAnsi"/>
          <w:sz w:val="24"/>
          <w:szCs w:val="24"/>
        </w:rPr>
      </w:pPr>
      <w:r>
        <w:rPr>
          <w:rFonts w:ascii="ZWAdobeF" w:hAnsi="ZWAdobeF" w:cs="ZWAdobeF"/>
          <w:sz w:val="2"/>
          <w:szCs w:val="2"/>
        </w:rPr>
        <w:t>174B</w:t>
      </w:r>
      <w:r w:rsidR="00DA7410" w:rsidRPr="00AD67A0">
        <w:rPr>
          <w:rFonts w:cstheme="minorHAnsi"/>
          <w:sz w:val="24"/>
          <w:szCs w:val="24"/>
        </w:rPr>
        <w:t xml:space="preserve">Participants’ descriptions of </w:t>
      </w:r>
      <w:r w:rsidR="00AD67A0" w:rsidRPr="00AD67A0">
        <w:rPr>
          <w:rFonts w:cstheme="minorHAnsi"/>
          <w:sz w:val="24"/>
          <w:szCs w:val="24"/>
        </w:rPr>
        <w:t>NIMAC-related</w:t>
      </w:r>
      <w:r w:rsidR="00DA7410" w:rsidRPr="00AD67A0">
        <w:rPr>
          <w:rFonts w:cstheme="minorHAnsi"/>
          <w:sz w:val="24"/>
          <w:szCs w:val="24"/>
        </w:rPr>
        <w:t xml:space="preserve"> practices that facilitate timely delivery are presented by theme in Table </w:t>
      </w:r>
      <w:r w:rsidR="0098716F">
        <w:rPr>
          <w:rFonts w:cstheme="minorHAnsi"/>
          <w:sz w:val="24"/>
          <w:szCs w:val="24"/>
        </w:rPr>
        <w:t>1</w:t>
      </w:r>
      <w:r w:rsidR="006A6885">
        <w:rPr>
          <w:rFonts w:cstheme="minorHAnsi"/>
          <w:sz w:val="24"/>
          <w:szCs w:val="24"/>
        </w:rPr>
        <w:t>1</w:t>
      </w:r>
      <w:r w:rsidR="00DA7410" w:rsidRPr="00AD67A0">
        <w:rPr>
          <w:rFonts w:cstheme="minorHAnsi"/>
          <w:sz w:val="24"/>
          <w:szCs w:val="24"/>
        </w:rPr>
        <w:t xml:space="preserve">. </w:t>
      </w:r>
      <w:r w:rsidR="004408E0">
        <w:rPr>
          <w:rFonts w:cstheme="minorHAnsi"/>
          <w:sz w:val="24"/>
          <w:szCs w:val="24"/>
        </w:rPr>
        <w:t xml:space="preserve">The most commonly described NIMAC-related practice was having the NIMAS file in the NIMAC system when accessible formats need to be produced for the first time (45 excerpts). Participants also described the </w:t>
      </w:r>
      <w:r w:rsidR="00EE21D1">
        <w:rPr>
          <w:rFonts w:cstheme="minorHAnsi"/>
          <w:sz w:val="24"/>
          <w:szCs w:val="24"/>
        </w:rPr>
        <w:t>utility</w:t>
      </w:r>
      <w:r w:rsidR="004408E0">
        <w:rPr>
          <w:rFonts w:cstheme="minorHAnsi"/>
          <w:sz w:val="24"/>
          <w:szCs w:val="24"/>
        </w:rPr>
        <w:t xml:space="preserve"> of using the NIMAC Watchlist when needed (13 excerpts) and effective and timely </w:t>
      </w:r>
      <w:r w:rsidR="00F9262A">
        <w:rPr>
          <w:rFonts w:cstheme="minorHAnsi"/>
          <w:sz w:val="24"/>
          <w:szCs w:val="24"/>
        </w:rPr>
        <w:t>TA</w:t>
      </w:r>
      <w:r w:rsidR="004408E0">
        <w:rPr>
          <w:rFonts w:cstheme="minorHAnsi"/>
          <w:sz w:val="24"/>
          <w:szCs w:val="24"/>
        </w:rPr>
        <w:t xml:space="preserve"> </w:t>
      </w:r>
      <w:r w:rsidR="0038742E">
        <w:rPr>
          <w:rFonts w:cstheme="minorHAnsi"/>
          <w:sz w:val="24"/>
          <w:szCs w:val="24"/>
        </w:rPr>
        <w:t>from</w:t>
      </w:r>
      <w:r w:rsidR="004408E0">
        <w:rPr>
          <w:rFonts w:cstheme="minorHAnsi"/>
          <w:sz w:val="24"/>
          <w:szCs w:val="24"/>
        </w:rPr>
        <w:t xml:space="preserve"> NIMAC staff (11 excerpts). </w:t>
      </w:r>
      <w:r w:rsidR="0038742E">
        <w:rPr>
          <w:rFonts w:cstheme="minorHAnsi"/>
          <w:sz w:val="24"/>
          <w:szCs w:val="24"/>
        </w:rPr>
        <w:t>S</w:t>
      </w:r>
      <w:r w:rsidR="00E51F52" w:rsidRPr="00C60C44">
        <w:rPr>
          <w:rFonts w:cstheme="minorHAnsi"/>
          <w:sz w:val="24"/>
          <w:szCs w:val="24"/>
        </w:rPr>
        <w:t xml:space="preserve">everal participants </w:t>
      </w:r>
      <w:r w:rsidR="0038742E">
        <w:rPr>
          <w:rFonts w:cstheme="minorHAnsi"/>
          <w:sz w:val="24"/>
          <w:szCs w:val="24"/>
        </w:rPr>
        <w:t>specified</w:t>
      </w:r>
      <w:r w:rsidR="00C60C44" w:rsidRPr="00C60C44">
        <w:rPr>
          <w:rFonts w:cstheme="minorHAnsi"/>
          <w:sz w:val="24"/>
          <w:szCs w:val="24"/>
        </w:rPr>
        <w:t xml:space="preserve"> </w:t>
      </w:r>
      <w:r w:rsidR="0038742E">
        <w:rPr>
          <w:rFonts w:cstheme="minorHAnsi"/>
          <w:sz w:val="24"/>
          <w:szCs w:val="24"/>
        </w:rPr>
        <w:t xml:space="preserve">useful </w:t>
      </w:r>
      <w:r w:rsidR="00C60C44" w:rsidRPr="00C60C44">
        <w:rPr>
          <w:rFonts w:cstheme="minorHAnsi"/>
          <w:sz w:val="24"/>
          <w:szCs w:val="24"/>
        </w:rPr>
        <w:t>NIMAC services,</w:t>
      </w:r>
      <w:r w:rsidR="0064228E" w:rsidRPr="00C60C44">
        <w:rPr>
          <w:rFonts w:cstheme="minorHAnsi"/>
          <w:sz w:val="24"/>
          <w:szCs w:val="24"/>
        </w:rPr>
        <w:t xml:space="preserve"> including </w:t>
      </w:r>
      <w:r w:rsidR="00C60C44" w:rsidRPr="00C60C44">
        <w:rPr>
          <w:rFonts w:cstheme="minorHAnsi"/>
          <w:sz w:val="24"/>
          <w:szCs w:val="24"/>
        </w:rPr>
        <w:t xml:space="preserve">the recent addition of a “feedback button” in the NIMAC system, NIMAC training videos online, and a list with publisher contact information. </w:t>
      </w:r>
    </w:p>
    <w:p w14:paraId="225A004D" w14:textId="6AAA2358" w:rsidR="00F9262A" w:rsidRDefault="00F9262A">
      <w:pPr>
        <w:rPr>
          <w:rFonts w:ascii="Times New Roman" w:hAnsi="Times New Roman" w:cs="Times New Roman"/>
          <w:sz w:val="24"/>
          <w:szCs w:val="24"/>
          <w:highlight w:val="green"/>
        </w:rPr>
      </w:pPr>
      <w:r>
        <w:rPr>
          <w:rFonts w:ascii="Times New Roman" w:hAnsi="Times New Roman" w:cs="Times New Roman"/>
          <w:sz w:val="24"/>
          <w:szCs w:val="24"/>
          <w:highlight w:val="green"/>
        </w:rPr>
        <w:br w:type="page"/>
      </w:r>
    </w:p>
    <w:p w14:paraId="71CA4DB5" w14:textId="6D8A0708" w:rsidR="00DA7410" w:rsidRPr="00AD67A0" w:rsidRDefault="00DA7410" w:rsidP="004946C3">
      <w:pPr>
        <w:pStyle w:val="Heading4"/>
      </w:pPr>
      <w:bookmarkStart w:id="58" w:name="_Toc222904017"/>
      <w:r w:rsidRPr="00AD67A0">
        <w:lastRenderedPageBreak/>
        <w:t xml:space="preserve">Table </w:t>
      </w:r>
      <w:r w:rsidR="0098716F">
        <w:t>1</w:t>
      </w:r>
      <w:r w:rsidR="006A6885">
        <w:t>1</w:t>
      </w:r>
      <w:r w:rsidRPr="00AD67A0">
        <w:t xml:space="preserve">. Qualitative Descriptions of </w:t>
      </w:r>
      <w:r w:rsidR="00AD67A0" w:rsidRPr="00AD67A0">
        <w:t>NIMAC-Related</w:t>
      </w:r>
      <w:r w:rsidRPr="00AD67A0">
        <w:t xml:space="preserve"> Practices that Facilitate Timely Delivery</w:t>
      </w:r>
      <w:bookmarkEnd w:id="58"/>
    </w:p>
    <w:p w14:paraId="7913FA62" w14:textId="2DFB5B44" w:rsidR="00DA7410" w:rsidRPr="00001DB4" w:rsidRDefault="00B55C67" w:rsidP="00DA7410">
      <w:pPr>
        <w:jc w:val="center"/>
        <w:rPr>
          <w:rFonts w:ascii="Calibri" w:hAnsi="Calibri" w:cs="Calibri"/>
        </w:rPr>
      </w:pPr>
      <w:r>
        <w:rPr>
          <w:rFonts w:ascii="ZWAdobeF" w:hAnsi="ZWAdobeF" w:cs="ZWAdobeF"/>
          <w:sz w:val="2"/>
          <w:szCs w:val="2"/>
        </w:rPr>
        <w:t>175</w:t>
      </w:r>
      <w:proofErr w:type="gramStart"/>
      <w:r>
        <w:rPr>
          <w:rFonts w:ascii="ZWAdobeF" w:hAnsi="ZWAdobeF" w:cs="ZWAdobeF"/>
          <w:sz w:val="2"/>
          <w:szCs w:val="2"/>
        </w:rPr>
        <w:t>B</w:t>
      </w:r>
      <w:r w:rsidR="00DA7410" w:rsidRPr="00001DB4">
        <w:rPr>
          <w:rFonts w:ascii="Calibri" w:hAnsi="Calibri" w:cs="Calibri"/>
        </w:rPr>
        <w:t>(</w:t>
      </w:r>
      <w:proofErr w:type="gramEnd"/>
      <w:r w:rsidR="004F0B53">
        <w:rPr>
          <w:rFonts w:ascii="Calibri" w:hAnsi="Calibri" w:cs="Calibri"/>
        </w:rPr>
        <w:t>68</w:t>
      </w:r>
      <w:r w:rsidR="00DA7410" w:rsidRPr="00001DB4">
        <w:rPr>
          <w:rFonts w:ascii="Calibri" w:hAnsi="Calibri" w:cs="Calibri"/>
        </w:rPr>
        <w:t xml:space="preserve"> excerpts)</w:t>
      </w:r>
    </w:p>
    <w:tbl>
      <w:tblPr>
        <w:tblStyle w:val="GridTable4"/>
        <w:tblW w:w="9355" w:type="dxa"/>
        <w:tblLook w:val="04A0" w:firstRow="1" w:lastRow="0" w:firstColumn="1" w:lastColumn="0" w:noHBand="0" w:noVBand="1"/>
        <w:tblCaption w:val="Table 10. Qualitative Descriptions of NIMAC-Related Practices that Facilitate Timely Delivery"/>
      </w:tblPr>
      <w:tblGrid>
        <w:gridCol w:w="2335"/>
        <w:gridCol w:w="7020"/>
      </w:tblGrid>
      <w:tr w:rsidR="00DA7410" w:rsidRPr="00DA7410" w14:paraId="21A9976C" w14:textId="77777777" w:rsidTr="004669B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335" w:type="dxa"/>
            <w:shd w:val="clear" w:color="auto" w:fill="44546A" w:themeFill="text2"/>
            <w:vAlign w:val="center"/>
          </w:tcPr>
          <w:p w14:paraId="0E797585" w14:textId="6DF6644A" w:rsidR="00DA7410" w:rsidRPr="00AD67A0" w:rsidRDefault="00AD67A0" w:rsidP="002F15D2">
            <w:pPr>
              <w:jc w:val="center"/>
              <w:rPr>
                <w:rFonts w:cstheme="minorHAnsi"/>
              </w:rPr>
            </w:pPr>
            <w:bookmarkStart w:id="59" w:name="_Hlk216009513"/>
            <w:r>
              <w:rPr>
                <w:rFonts w:cstheme="minorHAnsi"/>
              </w:rPr>
              <w:t>NIMAC-Related</w:t>
            </w:r>
            <w:r w:rsidR="00DA7410" w:rsidRPr="00AD67A0">
              <w:rPr>
                <w:rFonts w:cstheme="minorHAnsi"/>
              </w:rPr>
              <w:t xml:space="preserve"> Practices that Facilitate Timely Delivery</w:t>
            </w:r>
          </w:p>
        </w:tc>
        <w:tc>
          <w:tcPr>
            <w:tcW w:w="7020" w:type="dxa"/>
            <w:shd w:val="clear" w:color="auto" w:fill="44546A" w:themeFill="text2"/>
            <w:vAlign w:val="center"/>
          </w:tcPr>
          <w:p w14:paraId="649E22CA" w14:textId="77777777" w:rsidR="00DA7410" w:rsidRPr="00AD67A0" w:rsidRDefault="00DA7410" w:rsidP="002F15D2">
            <w:pPr>
              <w:jc w:val="center"/>
              <w:cnfStyle w:val="100000000000" w:firstRow="1" w:lastRow="0" w:firstColumn="0" w:lastColumn="0" w:oddVBand="0" w:evenVBand="0" w:oddHBand="0" w:evenHBand="0" w:firstRowFirstColumn="0" w:firstRowLastColumn="0" w:lastRowFirstColumn="0" w:lastRowLastColumn="0"/>
              <w:rPr>
                <w:rFonts w:cstheme="minorHAnsi"/>
              </w:rPr>
            </w:pPr>
            <w:r w:rsidRPr="00AD67A0">
              <w:rPr>
                <w:rFonts w:cstheme="minorHAnsi"/>
              </w:rPr>
              <w:t>Representative Quotations</w:t>
            </w:r>
          </w:p>
        </w:tc>
      </w:tr>
      <w:tr w:rsidR="00560446" w:rsidRPr="00DA7410" w14:paraId="2C4E636F" w14:textId="77777777" w:rsidTr="00C74310">
        <w:trPr>
          <w:cnfStyle w:val="000000100000" w:firstRow="0" w:lastRow="0" w:firstColumn="0" w:lastColumn="0" w:oddVBand="0" w:evenVBand="0" w:oddHBand="1" w:evenHBand="0" w:firstRowFirstColumn="0" w:firstRowLastColumn="0" w:lastRowFirstColumn="0" w:lastRowLastColumn="0"/>
          <w:trHeight w:val="1223"/>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0222BD44" w14:textId="0E7B4E45" w:rsidR="00560446" w:rsidRPr="00AD67A0" w:rsidRDefault="00560446" w:rsidP="002F15D2">
            <w:pPr>
              <w:rPr>
                <w:rFonts w:cstheme="minorHAnsi"/>
              </w:rPr>
            </w:pPr>
            <w:r>
              <w:rPr>
                <w:rFonts w:cstheme="minorHAnsi"/>
              </w:rPr>
              <w:t xml:space="preserve">NIMAS file in the NIMAC system </w:t>
            </w:r>
            <w:r w:rsidR="004408E0">
              <w:rPr>
                <w:rFonts w:cstheme="minorHAnsi"/>
              </w:rPr>
              <w:t xml:space="preserve">when accessible formats need to be produced for the first time </w:t>
            </w:r>
            <w:r>
              <w:rPr>
                <w:rFonts w:cstheme="minorHAnsi"/>
              </w:rPr>
              <w:t>(45)</w:t>
            </w:r>
          </w:p>
        </w:tc>
        <w:tc>
          <w:tcPr>
            <w:tcW w:w="7020" w:type="dxa"/>
            <w:shd w:val="clear" w:color="auto" w:fill="D9E2F3"/>
          </w:tcPr>
          <w:p w14:paraId="09C38192" w14:textId="0DEF39DA" w:rsidR="00560446" w:rsidRPr="00AD67A0" w:rsidRDefault="00560446" w:rsidP="002F15D2">
            <w:pPr>
              <w:cnfStyle w:val="000000100000" w:firstRow="0" w:lastRow="0" w:firstColumn="0" w:lastColumn="0" w:oddVBand="0" w:evenVBand="0" w:oddHBand="1" w:evenHBand="0" w:firstRowFirstColumn="0" w:firstRowLastColumn="0" w:lastRowFirstColumn="0" w:lastRowLastColumn="0"/>
            </w:pPr>
            <w:r w:rsidRPr="004F0B53">
              <w:t xml:space="preserve">I can say from a production standpoint, </w:t>
            </w:r>
            <w:r w:rsidR="00660D1F">
              <w:t>as</w:t>
            </w:r>
            <w:r>
              <w:t xml:space="preserve"> </w:t>
            </w:r>
            <w:r w:rsidRPr="004F0B53">
              <w:t xml:space="preserve">the person taking the </w:t>
            </w:r>
            <w:r>
              <w:t>NIMAS</w:t>
            </w:r>
            <w:r w:rsidRPr="004F0B53">
              <w:t xml:space="preserve"> file </w:t>
            </w:r>
            <w:r>
              <w:t>and converting it</w:t>
            </w:r>
            <w:r w:rsidRPr="004F0B53">
              <w:t xml:space="preserve"> to a file that's intended for the end user,</w:t>
            </w:r>
            <w:r>
              <w:t xml:space="preserve"> </w:t>
            </w:r>
            <w:r w:rsidRPr="004F0B53">
              <w:t>the process is easiest and quickest for me</w:t>
            </w:r>
            <w:r>
              <w:t xml:space="preserve"> w</w:t>
            </w:r>
            <w:r w:rsidRPr="004F0B53">
              <w:t xml:space="preserve">hen a file is already readily available in the </w:t>
            </w:r>
            <w:r>
              <w:t>NIMAC. T</w:t>
            </w:r>
            <w:r w:rsidRPr="004F0B53">
              <w:t>hat's my favorite thing. That's the best-case scenario</w:t>
            </w:r>
            <w:r>
              <w:t>. (OH)</w:t>
            </w:r>
          </w:p>
        </w:tc>
      </w:tr>
      <w:tr w:rsidR="00560446" w:rsidRPr="00DA7410" w14:paraId="4ECDB592" w14:textId="77777777" w:rsidTr="004F0B53">
        <w:trPr>
          <w:trHeight w:val="56"/>
        </w:trPr>
        <w:tc>
          <w:tcPr>
            <w:cnfStyle w:val="001000000000" w:firstRow="0" w:lastRow="0" w:firstColumn="1" w:lastColumn="0" w:oddVBand="0" w:evenVBand="0" w:oddHBand="0" w:evenHBand="0" w:firstRowFirstColumn="0" w:firstRowLastColumn="0" w:lastRowFirstColumn="0" w:lastRowLastColumn="0"/>
            <w:tcW w:w="2335" w:type="dxa"/>
          </w:tcPr>
          <w:p w14:paraId="79C0624C" w14:textId="77777777" w:rsidR="00560446" w:rsidRDefault="00560446" w:rsidP="002F15D2">
            <w:pPr>
              <w:rPr>
                <w:rFonts w:cstheme="minorHAnsi"/>
              </w:rPr>
            </w:pPr>
          </w:p>
        </w:tc>
        <w:tc>
          <w:tcPr>
            <w:tcW w:w="7020" w:type="dxa"/>
          </w:tcPr>
          <w:p w14:paraId="6487F4F8" w14:textId="5ED0E2E0" w:rsidR="00560446" w:rsidRDefault="00560446" w:rsidP="002F15D2">
            <w:pPr>
              <w:cnfStyle w:val="000000000000" w:firstRow="0" w:lastRow="0" w:firstColumn="0" w:lastColumn="0" w:oddVBand="0" w:evenVBand="0" w:oddHBand="0" w:evenHBand="0" w:firstRowFirstColumn="0" w:firstRowLastColumn="0" w:lastRowFirstColumn="0" w:lastRowLastColumn="0"/>
            </w:pPr>
            <w:r w:rsidRPr="004F0B53">
              <w:t>Having NIMAS files available makes it easier for our braille transcriptionist to complete original products that are not available for purchase otherwise.</w:t>
            </w:r>
            <w:r>
              <w:t xml:space="preserve"> (OR)</w:t>
            </w:r>
          </w:p>
        </w:tc>
      </w:tr>
      <w:tr w:rsidR="00560446" w:rsidRPr="00DA7410" w14:paraId="63B50005" w14:textId="77777777" w:rsidTr="00C74310">
        <w:trPr>
          <w:cnfStyle w:val="000000100000" w:firstRow="0" w:lastRow="0" w:firstColumn="0" w:lastColumn="0" w:oddVBand="0" w:evenVBand="0" w:oddHBand="1" w:evenHBand="0" w:firstRowFirstColumn="0" w:firstRowLastColumn="0" w:lastRowFirstColumn="0" w:lastRowLastColumn="0"/>
          <w:trHeight w:val="56"/>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49E5A1D9" w14:textId="77777777" w:rsidR="00560446" w:rsidRDefault="00560446" w:rsidP="002F15D2">
            <w:pPr>
              <w:rPr>
                <w:rFonts w:cstheme="minorHAnsi"/>
              </w:rPr>
            </w:pPr>
          </w:p>
        </w:tc>
        <w:tc>
          <w:tcPr>
            <w:tcW w:w="7020" w:type="dxa"/>
            <w:shd w:val="clear" w:color="auto" w:fill="D9E2F3"/>
          </w:tcPr>
          <w:p w14:paraId="097EE21C" w14:textId="37639BF3" w:rsidR="00560446" w:rsidRDefault="00560446" w:rsidP="002F15D2">
            <w:pPr>
              <w:cnfStyle w:val="000000100000" w:firstRow="0" w:lastRow="0" w:firstColumn="0" w:lastColumn="0" w:oddVBand="0" w:evenVBand="0" w:oddHBand="1" w:evenHBand="0" w:firstRowFirstColumn="0" w:firstRowLastColumn="0" w:lastRowFirstColumn="0" w:lastRowLastColumn="0"/>
            </w:pPr>
            <w:r w:rsidRPr="004F0B53">
              <w:t>NIMAS files are very helpful in the timely delivery of materials</w:t>
            </w:r>
            <w:r w:rsidR="00CA6C0D">
              <w:t>.</w:t>
            </w:r>
            <w:r>
              <w:t xml:space="preserve"> </w:t>
            </w:r>
            <w:r w:rsidRPr="004F0B53">
              <w:t>Using NIMAS files to produce braille is significantly faster than working from a PDF or from a scan.</w:t>
            </w:r>
            <w:r>
              <w:t xml:space="preserve"> (OR)</w:t>
            </w:r>
          </w:p>
        </w:tc>
      </w:tr>
      <w:tr w:rsidR="00560446" w:rsidRPr="00DA7410" w14:paraId="6A7DD837" w14:textId="77777777" w:rsidTr="004F0B53">
        <w:trPr>
          <w:trHeight w:val="56"/>
        </w:trPr>
        <w:tc>
          <w:tcPr>
            <w:cnfStyle w:val="001000000000" w:firstRow="0" w:lastRow="0" w:firstColumn="1" w:lastColumn="0" w:oddVBand="0" w:evenVBand="0" w:oddHBand="0" w:evenHBand="0" w:firstRowFirstColumn="0" w:firstRowLastColumn="0" w:lastRowFirstColumn="0" w:lastRowLastColumn="0"/>
            <w:tcW w:w="2335" w:type="dxa"/>
          </w:tcPr>
          <w:p w14:paraId="3EBF7ADB" w14:textId="77777777" w:rsidR="00560446" w:rsidRDefault="00560446" w:rsidP="002F15D2">
            <w:pPr>
              <w:rPr>
                <w:rFonts w:cstheme="minorHAnsi"/>
              </w:rPr>
            </w:pPr>
          </w:p>
        </w:tc>
        <w:tc>
          <w:tcPr>
            <w:tcW w:w="7020" w:type="dxa"/>
          </w:tcPr>
          <w:p w14:paraId="52D90411" w14:textId="03628E66" w:rsidR="00560446" w:rsidRDefault="00560446" w:rsidP="002F15D2">
            <w:pPr>
              <w:cnfStyle w:val="000000000000" w:firstRow="0" w:lastRow="0" w:firstColumn="0" w:lastColumn="0" w:oddVBand="0" w:evenVBand="0" w:oddHBand="0" w:evenHBand="0" w:firstRowFirstColumn="0" w:firstRowLastColumn="0" w:lastRowFirstColumn="0" w:lastRowLastColumn="0"/>
            </w:pPr>
            <w:r w:rsidRPr="004F0B53">
              <w:t>I think having materials readily available in the NIMAC goes a long way.</w:t>
            </w:r>
            <w:r>
              <w:t xml:space="preserve"> (OR)</w:t>
            </w:r>
          </w:p>
        </w:tc>
      </w:tr>
      <w:tr w:rsidR="00560446" w:rsidRPr="00DA7410" w14:paraId="6CD2D740" w14:textId="77777777" w:rsidTr="00C74310">
        <w:trPr>
          <w:cnfStyle w:val="000000100000" w:firstRow="0" w:lastRow="0" w:firstColumn="0" w:lastColumn="0" w:oddVBand="0" w:evenVBand="0" w:oddHBand="1" w:evenHBand="0" w:firstRowFirstColumn="0" w:firstRowLastColumn="0" w:lastRowFirstColumn="0" w:lastRowLastColumn="0"/>
          <w:trHeight w:val="56"/>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5E38F8B2" w14:textId="77777777" w:rsidR="00560446" w:rsidRDefault="00560446" w:rsidP="002F15D2">
            <w:pPr>
              <w:rPr>
                <w:rFonts w:cstheme="minorHAnsi"/>
              </w:rPr>
            </w:pPr>
          </w:p>
        </w:tc>
        <w:tc>
          <w:tcPr>
            <w:tcW w:w="7020" w:type="dxa"/>
            <w:shd w:val="clear" w:color="auto" w:fill="D9E2F3"/>
          </w:tcPr>
          <w:p w14:paraId="4AA9BD60" w14:textId="1EDC6B98" w:rsidR="00560446" w:rsidRDefault="00560446" w:rsidP="002F15D2">
            <w:pPr>
              <w:cnfStyle w:val="000000100000" w:firstRow="0" w:lastRow="0" w:firstColumn="0" w:lastColumn="0" w:oddVBand="0" w:evenVBand="0" w:oddHBand="1" w:evenHBand="0" w:firstRowFirstColumn="0" w:firstRowLastColumn="0" w:lastRowFirstColumn="0" w:lastRowLastColumn="0"/>
            </w:pPr>
            <w:r w:rsidRPr="00560446">
              <w:t>Having access to NIMAS files helps speed up the braille production process. When NIMAS files have not been added to NIMAS or are not available</w:t>
            </w:r>
            <w:r w:rsidR="00CA6C0D">
              <w:t>,</w:t>
            </w:r>
            <w:r w:rsidRPr="00560446">
              <w:t xml:space="preserve"> it really impacts the delivery of these materials to our students.</w:t>
            </w:r>
            <w:r>
              <w:t xml:space="preserve"> (CO)</w:t>
            </w:r>
          </w:p>
        </w:tc>
      </w:tr>
      <w:tr w:rsidR="00560446" w:rsidRPr="00DA7410" w14:paraId="17F7665F" w14:textId="77777777" w:rsidTr="004F0B53">
        <w:trPr>
          <w:trHeight w:val="56"/>
        </w:trPr>
        <w:tc>
          <w:tcPr>
            <w:cnfStyle w:val="001000000000" w:firstRow="0" w:lastRow="0" w:firstColumn="1" w:lastColumn="0" w:oddVBand="0" w:evenVBand="0" w:oddHBand="0" w:evenHBand="0" w:firstRowFirstColumn="0" w:firstRowLastColumn="0" w:lastRowFirstColumn="0" w:lastRowLastColumn="0"/>
            <w:tcW w:w="2335" w:type="dxa"/>
          </w:tcPr>
          <w:p w14:paraId="42E0BC03" w14:textId="77777777" w:rsidR="00560446" w:rsidRDefault="00560446" w:rsidP="002F15D2">
            <w:pPr>
              <w:rPr>
                <w:rFonts w:cstheme="minorHAnsi"/>
              </w:rPr>
            </w:pPr>
          </w:p>
        </w:tc>
        <w:tc>
          <w:tcPr>
            <w:tcW w:w="7020" w:type="dxa"/>
          </w:tcPr>
          <w:p w14:paraId="42998E5D" w14:textId="72C0AC97" w:rsidR="00560446" w:rsidRDefault="00560446" w:rsidP="002F15D2">
            <w:pPr>
              <w:cnfStyle w:val="000000000000" w:firstRow="0" w:lastRow="0" w:firstColumn="0" w:lastColumn="0" w:oddVBand="0" w:evenVBand="0" w:oddHBand="0" w:evenHBand="0" w:firstRowFirstColumn="0" w:firstRowLastColumn="0" w:lastRowFirstColumn="0" w:lastRowLastColumn="0"/>
            </w:pPr>
            <w:r w:rsidRPr="00560446">
              <w:t xml:space="preserve">It makes delivery so much quicker if materials are in </w:t>
            </w:r>
            <w:r w:rsidR="00CA6C0D">
              <w:t xml:space="preserve">the </w:t>
            </w:r>
            <w:r w:rsidRPr="00560446">
              <w:t>NIMAC. I can assign the materials to a vendor</w:t>
            </w:r>
            <w:r w:rsidR="00CA6C0D">
              <w:t>,</w:t>
            </w:r>
            <w:r w:rsidRPr="00560446">
              <w:t xml:space="preserve"> and they can start transcription. If not, all materials must be scanned</w:t>
            </w:r>
            <w:r w:rsidR="00CA6C0D">
              <w:t>,</w:t>
            </w:r>
            <w:r w:rsidRPr="00560446">
              <w:t xml:space="preserve"> which is time consuming</w:t>
            </w:r>
            <w:r>
              <w:t>. (CT)</w:t>
            </w:r>
          </w:p>
        </w:tc>
      </w:tr>
      <w:tr w:rsidR="00560446" w:rsidRPr="00DA7410" w14:paraId="1B414828" w14:textId="77777777" w:rsidTr="00C74310">
        <w:trPr>
          <w:cnfStyle w:val="000000100000" w:firstRow="0" w:lastRow="0" w:firstColumn="0" w:lastColumn="0" w:oddVBand="0" w:evenVBand="0" w:oddHBand="1" w:evenHBand="0" w:firstRowFirstColumn="0" w:firstRowLastColumn="0" w:lastRowFirstColumn="0" w:lastRowLastColumn="0"/>
          <w:trHeight w:val="56"/>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473E7956" w14:textId="77777777" w:rsidR="00560446" w:rsidRDefault="00560446" w:rsidP="002F15D2">
            <w:pPr>
              <w:rPr>
                <w:rFonts w:cstheme="minorHAnsi"/>
              </w:rPr>
            </w:pPr>
          </w:p>
        </w:tc>
        <w:tc>
          <w:tcPr>
            <w:tcW w:w="7020" w:type="dxa"/>
            <w:shd w:val="clear" w:color="auto" w:fill="D9E2F3"/>
          </w:tcPr>
          <w:p w14:paraId="42C1AE1C" w14:textId="5224C16A" w:rsidR="00560446" w:rsidRDefault="00560446" w:rsidP="002F15D2">
            <w:pPr>
              <w:cnfStyle w:val="000000100000" w:firstRow="0" w:lastRow="0" w:firstColumn="0" w:lastColumn="0" w:oddVBand="0" w:evenVBand="0" w:oddHBand="1" w:evenHBand="0" w:firstRowFirstColumn="0" w:firstRowLastColumn="0" w:lastRowFirstColumn="0" w:lastRowLastColumn="0"/>
            </w:pPr>
            <w:r>
              <w:t>W</w:t>
            </w:r>
            <w:r w:rsidRPr="00560446">
              <w:t>hen things are in the NIMAC there is no need to scan, zone, OCR, etc</w:t>
            </w:r>
            <w:r>
              <w:t>.</w:t>
            </w:r>
            <w:r w:rsidRPr="00560446">
              <w:t xml:space="preserve"> and the time savings from that alone </w:t>
            </w:r>
            <w:proofErr w:type="gramStart"/>
            <w:r w:rsidRPr="00560446">
              <w:t>is</w:t>
            </w:r>
            <w:proofErr w:type="gramEnd"/>
            <w:r w:rsidRPr="00560446">
              <w:t xml:space="preserve"> </w:t>
            </w:r>
            <w:r w:rsidR="00CA6C0D">
              <w:t>huge</w:t>
            </w:r>
            <w:r w:rsidRPr="00560446">
              <w:t>!</w:t>
            </w:r>
            <w:r>
              <w:t xml:space="preserve"> (MI)</w:t>
            </w:r>
          </w:p>
        </w:tc>
      </w:tr>
      <w:tr w:rsidR="008569C1" w:rsidRPr="00DA7410" w14:paraId="02F29B01" w14:textId="77777777" w:rsidTr="004669B0">
        <w:tc>
          <w:tcPr>
            <w:cnfStyle w:val="001000000000" w:firstRow="0" w:lastRow="0" w:firstColumn="1" w:lastColumn="0" w:oddVBand="0" w:evenVBand="0" w:oddHBand="0" w:evenHBand="0" w:firstRowFirstColumn="0" w:firstRowLastColumn="0" w:lastRowFirstColumn="0" w:lastRowLastColumn="0"/>
            <w:tcW w:w="2335" w:type="dxa"/>
          </w:tcPr>
          <w:p w14:paraId="47F9223D" w14:textId="2B766F74" w:rsidR="008569C1" w:rsidRPr="001D63D1" w:rsidRDefault="008569C1" w:rsidP="002F15D2">
            <w:pPr>
              <w:rPr>
                <w:rFonts w:cstheme="minorHAnsi"/>
                <w:b w:val="0"/>
                <w:bCs w:val="0"/>
              </w:rPr>
            </w:pPr>
            <w:r>
              <w:rPr>
                <w:rFonts w:cstheme="minorHAnsi"/>
              </w:rPr>
              <w:t>Use of NIMAC Watchlist when needed (13)</w:t>
            </w:r>
          </w:p>
        </w:tc>
        <w:tc>
          <w:tcPr>
            <w:tcW w:w="7020" w:type="dxa"/>
          </w:tcPr>
          <w:p w14:paraId="3BA34DF6" w14:textId="2E813591" w:rsidR="008569C1" w:rsidRPr="00AD67A0" w:rsidRDefault="008569C1" w:rsidP="002F15D2">
            <w:pPr>
              <w:cnfStyle w:val="000000000000" w:firstRow="0" w:lastRow="0" w:firstColumn="0" w:lastColumn="0" w:oddVBand="0" w:evenVBand="0" w:oddHBand="0" w:evenHBand="0" w:firstRowFirstColumn="0" w:firstRowLastColumn="0" w:lastRowFirstColumn="0" w:lastRowLastColumn="0"/>
            </w:pPr>
            <w:r w:rsidRPr="00442C19">
              <w:t xml:space="preserve">If you </w:t>
            </w:r>
            <w:r>
              <w:t>add a file to</w:t>
            </w:r>
            <w:r w:rsidRPr="00442C19">
              <w:t xml:space="preserve"> the </w:t>
            </w:r>
            <w:r>
              <w:t>Watchlist</w:t>
            </w:r>
            <w:r w:rsidRPr="00442C19">
              <w:t xml:space="preserve">, </w:t>
            </w:r>
            <w:r>
              <w:t>NIMAC staff</w:t>
            </w:r>
            <w:r w:rsidRPr="00442C19">
              <w:t xml:space="preserve"> will get back to you right away and say</w:t>
            </w:r>
            <w:r>
              <w:t>,</w:t>
            </w:r>
            <w:r w:rsidRPr="00442C19">
              <w:t xml:space="preserve"> </w:t>
            </w:r>
            <w:r>
              <w:t>“</w:t>
            </w:r>
            <w:r w:rsidRPr="00442C19">
              <w:t xml:space="preserve">We're working with the publisher to get it deposited into the </w:t>
            </w:r>
            <w:r>
              <w:t>NIMAC</w:t>
            </w:r>
            <w:r w:rsidRPr="00442C19">
              <w:t>.</w:t>
            </w:r>
            <w:r>
              <w:t>” (OH)</w:t>
            </w:r>
          </w:p>
        </w:tc>
      </w:tr>
      <w:tr w:rsidR="008569C1" w:rsidRPr="00DA7410" w14:paraId="50CE101C"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761FDFD6" w14:textId="77777777" w:rsidR="008569C1" w:rsidRPr="00AD67A0" w:rsidRDefault="008569C1" w:rsidP="002F15D2">
            <w:pPr>
              <w:rPr>
                <w:rFonts w:cstheme="minorHAnsi"/>
              </w:rPr>
            </w:pPr>
          </w:p>
        </w:tc>
        <w:tc>
          <w:tcPr>
            <w:tcW w:w="7020" w:type="dxa"/>
            <w:shd w:val="clear" w:color="auto" w:fill="D9E2F3"/>
          </w:tcPr>
          <w:p w14:paraId="3FDB07FB" w14:textId="414498C6" w:rsidR="008569C1" w:rsidRPr="00AD67A0" w:rsidRDefault="001D63D1" w:rsidP="002F15D2">
            <w:pPr>
              <w:cnfStyle w:val="000000100000" w:firstRow="0" w:lastRow="0" w:firstColumn="0" w:lastColumn="0" w:oddVBand="0" w:evenVBand="0" w:oddHBand="1" w:evenHBand="0" w:firstRowFirstColumn="0" w:firstRowLastColumn="0" w:lastRowFirstColumn="0" w:lastRowLastColumn="0"/>
            </w:pPr>
            <w:r w:rsidRPr="001D63D1">
              <w:t xml:space="preserve">I've used </w:t>
            </w:r>
            <w:r>
              <w:t>the Watchlist</w:t>
            </w:r>
            <w:r w:rsidRPr="001D63D1">
              <w:t xml:space="preserve"> a few times</w:t>
            </w:r>
            <w:r w:rsidR="00CA6C0D">
              <w:t>,</w:t>
            </w:r>
            <w:r w:rsidRPr="001D63D1">
              <w:t xml:space="preserve"> and</w:t>
            </w:r>
            <w:r>
              <w:t xml:space="preserve"> </w:t>
            </w:r>
            <w:r w:rsidRPr="001D63D1">
              <w:t xml:space="preserve">it was a really quick turnover in getting back with me on the files that were needed. </w:t>
            </w:r>
            <w:r>
              <w:t>I d</w:t>
            </w:r>
            <w:r w:rsidRPr="001D63D1">
              <w:t>idn't have to do any follow up at all. So</w:t>
            </w:r>
            <w:r w:rsidR="00CA6C0D">
              <w:t>,</w:t>
            </w:r>
            <w:r w:rsidRPr="001D63D1">
              <w:t xml:space="preserve"> as far as effectiveness, anytime I ever had to request it, it was in there in no time.</w:t>
            </w:r>
            <w:r>
              <w:t xml:space="preserve"> (OR)</w:t>
            </w:r>
          </w:p>
        </w:tc>
      </w:tr>
      <w:tr w:rsidR="008569C1" w:rsidRPr="00DA7410" w14:paraId="60B0ED50" w14:textId="77777777" w:rsidTr="004669B0">
        <w:tc>
          <w:tcPr>
            <w:cnfStyle w:val="001000000000" w:firstRow="0" w:lastRow="0" w:firstColumn="1" w:lastColumn="0" w:oddVBand="0" w:evenVBand="0" w:oddHBand="0" w:evenHBand="0" w:firstRowFirstColumn="0" w:firstRowLastColumn="0" w:lastRowFirstColumn="0" w:lastRowLastColumn="0"/>
            <w:tcW w:w="2335" w:type="dxa"/>
          </w:tcPr>
          <w:p w14:paraId="54532E74" w14:textId="77777777" w:rsidR="008569C1" w:rsidRPr="00AD67A0" w:rsidRDefault="008569C1" w:rsidP="002F15D2">
            <w:pPr>
              <w:rPr>
                <w:rFonts w:cstheme="minorHAnsi"/>
              </w:rPr>
            </w:pPr>
          </w:p>
        </w:tc>
        <w:tc>
          <w:tcPr>
            <w:tcW w:w="7020" w:type="dxa"/>
          </w:tcPr>
          <w:p w14:paraId="1629E7DE" w14:textId="743452C8" w:rsidR="008569C1" w:rsidRPr="00AD67A0" w:rsidRDefault="001D63D1" w:rsidP="002F15D2">
            <w:pPr>
              <w:cnfStyle w:val="000000000000" w:firstRow="0" w:lastRow="0" w:firstColumn="0" w:lastColumn="0" w:oddVBand="0" w:evenVBand="0" w:oddHBand="0" w:evenHBand="0" w:firstRowFirstColumn="0" w:firstRowLastColumn="0" w:lastRowFirstColumn="0" w:lastRowLastColumn="0"/>
            </w:pPr>
            <w:r w:rsidRPr="001D63D1">
              <w:t xml:space="preserve">I have to say that </w:t>
            </w:r>
            <w:r w:rsidR="00CA6C0D">
              <w:t xml:space="preserve">the </w:t>
            </w:r>
            <w:r>
              <w:t xml:space="preserve">NIMAC is </w:t>
            </w:r>
            <w:r w:rsidRPr="001D63D1">
              <w:t xml:space="preserve">so great with having that </w:t>
            </w:r>
            <w:r>
              <w:t>Watchlist</w:t>
            </w:r>
            <w:r w:rsidRPr="001D63D1">
              <w:t xml:space="preserve"> available</w:t>
            </w:r>
            <w:r w:rsidR="00CA6C0D">
              <w:t>. I</w:t>
            </w:r>
            <w:r w:rsidRPr="001D63D1">
              <w:t xml:space="preserve"> can add </w:t>
            </w:r>
            <w:proofErr w:type="gramStart"/>
            <w:r w:rsidRPr="001D63D1">
              <w:t>the ISBN</w:t>
            </w:r>
            <w:proofErr w:type="gramEnd"/>
            <w:r w:rsidRPr="001D63D1">
              <w:t xml:space="preserve"> and then they go and contact the publishers and usually, within a few days or a week, we can get that</w:t>
            </w:r>
            <w:r>
              <w:t xml:space="preserve"> NIMAS file. (IA)</w:t>
            </w:r>
          </w:p>
        </w:tc>
      </w:tr>
      <w:tr w:rsidR="004408E0" w:rsidRPr="00DA7410" w14:paraId="6D572FF1"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4A83CBED" w14:textId="6F9A8445" w:rsidR="004408E0" w:rsidRPr="00AD67A0" w:rsidRDefault="004408E0" w:rsidP="002F15D2">
            <w:pPr>
              <w:rPr>
                <w:rFonts w:cstheme="minorHAnsi"/>
              </w:rPr>
            </w:pPr>
            <w:r>
              <w:rPr>
                <w:rFonts w:cstheme="minorHAnsi"/>
              </w:rPr>
              <w:t xml:space="preserve">NIMAC staff provide effective and timely </w:t>
            </w:r>
            <w:r w:rsidR="00F9262A">
              <w:rPr>
                <w:rFonts w:cstheme="minorHAnsi"/>
              </w:rPr>
              <w:t>TA</w:t>
            </w:r>
            <w:r>
              <w:rPr>
                <w:rFonts w:cstheme="minorHAnsi"/>
              </w:rPr>
              <w:t xml:space="preserve"> (11)</w:t>
            </w:r>
          </w:p>
        </w:tc>
        <w:tc>
          <w:tcPr>
            <w:tcW w:w="7020" w:type="dxa"/>
            <w:shd w:val="clear" w:color="auto" w:fill="D9E2F3"/>
          </w:tcPr>
          <w:p w14:paraId="3D331FC9" w14:textId="754B9574" w:rsidR="004408E0" w:rsidRPr="001D63D1" w:rsidRDefault="004408E0" w:rsidP="002F15D2">
            <w:pPr>
              <w:cnfStyle w:val="000000100000" w:firstRow="0" w:lastRow="0" w:firstColumn="0" w:lastColumn="0" w:oddVBand="0" w:evenVBand="0" w:oddHBand="1" w:evenHBand="0" w:firstRowFirstColumn="0" w:firstRowLastColumn="0" w:lastRowFirstColumn="0" w:lastRowLastColumn="0"/>
            </w:pPr>
            <w:r w:rsidRPr="00560446">
              <w:t xml:space="preserve">Whenever I </w:t>
            </w:r>
            <w:proofErr w:type="gramStart"/>
            <w:r w:rsidRPr="00560446">
              <w:t>have had</w:t>
            </w:r>
            <w:proofErr w:type="gramEnd"/>
            <w:r w:rsidRPr="00560446">
              <w:t xml:space="preserve"> a question, the folks at NIMAC are quick to respond with helpful information or action.</w:t>
            </w:r>
            <w:r>
              <w:t xml:space="preserve"> (OH)</w:t>
            </w:r>
          </w:p>
        </w:tc>
      </w:tr>
      <w:tr w:rsidR="004408E0" w:rsidRPr="00DA7410" w14:paraId="3E64B1C1" w14:textId="77777777" w:rsidTr="004669B0">
        <w:tc>
          <w:tcPr>
            <w:cnfStyle w:val="001000000000" w:firstRow="0" w:lastRow="0" w:firstColumn="1" w:lastColumn="0" w:oddVBand="0" w:evenVBand="0" w:oddHBand="0" w:evenHBand="0" w:firstRowFirstColumn="0" w:firstRowLastColumn="0" w:lastRowFirstColumn="0" w:lastRowLastColumn="0"/>
            <w:tcW w:w="2335" w:type="dxa"/>
          </w:tcPr>
          <w:p w14:paraId="39965687" w14:textId="77777777" w:rsidR="004408E0" w:rsidRPr="00AD67A0" w:rsidRDefault="004408E0" w:rsidP="002F15D2">
            <w:pPr>
              <w:rPr>
                <w:rFonts w:cstheme="minorHAnsi"/>
              </w:rPr>
            </w:pPr>
          </w:p>
        </w:tc>
        <w:tc>
          <w:tcPr>
            <w:tcW w:w="7020" w:type="dxa"/>
          </w:tcPr>
          <w:p w14:paraId="57825787" w14:textId="0423D891" w:rsidR="004408E0" w:rsidRPr="001D63D1" w:rsidRDefault="004408E0" w:rsidP="002F15D2">
            <w:pPr>
              <w:cnfStyle w:val="000000000000" w:firstRow="0" w:lastRow="0" w:firstColumn="0" w:lastColumn="0" w:oddVBand="0" w:evenVBand="0" w:oddHBand="0" w:evenHBand="0" w:firstRowFirstColumn="0" w:firstRowLastColumn="0" w:lastRowFirstColumn="0" w:lastRowLastColumn="0"/>
            </w:pPr>
            <w:r w:rsidRPr="00560446">
              <w:t xml:space="preserve">I recently downloaded a </w:t>
            </w:r>
            <w:r>
              <w:t>NIMAS</w:t>
            </w:r>
            <w:r w:rsidRPr="00560446">
              <w:t xml:space="preserve"> file, but </w:t>
            </w:r>
            <w:r w:rsidR="002F181E">
              <w:t>it</w:t>
            </w:r>
            <w:r w:rsidRPr="00560446">
              <w:t xml:space="preserve"> was poor file quality in terms of</w:t>
            </w:r>
            <w:r w:rsidR="002F181E">
              <w:t xml:space="preserve"> </w:t>
            </w:r>
            <w:r w:rsidRPr="00560446">
              <w:t>images</w:t>
            </w:r>
            <w:r w:rsidR="002F181E">
              <w:t xml:space="preserve"> that </w:t>
            </w:r>
            <w:r w:rsidRPr="00560446">
              <w:t xml:space="preserve">I'm using for large print production. So, it's important that I have high resolution images. The </w:t>
            </w:r>
            <w:r>
              <w:t>NIMAC</w:t>
            </w:r>
            <w:r w:rsidRPr="00560446">
              <w:t xml:space="preserve"> standard is 300 DPI, but these images were not adherent to that. So, I was in contact with the </w:t>
            </w:r>
            <w:r>
              <w:t>NIMAC</w:t>
            </w:r>
            <w:r w:rsidRPr="00560446">
              <w:t xml:space="preserve"> about the file quality feedback issue, and they were just as responsive as </w:t>
            </w:r>
            <w:r w:rsidR="00E25E72">
              <w:t xml:space="preserve">when I’m </w:t>
            </w:r>
            <w:r w:rsidRPr="00560446">
              <w:t>trying to get a file deposited. They worked with the publisher</w:t>
            </w:r>
            <w:r w:rsidR="002F181E">
              <w:t>,</w:t>
            </w:r>
            <w:r w:rsidRPr="00560446">
              <w:t xml:space="preserve"> and </w:t>
            </w:r>
            <w:r w:rsidRPr="00560446">
              <w:lastRenderedPageBreak/>
              <w:t>it took a couple of tries, but they were persistent. I had a new quality file within a couple of days.</w:t>
            </w:r>
            <w:r>
              <w:t xml:space="preserve"> (OH)</w:t>
            </w:r>
          </w:p>
        </w:tc>
      </w:tr>
      <w:tr w:rsidR="004408E0" w:rsidRPr="00DA7410" w14:paraId="115549E5"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19471016" w14:textId="77777777" w:rsidR="004408E0" w:rsidRPr="00AD67A0" w:rsidRDefault="004408E0" w:rsidP="002F15D2">
            <w:pPr>
              <w:rPr>
                <w:rFonts w:cstheme="minorHAnsi"/>
              </w:rPr>
            </w:pPr>
          </w:p>
        </w:tc>
        <w:tc>
          <w:tcPr>
            <w:tcW w:w="7020" w:type="dxa"/>
            <w:shd w:val="clear" w:color="auto" w:fill="D9E2F3"/>
          </w:tcPr>
          <w:p w14:paraId="5640DC6E" w14:textId="6500ED14" w:rsidR="004408E0" w:rsidRPr="001D63D1" w:rsidRDefault="004408E0" w:rsidP="002F15D2">
            <w:pPr>
              <w:cnfStyle w:val="000000100000" w:firstRow="0" w:lastRow="0" w:firstColumn="0" w:lastColumn="0" w:oddVBand="0" w:evenVBand="0" w:oddHBand="1" w:evenHBand="0" w:firstRowFirstColumn="0" w:firstRowLastColumn="0" w:lastRowFirstColumn="0" w:lastRowLastColumn="0"/>
            </w:pPr>
            <w:r w:rsidRPr="00560446">
              <w:t xml:space="preserve">I know that vendors often come to staff at </w:t>
            </w:r>
            <w:r>
              <w:t>NIMAC</w:t>
            </w:r>
            <w:r w:rsidRPr="00560446">
              <w:t xml:space="preserve"> and </w:t>
            </w:r>
            <w:r w:rsidR="00082F08">
              <w:t xml:space="preserve">say something </w:t>
            </w:r>
            <w:r w:rsidRPr="00560446">
              <w:t xml:space="preserve">like, </w:t>
            </w:r>
            <w:r>
              <w:t>“</w:t>
            </w:r>
            <w:r w:rsidRPr="00560446">
              <w:t>I don't know anything about this</w:t>
            </w:r>
            <w:r w:rsidR="00082F08">
              <w:t>,</w:t>
            </w:r>
            <w:r w:rsidRPr="00560446">
              <w:t xml:space="preserve"> and I have to have these formats ready by February 1</w:t>
            </w:r>
            <w:r w:rsidRPr="00560446">
              <w:rPr>
                <w:vertAlign w:val="superscript"/>
              </w:rPr>
              <w:t>s</w:t>
            </w:r>
            <w:r w:rsidR="00082F08">
              <w:t>.</w:t>
            </w:r>
            <w:r>
              <w:t>”</w:t>
            </w:r>
            <w:r w:rsidRPr="00560446">
              <w:t xml:space="preserve"> I think </w:t>
            </w:r>
            <w:r w:rsidR="00082F08">
              <w:t>it</w:t>
            </w:r>
            <w:r w:rsidRPr="00560446">
              <w:t xml:space="preserve"> takes something off of districts and our agency because it is a huge learning curve. It's very technical on the backend.</w:t>
            </w:r>
            <w:r>
              <w:t xml:space="preserve"> (OR)</w:t>
            </w:r>
          </w:p>
        </w:tc>
      </w:tr>
      <w:tr w:rsidR="004408E0" w:rsidRPr="00DA7410" w14:paraId="5716BCAE" w14:textId="77777777" w:rsidTr="004669B0">
        <w:tc>
          <w:tcPr>
            <w:cnfStyle w:val="001000000000" w:firstRow="0" w:lastRow="0" w:firstColumn="1" w:lastColumn="0" w:oddVBand="0" w:evenVBand="0" w:oddHBand="0" w:evenHBand="0" w:firstRowFirstColumn="0" w:firstRowLastColumn="0" w:lastRowFirstColumn="0" w:lastRowLastColumn="0"/>
            <w:tcW w:w="2335" w:type="dxa"/>
          </w:tcPr>
          <w:p w14:paraId="04688282" w14:textId="77777777" w:rsidR="004408E0" w:rsidRPr="00AD67A0" w:rsidRDefault="004408E0" w:rsidP="002F15D2">
            <w:pPr>
              <w:rPr>
                <w:rFonts w:cstheme="minorHAnsi"/>
              </w:rPr>
            </w:pPr>
          </w:p>
        </w:tc>
        <w:tc>
          <w:tcPr>
            <w:tcW w:w="7020" w:type="dxa"/>
          </w:tcPr>
          <w:p w14:paraId="38635DEA" w14:textId="6668A231" w:rsidR="004408E0" w:rsidRPr="001D63D1" w:rsidRDefault="004408E0" w:rsidP="002F15D2">
            <w:pPr>
              <w:cnfStyle w:val="000000000000" w:firstRow="0" w:lastRow="0" w:firstColumn="0" w:lastColumn="0" w:oddVBand="0" w:evenVBand="0" w:oddHBand="0" w:evenHBand="0" w:firstRowFirstColumn="0" w:firstRowLastColumn="0" w:lastRowFirstColumn="0" w:lastRowLastColumn="0"/>
            </w:pPr>
            <w:r w:rsidRPr="008569C1">
              <w:t xml:space="preserve">Over the past 12 years in my position as </w:t>
            </w:r>
            <w:r>
              <w:t>an</w:t>
            </w:r>
            <w:r w:rsidRPr="008569C1">
              <w:t xml:space="preserve"> </w:t>
            </w:r>
            <w:r>
              <w:t>I</w:t>
            </w:r>
            <w:r w:rsidRPr="008569C1">
              <w:t xml:space="preserve">nstructional Material Coordinator working with primarily braille materials, I've noticed that the NIMAS files themselves are continually improving with each year. I've also noticed that feedback or improvement ideas that have been suggested </w:t>
            </w:r>
            <w:r>
              <w:t xml:space="preserve">to NIMAC staff </w:t>
            </w:r>
            <w:r w:rsidRPr="008569C1">
              <w:t>have been implemented</w:t>
            </w:r>
            <w:r w:rsidR="00D95C6F">
              <w:t>,</w:t>
            </w:r>
            <w:r w:rsidRPr="008569C1">
              <w:t xml:space="preserve"> which in turns motivates me to provide more feedback. My favorite improvement idea that I noticed this year is in the Publisher Notes section where the publisher lists out the ISBN's that are compatible with each other</w:t>
            </w:r>
            <w:r w:rsidR="00D95C6F">
              <w:t>.</w:t>
            </w:r>
            <w:r w:rsidRPr="008569C1">
              <w:t xml:space="preserve"> Wow, what a time saver this is</w:t>
            </w:r>
            <w:r>
              <w:t>,</w:t>
            </w:r>
            <w:r w:rsidRPr="008569C1">
              <w:t xml:space="preserve"> plus it really helps us meet the goal of timely delivery. T</w:t>
            </w:r>
            <w:r w:rsidR="00D95C6F">
              <w:t>hank you!</w:t>
            </w:r>
            <w:r>
              <w:t xml:space="preserve"> (UT)</w:t>
            </w:r>
          </w:p>
        </w:tc>
      </w:tr>
      <w:tr w:rsidR="004408E0" w:rsidRPr="00DA7410" w14:paraId="138B8EBC"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39644D08" w14:textId="77777777" w:rsidR="004408E0" w:rsidRPr="00AD67A0" w:rsidRDefault="004408E0" w:rsidP="002F15D2">
            <w:pPr>
              <w:rPr>
                <w:rFonts w:cstheme="minorHAnsi"/>
              </w:rPr>
            </w:pPr>
          </w:p>
        </w:tc>
        <w:tc>
          <w:tcPr>
            <w:tcW w:w="7020" w:type="dxa"/>
            <w:shd w:val="clear" w:color="auto" w:fill="D9E2F3"/>
          </w:tcPr>
          <w:p w14:paraId="57EBFE67" w14:textId="4DB5FAD2" w:rsidR="004408E0" w:rsidRPr="001D63D1" w:rsidRDefault="004408E0" w:rsidP="002F15D2">
            <w:pPr>
              <w:cnfStyle w:val="000000100000" w:firstRow="0" w:lastRow="0" w:firstColumn="0" w:lastColumn="0" w:oddVBand="0" w:evenVBand="0" w:oddHBand="1" w:evenHBand="0" w:firstRowFirstColumn="0" w:firstRowLastColumn="0" w:lastRowFirstColumn="0" w:lastRowLastColumn="0"/>
            </w:pPr>
            <w:r w:rsidRPr="008569C1">
              <w:t xml:space="preserve">Sometimes </w:t>
            </w:r>
            <w:r>
              <w:t>NIMAC staff</w:t>
            </w:r>
            <w:r w:rsidRPr="008569C1">
              <w:t xml:space="preserve"> take the initiative and reach out to the publisher and things happen. So, there was a situation a few years ago with a small publisher. </w:t>
            </w:r>
            <w:r>
              <w:t>NIMAC staff</w:t>
            </w:r>
            <w:r w:rsidRPr="008569C1">
              <w:t xml:space="preserve"> jumped in and helped facilitate.</w:t>
            </w:r>
            <w:r>
              <w:t xml:space="preserve"> (MA)</w:t>
            </w:r>
          </w:p>
        </w:tc>
      </w:tr>
      <w:bookmarkEnd w:id="59"/>
    </w:tbl>
    <w:p w14:paraId="64C13888" w14:textId="77777777" w:rsidR="00140ED5" w:rsidRPr="005919AC" w:rsidRDefault="00140ED5" w:rsidP="00F95B49">
      <w:pPr>
        <w:spacing w:after="0" w:line="276" w:lineRule="auto"/>
        <w:rPr>
          <w:rFonts w:ascii="Calibri" w:hAnsi="Calibri" w:cs="Calibri"/>
          <w:bCs/>
          <w:sz w:val="24"/>
          <w:szCs w:val="24"/>
        </w:rPr>
      </w:pPr>
    </w:p>
    <w:p w14:paraId="052D25F9" w14:textId="42CCF65B" w:rsidR="00703B63" w:rsidRPr="005919AC" w:rsidRDefault="00F745AF" w:rsidP="00B4146C">
      <w:pPr>
        <w:pStyle w:val="Heading3"/>
      </w:pPr>
      <w:bookmarkStart w:id="60" w:name="_Toc222904018"/>
      <w:r>
        <w:t>Practices that Hinder Timely Delivery</w:t>
      </w:r>
      <w:bookmarkEnd w:id="60"/>
    </w:p>
    <w:p w14:paraId="686D7EE6" w14:textId="77777777" w:rsidR="00703B63" w:rsidRPr="005919AC" w:rsidRDefault="00703B63" w:rsidP="00F95B49">
      <w:pPr>
        <w:spacing w:after="0" w:line="276" w:lineRule="auto"/>
        <w:rPr>
          <w:rFonts w:ascii="Calibri" w:hAnsi="Calibri" w:cs="Calibri"/>
          <w:bCs/>
          <w:sz w:val="24"/>
          <w:szCs w:val="24"/>
        </w:rPr>
      </w:pPr>
    </w:p>
    <w:p w14:paraId="12E1C8D1" w14:textId="0F0AD789" w:rsidR="00AF7B63" w:rsidRPr="00AF7B63" w:rsidRDefault="00B55C67" w:rsidP="00AF7B63">
      <w:pPr>
        <w:spacing w:after="0" w:line="276" w:lineRule="auto"/>
        <w:rPr>
          <w:rFonts w:ascii="Calibri" w:hAnsi="Calibri" w:cs="Calibri"/>
          <w:bCs/>
          <w:sz w:val="24"/>
          <w:szCs w:val="24"/>
        </w:rPr>
      </w:pPr>
      <w:r>
        <w:rPr>
          <w:rFonts w:ascii="ZWAdobeF" w:hAnsi="ZWAdobeF" w:cs="ZWAdobeF"/>
          <w:bCs/>
          <w:sz w:val="2"/>
          <w:szCs w:val="2"/>
        </w:rPr>
        <w:t>176B</w:t>
      </w:r>
      <w:r w:rsidR="00AF7B63" w:rsidRPr="00AF7B63">
        <w:rPr>
          <w:rFonts w:ascii="Calibri" w:hAnsi="Calibri" w:cs="Calibri"/>
          <w:bCs/>
          <w:sz w:val="24"/>
          <w:szCs w:val="24"/>
        </w:rPr>
        <w:t xml:space="preserve">We asked survey respondents about </w:t>
      </w:r>
      <w:r w:rsidR="00AF7B63">
        <w:rPr>
          <w:rFonts w:ascii="Calibri" w:hAnsi="Calibri" w:cs="Calibri"/>
          <w:bCs/>
          <w:sz w:val="24"/>
          <w:szCs w:val="24"/>
        </w:rPr>
        <w:t xml:space="preserve">factors that hinder timely delivery of accessible formats within five separate domains: 1) factors related to procurement of educational materials, 2) factors related to the NIMAC, 3) factors related to production of accessible formats, 4) state, regional, district, or school-level practices, and 5) factors related to charter schools. </w:t>
      </w:r>
    </w:p>
    <w:p w14:paraId="40C00354" w14:textId="77777777" w:rsidR="00AF7B63" w:rsidRPr="00AF7B63" w:rsidRDefault="00AF7B63" w:rsidP="00AF7B63">
      <w:pPr>
        <w:spacing w:after="0" w:line="276" w:lineRule="auto"/>
        <w:rPr>
          <w:rFonts w:ascii="Calibri" w:hAnsi="Calibri" w:cs="Calibri"/>
          <w:bCs/>
          <w:sz w:val="24"/>
          <w:szCs w:val="24"/>
        </w:rPr>
      </w:pPr>
    </w:p>
    <w:p w14:paraId="44FB85E8" w14:textId="2C01E902" w:rsidR="00AF7B63" w:rsidRPr="00AF7B63" w:rsidRDefault="00B55C67" w:rsidP="006D01C7">
      <w:pPr>
        <w:spacing w:after="0" w:line="276" w:lineRule="auto"/>
        <w:rPr>
          <w:rFonts w:ascii="Calibri" w:hAnsi="Calibri" w:cs="Calibri"/>
          <w:bCs/>
          <w:sz w:val="24"/>
          <w:szCs w:val="24"/>
        </w:rPr>
      </w:pPr>
      <w:bookmarkStart w:id="61" w:name="_Hlk216339248"/>
      <w:r>
        <w:rPr>
          <w:rFonts w:ascii="ZWAdobeF" w:hAnsi="ZWAdobeF" w:cs="ZWAdobeF"/>
          <w:bCs/>
          <w:sz w:val="2"/>
          <w:szCs w:val="2"/>
        </w:rPr>
        <w:t>177B</w:t>
      </w:r>
      <w:r w:rsidR="00AF7B63" w:rsidRPr="00AF7B63">
        <w:rPr>
          <w:rFonts w:ascii="Calibri" w:hAnsi="Calibri" w:cs="Calibri"/>
          <w:bCs/>
          <w:sz w:val="24"/>
          <w:szCs w:val="24"/>
        </w:rPr>
        <w:t xml:space="preserve">For the first domain, survey respondents were able to select multiple </w:t>
      </w:r>
      <w:r w:rsidR="00AF7B63">
        <w:rPr>
          <w:rFonts w:ascii="Calibri" w:hAnsi="Calibri" w:cs="Calibri"/>
          <w:bCs/>
          <w:sz w:val="24"/>
          <w:szCs w:val="24"/>
        </w:rPr>
        <w:t>factors</w:t>
      </w:r>
      <w:r w:rsidR="00AF7B63" w:rsidRPr="00AF7B63">
        <w:rPr>
          <w:rFonts w:ascii="Calibri" w:hAnsi="Calibri" w:cs="Calibri"/>
          <w:bCs/>
          <w:sz w:val="24"/>
          <w:szCs w:val="24"/>
        </w:rPr>
        <w:t xml:space="preserve"> related to the </w:t>
      </w:r>
      <w:r w:rsidR="00AF7B63">
        <w:rPr>
          <w:rFonts w:ascii="Calibri" w:hAnsi="Calibri" w:cs="Calibri"/>
          <w:bCs/>
          <w:sz w:val="24"/>
          <w:szCs w:val="24"/>
        </w:rPr>
        <w:t>procurement of educational materials</w:t>
      </w:r>
      <w:r w:rsidR="00AF7B63" w:rsidRPr="00AF7B63">
        <w:rPr>
          <w:rFonts w:ascii="Calibri" w:hAnsi="Calibri" w:cs="Calibri"/>
          <w:bCs/>
          <w:sz w:val="24"/>
          <w:szCs w:val="24"/>
        </w:rPr>
        <w:t xml:space="preserve"> </w:t>
      </w:r>
      <w:r w:rsidR="00F42C05">
        <w:rPr>
          <w:rFonts w:ascii="Calibri" w:hAnsi="Calibri" w:cs="Calibri"/>
          <w:bCs/>
          <w:sz w:val="24"/>
          <w:szCs w:val="24"/>
        </w:rPr>
        <w:t xml:space="preserve">that hinder timely delivery </w:t>
      </w:r>
      <w:r w:rsidR="00AF7B63" w:rsidRPr="00AF7B63">
        <w:rPr>
          <w:rFonts w:ascii="Calibri" w:hAnsi="Calibri" w:cs="Calibri"/>
          <w:bCs/>
          <w:sz w:val="24"/>
          <w:szCs w:val="24"/>
        </w:rPr>
        <w:t xml:space="preserve">(all of which are presented in Figure </w:t>
      </w:r>
      <w:r w:rsidR="00F42C05">
        <w:rPr>
          <w:rFonts w:ascii="Calibri" w:hAnsi="Calibri" w:cs="Calibri"/>
          <w:bCs/>
          <w:sz w:val="24"/>
          <w:szCs w:val="24"/>
        </w:rPr>
        <w:t>2</w:t>
      </w:r>
      <w:r w:rsidR="00EE4A78">
        <w:rPr>
          <w:rFonts w:ascii="Calibri" w:hAnsi="Calibri" w:cs="Calibri"/>
          <w:bCs/>
          <w:sz w:val="24"/>
          <w:szCs w:val="24"/>
        </w:rPr>
        <w:t>3</w:t>
      </w:r>
      <w:r w:rsidR="00AF7B63" w:rsidRPr="00AF7B63">
        <w:rPr>
          <w:rFonts w:ascii="Calibri" w:hAnsi="Calibri" w:cs="Calibri"/>
          <w:bCs/>
          <w:sz w:val="24"/>
          <w:szCs w:val="24"/>
        </w:rPr>
        <w:t>)</w:t>
      </w:r>
      <w:bookmarkEnd w:id="61"/>
      <w:r w:rsidR="00AF7B63" w:rsidRPr="00AF7B63">
        <w:rPr>
          <w:rFonts w:ascii="Calibri" w:hAnsi="Calibri" w:cs="Calibri"/>
          <w:bCs/>
          <w:sz w:val="24"/>
          <w:szCs w:val="24"/>
        </w:rPr>
        <w:t>.</w:t>
      </w:r>
      <w:r>
        <w:rPr>
          <w:rFonts w:ascii="ZWAdobeF" w:hAnsi="ZWAdobeF" w:cs="ZWAdobeF"/>
          <w:bCs/>
          <w:sz w:val="2"/>
          <w:szCs w:val="2"/>
        </w:rPr>
        <w:t>50F</w:t>
      </w:r>
      <w:r w:rsidR="00BB4D0B">
        <w:rPr>
          <w:rStyle w:val="FootnoteReference"/>
          <w:rFonts w:ascii="Calibri" w:hAnsi="Calibri" w:cs="Calibri"/>
          <w:bCs/>
          <w:sz w:val="24"/>
          <w:szCs w:val="24"/>
        </w:rPr>
        <w:footnoteReference w:id="52"/>
      </w:r>
      <w:r w:rsidR="00AF7B63" w:rsidRPr="00AF7B63">
        <w:rPr>
          <w:rFonts w:ascii="Calibri" w:hAnsi="Calibri" w:cs="Calibri"/>
          <w:bCs/>
          <w:sz w:val="24"/>
          <w:szCs w:val="24"/>
        </w:rPr>
        <w:t xml:space="preserve"> </w:t>
      </w:r>
      <w:r w:rsidR="001377F5">
        <w:rPr>
          <w:rFonts w:ascii="Calibri" w:hAnsi="Calibri" w:cs="Calibri"/>
          <w:bCs/>
          <w:sz w:val="24"/>
          <w:szCs w:val="24"/>
        </w:rPr>
        <w:t>Three-quarters</w:t>
      </w:r>
      <w:r w:rsidR="006D01C7">
        <w:rPr>
          <w:rFonts w:ascii="Calibri" w:hAnsi="Calibri" w:cs="Calibri"/>
          <w:bCs/>
          <w:sz w:val="24"/>
          <w:szCs w:val="24"/>
        </w:rPr>
        <w:t xml:space="preserve"> </w:t>
      </w:r>
      <w:r w:rsidR="001377F5">
        <w:rPr>
          <w:rFonts w:ascii="Calibri" w:hAnsi="Calibri" w:cs="Calibri"/>
          <w:bCs/>
          <w:sz w:val="24"/>
          <w:szCs w:val="24"/>
        </w:rPr>
        <w:t>(</w:t>
      </w:r>
      <w:r w:rsidR="006D01C7">
        <w:rPr>
          <w:rFonts w:ascii="Calibri" w:hAnsi="Calibri" w:cs="Calibri"/>
          <w:bCs/>
          <w:sz w:val="24"/>
          <w:szCs w:val="24"/>
        </w:rPr>
        <w:t>75%</w:t>
      </w:r>
      <w:r w:rsidR="001377F5">
        <w:rPr>
          <w:rFonts w:ascii="Calibri" w:hAnsi="Calibri" w:cs="Calibri"/>
          <w:bCs/>
          <w:sz w:val="24"/>
          <w:szCs w:val="24"/>
        </w:rPr>
        <w:t>)</w:t>
      </w:r>
      <w:r w:rsidR="006D01C7">
        <w:rPr>
          <w:rFonts w:ascii="Calibri" w:hAnsi="Calibri" w:cs="Calibri"/>
          <w:bCs/>
          <w:sz w:val="24"/>
          <w:szCs w:val="24"/>
        </w:rPr>
        <w:t xml:space="preserve"> of </w:t>
      </w:r>
      <w:r w:rsidR="001377F5">
        <w:rPr>
          <w:rFonts w:ascii="Calibri" w:hAnsi="Calibri" w:cs="Calibri"/>
          <w:bCs/>
          <w:sz w:val="24"/>
          <w:szCs w:val="24"/>
        </w:rPr>
        <w:t xml:space="preserve">survey </w:t>
      </w:r>
      <w:r w:rsidR="006D01C7">
        <w:rPr>
          <w:rFonts w:ascii="Calibri" w:hAnsi="Calibri" w:cs="Calibri"/>
          <w:bCs/>
          <w:sz w:val="24"/>
          <w:szCs w:val="24"/>
        </w:rPr>
        <w:t>respondents</w:t>
      </w:r>
      <w:r w:rsidR="001377F5">
        <w:rPr>
          <w:rFonts w:ascii="Calibri" w:hAnsi="Calibri" w:cs="Calibri"/>
          <w:bCs/>
          <w:sz w:val="24"/>
          <w:szCs w:val="24"/>
        </w:rPr>
        <w:t xml:space="preserve"> indicated that timely delivery is hindered when</w:t>
      </w:r>
      <w:r w:rsidR="006D01C7">
        <w:rPr>
          <w:rFonts w:ascii="Calibri" w:hAnsi="Calibri" w:cs="Calibri"/>
          <w:bCs/>
          <w:sz w:val="24"/>
          <w:szCs w:val="24"/>
        </w:rPr>
        <w:t xml:space="preserve"> “</w:t>
      </w:r>
      <w:r w:rsidR="006D01C7" w:rsidRPr="006D01C7">
        <w:rPr>
          <w:rFonts w:ascii="Calibri" w:hAnsi="Calibri" w:cs="Calibri"/>
          <w:bCs/>
          <w:sz w:val="24"/>
          <w:szCs w:val="24"/>
        </w:rPr>
        <w:t>Materials are purchased at the school level and do not include the NIMAS requirement in procurement contracts</w:t>
      </w:r>
      <w:r w:rsidR="006D01C7">
        <w:rPr>
          <w:rFonts w:ascii="Calibri" w:hAnsi="Calibri" w:cs="Calibri"/>
          <w:bCs/>
          <w:sz w:val="24"/>
          <w:szCs w:val="24"/>
        </w:rPr>
        <w:t xml:space="preserve">.” </w:t>
      </w:r>
      <w:r w:rsidR="00EB2CB2">
        <w:rPr>
          <w:rFonts w:ascii="Calibri" w:hAnsi="Calibri" w:cs="Calibri"/>
          <w:bCs/>
          <w:sz w:val="24"/>
          <w:szCs w:val="24"/>
        </w:rPr>
        <w:t xml:space="preserve">Four </w:t>
      </w:r>
      <w:r w:rsidR="006D01C7">
        <w:rPr>
          <w:rFonts w:ascii="Calibri" w:hAnsi="Calibri" w:cs="Calibri"/>
          <w:bCs/>
          <w:sz w:val="24"/>
          <w:szCs w:val="24"/>
        </w:rPr>
        <w:t xml:space="preserve">factors were endorsed by </w:t>
      </w:r>
      <w:r w:rsidR="00EB2CB2">
        <w:rPr>
          <w:rFonts w:ascii="Calibri" w:hAnsi="Calibri" w:cs="Calibri"/>
          <w:bCs/>
          <w:sz w:val="24"/>
          <w:szCs w:val="24"/>
        </w:rPr>
        <w:t xml:space="preserve">over </w:t>
      </w:r>
      <w:r w:rsidR="006D01C7">
        <w:rPr>
          <w:rFonts w:ascii="Calibri" w:hAnsi="Calibri" w:cs="Calibri"/>
          <w:bCs/>
          <w:sz w:val="24"/>
          <w:szCs w:val="24"/>
        </w:rPr>
        <w:t>5</w:t>
      </w:r>
      <w:r w:rsidR="00EB2CB2">
        <w:rPr>
          <w:rFonts w:ascii="Calibri" w:hAnsi="Calibri" w:cs="Calibri"/>
          <w:bCs/>
          <w:sz w:val="24"/>
          <w:szCs w:val="24"/>
        </w:rPr>
        <w:t>0</w:t>
      </w:r>
      <w:r w:rsidR="006D01C7">
        <w:rPr>
          <w:rFonts w:ascii="Calibri" w:hAnsi="Calibri" w:cs="Calibri"/>
          <w:bCs/>
          <w:sz w:val="24"/>
          <w:szCs w:val="24"/>
        </w:rPr>
        <w:t>% of respondents</w:t>
      </w:r>
      <w:r w:rsidR="00EB2CB2">
        <w:rPr>
          <w:rFonts w:ascii="Calibri" w:hAnsi="Calibri" w:cs="Calibri"/>
          <w:bCs/>
          <w:sz w:val="24"/>
          <w:szCs w:val="24"/>
        </w:rPr>
        <w:t>:</w:t>
      </w:r>
      <w:r w:rsidR="006D01C7">
        <w:rPr>
          <w:rFonts w:ascii="Calibri" w:hAnsi="Calibri" w:cs="Calibri"/>
          <w:bCs/>
          <w:sz w:val="24"/>
          <w:szCs w:val="24"/>
        </w:rPr>
        <w:t xml:space="preserve"> </w:t>
      </w:r>
      <w:r w:rsidR="00F42C05">
        <w:rPr>
          <w:rFonts w:ascii="Calibri" w:hAnsi="Calibri" w:cs="Calibri"/>
          <w:bCs/>
          <w:sz w:val="24"/>
          <w:szCs w:val="24"/>
        </w:rPr>
        <w:t>“</w:t>
      </w:r>
      <w:r w:rsidR="00F42C05" w:rsidRPr="006D01C7">
        <w:rPr>
          <w:rFonts w:ascii="Calibri" w:hAnsi="Calibri" w:cs="Calibri"/>
          <w:bCs/>
          <w:sz w:val="24"/>
          <w:szCs w:val="24"/>
        </w:rPr>
        <w:t>Turnover of SEA</w:t>
      </w:r>
      <w:r w:rsidR="00F42C05">
        <w:rPr>
          <w:rFonts w:ascii="Calibri" w:hAnsi="Calibri" w:cs="Calibri"/>
          <w:bCs/>
          <w:sz w:val="24"/>
          <w:szCs w:val="24"/>
        </w:rPr>
        <w:t>/</w:t>
      </w:r>
      <w:r w:rsidR="00F42C05" w:rsidRPr="006D01C7">
        <w:rPr>
          <w:rFonts w:ascii="Calibri" w:hAnsi="Calibri" w:cs="Calibri"/>
          <w:bCs/>
          <w:sz w:val="24"/>
          <w:szCs w:val="24"/>
        </w:rPr>
        <w:t>LEA staff who are responsible for procurement contracts for educational materials (without knowledge transfer to new staff</w:t>
      </w:r>
      <w:r w:rsidR="00F42C05">
        <w:rPr>
          <w:rFonts w:ascii="Calibri" w:hAnsi="Calibri" w:cs="Calibri"/>
          <w:bCs/>
          <w:sz w:val="24"/>
          <w:szCs w:val="24"/>
        </w:rPr>
        <w:t xml:space="preserve">,” </w:t>
      </w:r>
      <w:r w:rsidR="006D01C7">
        <w:rPr>
          <w:rFonts w:ascii="Calibri" w:hAnsi="Calibri" w:cs="Calibri"/>
          <w:bCs/>
          <w:sz w:val="24"/>
          <w:szCs w:val="24"/>
        </w:rPr>
        <w:t>“</w:t>
      </w:r>
      <w:r w:rsidR="006D01C7" w:rsidRPr="006D01C7">
        <w:rPr>
          <w:rFonts w:ascii="Calibri" w:hAnsi="Calibri" w:cs="Calibri"/>
          <w:bCs/>
          <w:sz w:val="24"/>
          <w:szCs w:val="24"/>
        </w:rPr>
        <w:t>The SEA</w:t>
      </w:r>
      <w:r w:rsidR="00F42C05">
        <w:rPr>
          <w:rFonts w:ascii="Calibri" w:hAnsi="Calibri" w:cs="Calibri"/>
          <w:bCs/>
          <w:sz w:val="24"/>
          <w:szCs w:val="24"/>
        </w:rPr>
        <w:t>/</w:t>
      </w:r>
      <w:r w:rsidR="006D01C7" w:rsidRPr="006D01C7">
        <w:rPr>
          <w:rFonts w:ascii="Calibri" w:hAnsi="Calibri" w:cs="Calibri"/>
          <w:bCs/>
          <w:sz w:val="24"/>
          <w:szCs w:val="24"/>
        </w:rPr>
        <w:t>LEA staff who coordinate procurement contracts for educational materials are not aware that the NIMAS language should be included in procurement contracts</w:t>
      </w:r>
      <w:r w:rsidR="006D01C7">
        <w:rPr>
          <w:rFonts w:ascii="Calibri" w:hAnsi="Calibri" w:cs="Calibri"/>
          <w:bCs/>
          <w:sz w:val="24"/>
          <w:szCs w:val="24"/>
        </w:rPr>
        <w:t xml:space="preserve">,” </w:t>
      </w:r>
      <w:r w:rsidR="00F42C05">
        <w:rPr>
          <w:rFonts w:ascii="Calibri" w:hAnsi="Calibri" w:cs="Calibri"/>
          <w:bCs/>
          <w:sz w:val="24"/>
          <w:szCs w:val="24"/>
        </w:rPr>
        <w:t>“</w:t>
      </w:r>
      <w:r w:rsidR="00F42C05" w:rsidRPr="006D01C7">
        <w:rPr>
          <w:rFonts w:ascii="Calibri" w:hAnsi="Calibri" w:cs="Calibri"/>
          <w:bCs/>
          <w:sz w:val="24"/>
          <w:szCs w:val="24"/>
        </w:rPr>
        <w:t>NIMAS requirement is not consistently included in procurement contracts for educational materials</w:t>
      </w:r>
      <w:r w:rsidR="00EB2CB2">
        <w:rPr>
          <w:rFonts w:ascii="Calibri" w:hAnsi="Calibri" w:cs="Calibri"/>
          <w:bCs/>
          <w:sz w:val="24"/>
          <w:szCs w:val="24"/>
        </w:rPr>
        <w:t>,</w:t>
      </w:r>
      <w:r w:rsidR="00F42C05">
        <w:rPr>
          <w:rFonts w:ascii="Calibri" w:hAnsi="Calibri" w:cs="Calibri"/>
          <w:bCs/>
          <w:sz w:val="24"/>
          <w:szCs w:val="24"/>
        </w:rPr>
        <w:t>”</w:t>
      </w:r>
      <w:r w:rsidR="00EB2CB2">
        <w:rPr>
          <w:rFonts w:ascii="Calibri" w:hAnsi="Calibri" w:cs="Calibri"/>
          <w:bCs/>
          <w:sz w:val="24"/>
          <w:szCs w:val="24"/>
        </w:rPr>
        <w:t xml:space="preserve"> and</w:t>
      </w:r>
      <w:r w:rsidR="006D01C7">
        <w:rPr>
          <w:rFonts w:ascii="Calibri" w:hAnsi="Calibri" w:cs="Calibri"/>
          <w:bCs/>
          <w:sz w:val="24"/>
          <w:szCs w:val="24"/>
        </w:rPr>
        <w:t xml:space="preserve"> “</w:t>
      </w:r>
      <w:r w:rsidR="006D01C7" w:rsidRPr="006D01C7">
        <w:rPr>
          <w:rFonts w:ascii="Calibri" w:hAnsi="Calibri" w:cs="Calibri"/>
          <w:bCs/>
          <w:sz w:val="24"/>
          <w:szCs w:val="24"/>
        </w:rPr>
        <w:t>Deadlines for NIMAS file production are not included in procurement contracts</w:t>
      </w:r>
      <w:r w:rsidR="006D01C7">
        <w:rPr>
          <w:rFonts w:ascii="Calibri" w:hAnsi="Calibri" w:cs="Calibri"/>
          <w:bCs/>
          <w:sz w:val="24"/>
          <w:szCs w:val="24"/>
        </w:rPr>
        <w:t xml:space="preserve">.” </w:t>
      </w:r>
    </w:p>
    <w:p w14:paraId="058475BA" w14:textId="6054A979" w:rsidR="00AF7B63" w:rsidRPr="003D1AFA" w:rsidRDefault="00AF7B63" w:rsidP="004946C3">
      <w:pPr>
        <w:pStyle w:val="Heading4"/>
      </w:pPr>
      <w:bookmarkStart w:id="62" w:name="_Toc222904019"/>
      <w:r w:rsidRPr="00AF7B63">
        <w:lastRenderedPageBreak/>
        <w:t xml:space="preserve">Figure </w:t>
      </w:r>
      <w:r w:rsidR="00F42C05">
        <w:t>2</w:t>
      </w:r>
      <w:r w:rsidR="00EE4A78">
        <w:t>3</w:t>
      </w:r>
      <w:r w:rsidRPr="00AF7B63">
        <w:t>. Procurement-</w:t>
      </w:r>
      <w:r w:rsidRPr="003D1AFA">
        <w:t>Related Factors that Hinder Timely Delivery of Accessible Formats</w:t>
      </w:r>
      <w:r w:rsidR="00B55C67">
        <w:rPr>
          <w:rFonts w:ascii="ZWAdobeF" w:hAnsi="ZWAdobeF" w:cs="ZWAdobeF"/>
          <w:i w:val="0"/>
          <w:color w:val="auto"/>
          <w:sz w:val="2"/>
          <w:szCs w:val="2"/>
        </w:rPr>
        <w:t>51F</w:t>
      </w:r>
      <w:r w:rsidRPr="003D1AFA">
        <w:rPr>
          <w:rStyle w:val="FootnoteReference"/>
          <w:rFonts w:cs="Calibri"/>
          <w:smallCaps/>
          <w:color w:val="44546A" w:themeColor="text2"/>
        </w:rPr>
        <w:footnoteReference w:id="53"/>
      </w:r>
      <w:bookmarkEnd w:id="62"/>
      <w:r w:rsidRPr="003D1AFA">
        <w:t xml:space="preserve"> </w:t>
      </w:r>
    </w:p>
    <w:p w14:paraId="0BFF43B4" w14:textId="6AE0D5F0" w:rsidR="00E32192" w:rsidRPr="00EE4A78" w:rsidRDefault="00B905CD" w:rsidP="00EE4A78">
      <w:pPr>
        <w:spacing w:line="240" w:lineRule="auto"/>
        <w:jc w:val="center"/>
        <w:rPr>
          <w:color w:val="000000" w:themeColor="text1"/>
        </w:rPr>
      </w:pPr>
      <w:r w:rsidRPr="00AF7B63">
        <w:rPr>
          <w:rFonts w:ascii="Times New Roman" w:hAnsi="Times New Roman" w:cs="Times New Roman"/>
          <w:noProof/>
          <w:sz w:val="24"/>
          <w:szCs w:val="24"/>
          <w:highlight w:val="cyan"/>
        </w:rPr>
        <w:drawing>
          <wp:anchor distT="0" distB="0" distL="114300" distR="114300" simplePos="0" relativeHeight="251693056" behindDoc="0" locked="0" layoutInCell="1" allowOverlap="1" wp14:anchorId="6179D8FD" wp14:editId="18B840C9">
            <wp:simplePos x="0" y="0"/>
            <wp:positionH relativeFrom="column">
              <wp:posOffset>0</wp:posOffset>
            </wp:positionH>
            <wp:positionV relativeFrom="paragraph">
              <wp:posOffset>273050</wp:posOffset>
            </wp:positionV>
            <wp:extent cx="5916295" cy="4102100"/>
            <wp:effectExtent l="0" t="0" r="8255" b="0"/>
            <wp:wrapTopAndBottom/>
            <wp:docPr id="2023988716" name="Chart 2023988716" descr="Figure 23 is a horizontal bar chart showing procurement-related factors that hinder timely delivery of accessible formats (n = 105). Respondents reported that materials being purchased at the school level without inclusion of the NIMAS requirement in procurement contracts hinders timely delivery (75%). Turnover of SEA or LEA staff responsible for procurement contracts without knowledge transfer was reported by 58%. Lack of awareness among SEA or LEA procurement staff that NIMAS language should be included in contracts was also reported by 58%. Inconsistent inclusion of the NIMAS requirement in procurement contracts was reported by 57%. Deadlines for NIMAS file production not being included in procurement contracts were reported by 50%. Other factors were reported by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14:sizeRelH relativeFrom="margin">
              <wp14:pctWidth>0</wp14:pctWidth>
            </wp14:sizeRelH>
            <wp14:sizeRelV relativeFrom="margin">
              <wp14:pctHeight>0</wp14:pctHeight>
            </wp14:sizeRelV>
          </wp:anchor>
        </w:drawing>
      </w:r>
      <w:r w:rsidR="00B55C67">
        <w:rPr>
          <w:rFonts w:ascii="ZWAdobeF" w:hAnsi="ZWAdobeF" w:cs="ZWAdobeF"/>
          <w:sz w:val="2"/>
          <w:szCs w:val="2"/>
        </w:rPr>
        <w:t>178</w:t>
      </w:r>
      <w:proofErr w:type="gramStart"/>
      <w:r w:rsidR="00B55C67">
        <w:rPr>
          <w:rFonts w:ascii="ZWAdobeF" w:hAnsi="ZWAdobeF" w:cs="ZWAdobeF"/>
          <w:sz w:val="2"/>
          <w:szCs w:val="2"/>
        </w:rPr>
        <w:t>B</w:t>
      </w:r>
      <w:r w:rsidR="00AF7B63" w:rsidRPr="003D1AFA">
        <w:rPr>
          <w:color w:val="000000" w:themeColor="text1"/>
        </w:rPr>
        <w:t>(</w:t>
      </w:r>
      <w:proofErr w:type="gramEnd"/>
      <w:r w:rsidR="00AF7B63" w:rsidRPr="003D1AFA">
        <w:rPr>
          <w:i/>
          <w:iCs/>
          <w:color w:val="000000" w:themeColor="text1"/>
        </w:rPr>
        <w:t>n</w:t>
      </w:r>
      <w:r w:rsidR="00AF7B63" w:rsidRPr="003D1AFA">
        <w:rPr>
          <w:color w:val="000000" w:themeColor="text1"/>
        </w:rPr>
        <w:t xml:space="preserve"> = 1</w:t>
      </w:r>
      <w:r w:rsidR="003D1AFA" w:rsidRPr="003D1AFA">
        <w:rPr>
          <w:color w:val="000000" w:themeColor="text1"/>
        </w:rPr>
        <w:t>05</w:t>
      </w:r>
      <w:r w:rsidR="00993194">
        <w:rPr>
          <w:color w:val="000000" w:themeColor="text1"/>
        </w:rPr>
        <w:t>)</w:t>
      </w:r>
    </w:p>
    <w:p w14:paraId="2FA2EAB5" w14:textId="77777777" w:rsidR="00427F74" w:rsidRDefault="00427F74" w:rsidP="00EE4A78">
      <w:pPr>
        <w:spacing w:after="0" w:line="276" w:lineRule="auto"/>
        <w:rPr>
          <w:rFonts w:cstheme="minorHAnsi"/>
          <w:sz w:val="24"/>
          <w:szCs w:val="24"/>
        </w:rPr>
      </w:pPr>
    </w:p>
    <w:p w14:paraId="7F0C109F" w14:textId="4478D71A" w:rsidR="008C7B3D" w:rsidRPr="009D61CE" w:rsidRDefault="00B55C67" w:rsidP="00EE4A78">
      <w:pPr>
        <w:spacing w:after="0" w:line="276" w:lineRule="auto"/>
        <w:rPr>
          <w:rFonts w:cstheme="minorHAnsi"/>
        </w:rPr>
      </w:pPr>
      <w:r>
        <w:rPr>
          <w:rFonts w:ascii="ZWAdobeF" w:hAnsi="ZWAdobeF" w:cs="ZWAdobeF"/>
          <w:sz w:val="2"/>
          <w:szCs w:val="2"/>
        </w:rPr>
        <w:t>179B</w:t>
      </w:r>
      <w:r w:rsidR="00AF7B63" w:rsidRPr="00F0296E">
        <w:rPr>
          <w:rFonts w:cstheme="minorHAnsi"/>
          <w:sz w:val="24"/>
          <w:szCs w:val="24"/>
        </w:rPr>
        <w:t xml:space="preserve">When comparing the pattern of responses displayed in Figure </w:t>
      </w:r>
      <w:r w:rsidR="00F42C05">
        <w:rPr>
          <w:rFonts w:cstheme="minorHAnsi"/>
          <w:sz w:val="24"/>
          <w:szCs w:val="24"/>
        </w:rPr>
        <w:t>2</w:t>
      </w:r>
      <w:r w:rsidR="00EE4A78">
        <w:rPr>
          <w:rFonts w:cstheme="minorHAnsi"/>
          <w:sz w:val="24"/>
          <w:szCs w:val="24"/>
        </w:rPr>
        <w:t>3</w:t>
      </w:r>
      <w:r w:rsidR="00AF7B63" w:rsidRPr="00F0296E">
        <w:rPr>
          <w:rFonts w:cstheme="minorHAnsi"/>
          <w:sz w:val="24"/>
          <w:szCs w:val="24"/>
        </w:rPr>
        <w:t xml:space="preserve"> across the three case study states as well as the national survey, there were </w:t>
      </w:r>
      <w:r w:rsidR="00F0296E" w:rsidRPr="00F0296E">
        <w:rPr>
          <w:rFonts w:cstheme="minorHAnsi"/>
          <w:sz w:val="24"/>
          <w:szCs w:val="24"/>
        </w:rPr>
        <w:t>no</w:t>
      </w:r>
      <w:r w:rsidR="00AF7B63" w:rsidRPr="00F0296E">
        <w:rPr>
          <w:rFonts w:cstheme="minorHAnsi"/>
          <w:sz w:val="24"/>
          <w:szCs w:val="24"/>
        </w:rPr>
        <w:t xml:space="preserve"> statistically significant findings</w:t>
      </w:r>
      <w:r w:rsidR="00F0296E">
        <w:rPr>
          <w:rFonts w:cstheme="minorHAnsi"/>
          <w:sz w:val="24"/>
          <w:szCs w:val="24"/>
        </w:rPr>
        <w:t>.</w:t>
      </w:r>
      <w:r w:rsidR="00AF7B63" w:rsidRPr="00F0296E">
        <w:rPr>
          <w:rFonts w:cstheme="minorHAnsi"/>
          <w:sz w:val="24"/>
          <w:szCs w:val="24"/>
        </w:rPr>
        <w:t xml:space="preserve"> </w:t>
      </w:r>
      <w:r w:rsidR="00BF65B7" w:rsidRPr="008C7B3D">
        <w:rPr>
          <w:rFonts w:cstheme="minorHAnsi"/>
          <w:sz w:val="24"/>
          <w:szCs w:val="24"/>
        </w:rPr>
        <w:t xml:space="preserve">When examining the pattern of responses by respondent role, there were </w:t>
      </w:r>
      <w:r w:rsidR="00EF7BF7" w:rsidRPr="00140ED5">
        <w:rPr>
          <w:rFonts w:cstheme="minorHAnsi"/>
          <w:i/>
          <w:iCs/>
          <w:color w:val="EE0000"/>
          <w:sz w:val="24"/>
          <w:szCs w:val="24"/>
        </w:rPr>
        <w:t>five</w:t>
      </w:r>
      <w:r w:rsidR="00BF65B7" w:rsidRPr="00140ED5">
        <w:rPr>
          <w:rFonts w:cstheme="minorHAnsi"/>
          <w:i/>
          <w:iCs/>
          <w:color w:val="EE0000"/>
          <w:sz w:val="24"/>
          <w:szCs w:val="24"/>
        </w:rPr>
        <w:t xml:space="preserve"> statistically significant findings</w:t>
      </w:r>
      <w:r w:rsidR="00BF65B7" w:rsidRPr="009B1AA9">
        <w:rPr>
          <w:rFonts w:cstheme="minorHAnsi"/>
          <w:color w:val="EE0000"/>
          <w:sz w:val="24"/>
          <w:szCs w:val="24"/>
        </w:rPr>
        <w:t>.</w:t>
      </w:r>
      <w:r w:rsidR="00BF65B7" w:rsidRPr="008C7B3D">
        <w:rPr>
          <w:rFonts w:cstheme="minorHAnsi"/>
          <w:sz w:val="24"/>
          <w:szCs w:val="24"/>
        </w:rPr>
        <w:t xml:space="preserve"> </w:t>
      </w:r>
      <w:r w:rsidR="008C7B3D" w:rsidRPr="008C7B3D">
        <w:rPr>
          <w:rFonts w:cstheme="minorHAnsi"/>
          <w:sz w:val="24"/>
          <w:szCs w:val="24"/>
        </w:rPr>
        <w:t>The NIMAS requirement not “consistently included in procurement contracts for educational materials” was endorsed less often by LEA/ESD, regional, and cooperative agency staff (</w:t>
      </w:r>
      <w:r w:rsidR="008C7B3D" w:rsidRPr="008C7B3D">
        <w:rPr>
          <w:rFonts w:cstheme="minorHAnsi"/>
          <w:sz w:val="24"/>
          <w:szCs w:val="24"/>
        </w:rPr>
        <w:sym w:font="Symbol" w:char="F063"/>
      </w:r>
      <w:r w:rsidR="008C7B3D" w:rsidRPr="008C7B3D">
        <w:rPr>
          <w:rFonts w:cstheme="minorHAnsi"/>
          <w:sz w:val="24"/>
          <w:szCs w:val="24"/>
          <w:vertAlign w:val="superscript"/>
        </w:rPr>
        <w:t>2</w:t>
      </w:r>
      <w:r w:rsidR="008C7B3D" w:rsidRPr="008C7B3D">
        <w:rPr>
          <w:rFonts w:cstheme="minorHAnsi"/>
          <w:sz w:val="24"/>
          <w:szCs w:val="24"/>
        </w:rPr>
        <w:t xml:space="preserve">(1) = 4.41, </w:t>
      </w:r>
      <w:r w:rsidR="008C7B3D" w:rsidRPr="008C7B3D">
        <w:rPr>
          <w:rFonts w:cstheme="minorHAnsi"/>
          <w:i/>
          <w:iCs/>
          <w:sz w:val="24"/>
          <w:szCs w:val="24"/>
        </w:rPr>
        <w:t>p</w:t>
      </w:r>
      <w:r w:rsidR="008C7B3D" w:rsidRPr="008C7B3D">
        <w:rPr>
          <w:rFonts w:cstheme="minorHAnsi"/>
          <w:sz w:val="24"/>
          <w:szCs w:val="24"/>
        </w:rPr>
        <w:t xml:space="preserve"> &lt; .05) and more often by IMC/IRC staff</w:t>
      </w:r>
      <w:r w:rsidR="00554CAF">
        <w:rPr>
          <w:rFonts w:cstheme="minorHAnsi"/>
          <w:sz w:val="24"/>
          <w:szCs w:val="24"/>
        </w:rPr>
        <w:t xml:space="preserve"> </w:t>
      </w:r>
      <w:r w:rsidR="008C7B3D" w:rsidRPr="008C7B3D">
        <w:rPr>
          <w:rFonts w:cstheme="minorHAnsi"/>
          <w:sz w:val="24"/>
          <w:szCs w:val="24"/>
        </w:rPr>
        <w:t>(</w:t>
      </w:r>
      <w:r w:rsidR="008C7B3D" w:rsidRPr="008C7B3D">
        <w:rPr>
          <w:rFonts w:cstheme="minorHAnsi"/>
          <w:sz w:val="24"/>
          <w:szCs w:val="24"/>
        </w:rPr>
        <w:sym w:font="Symbol" w:char="F063"/>
      </w:r>
      <w:r w:rsidR="008C7B3D" w:rsidRPr="008C7B3D">
        <w:rPr>
          <w:rFonts w:cstheme="minorHAnsi"/>
          <w:sz w:val="24"/>
          <w:szCs w:val="24"/>
          <w:vertAlign w:val="superscript"/>
        </w:rPr>
        <w:t>2</w:t>
      </w:r>
      <w:r w:rsidR="008C7B3D" w:rsidRPr="008C7B3D">
        <w:rPr>
          <w:rFonts w:cstheme="minorHAnsi"/>
          <w:sz w:val="24"/>
          <w:szCs w:val="24"/>
        </w:rPr>
        <w:t xml:space="preserve">(1) = 5.27, </w:t>
      </w:r>
      <w:r w:rsidR="008C7B3D" w:rsidRPr="008C7B3D">
        <w:rPr>
          <w:rFonts w:cstheme="minorHAnsi"/>
          <w:i/>
          <w:iCs/>
          <w:sz w:val="24"/>
          <w:szCs w:val="24"/>
        </w:rPr>
        <w:t>p</w:t>
      </w:r>
      <w:r w:rsidR="008C7B3D" w:rsidRPr="008C7B3D">
        <w:rPr>
          <w:rFonts w:cstheme="minorHAnsi"/>
          <w:sz w:val="24"/>
          <w:szCs w:val="24"/>
        </w:rPr>
        <w:t xml:space="preserve"> &lt; .05; see Figure </w:t>
      </w:r>
      <w:r w:rsidR="00EE4A78">
        <w:rPr>
          <w:rFonts w:cstheme="minorHAnsi"/>
          <w:sz w:val="24"/>
          <w:szCs w:val="24"/>
        </w:rPr>
        <w:t>24</w:t>
      </w:r>
      <w:r w:rsidR="008C7B3D" w:rsidRPr="008C7B3D">
        <w:rPr>
          <w:rFonts w:cstheme="minorHAnsi"/>
          <w:sz w:val="24"/>
          <w:szCs w:val="24"/>
        </w:rPr>
        <w:t>) compared to other respondents</w:t>
      </w:r>
      <w:r w:rsidR="007760EE">
        <w:rPr>
          <w:rFonts w:cstheme="minorHAnsi"/>
          <w:sz w:val="24"/>
          <w:szCs w:val="24"/>
        </w:rPr>
        <w:t>; it</w:t>
      </w:r>
      <w:r w:rsidR="008C7B3D" w:rsidRPr="008C7B3D">
        <w:rPr>
          <w:rFonts w:cstheme="minorHAnsi"/>
          <w:sz w:val="24"/>
          <w:szCs w:val="24"/>
        </w:rPr>
        <w:t xml:space="preserve"> was </w:t>
      </w:r>
      <w:r w:rsidR="007760EE">
        <w:rPr>
          <w:rFonts w:cstheme="minorHAnsi"/>
          <w:sz w:val="24"/>
          <w:szCs w:val="24"/>
        </w:rPr>
        <w:t xml:space="preserve">also </w:t>
      </w:r>
      <w:r w:rsidR="008C7B3D" w:rsidRPr="008C7B3D">
        <w:rPr>
          <w:rFonts w:cstheme="minorHAnsi"/>
          <w:sz w:val="24"/>
          <w:szCs w:val="24"/>
        </w:rPr>
        <w:t>endorsed more often by NIMAC Users (80%</w:t>
      </w:r>
      <w:r w:rsidR="00EF7BF7">
        <w:rPr>
          <w:rFonts w:cstheme="minorHAnsi"/>
          <w:sz w:val="24"/>
          <w:szCs w:val="24"/>
        </w:rPr>
        <w:t>;</w:t>
      </w:r>
      <w:r w:rsidR="008C7B3D" w:rsidRPr="008C7B3D">
        <w:rPr>
          <w:rFonts w:cstheme="minorHAnsi"/>
          <w:sz w:val="24"/>
          <w:szCs w:val="24"/>
        </w:rPr>
        <w:t xml:space="preserve"> </w:t>
      </w:r>
      <w:r w:rsidR="008C7B3D" w:rsidRPr="008C7B3D">
        <w:rPr>
          <w:rFonts w:cstheme="minorHAnsi"/>
          <w:i/>
          <w:iCs/>
          <w:sz w:val="24"/>
          <w:szCs w:val="24"/>
        </w:rPr>
        <w:t xml:space="preserve">n </w:t>
      </w:r>
      <w:r w:rsidR="008C7B3D" w:rsidRPr="008C7B3D">
        <w:rPr>
          <w:rFonts w:cstheme="minorHAnsi"/>
          <w:sz w:val="24"/>
          <w:szCs w:val="24"/>
        </w:rPr>
        <w:t>= 30) compared to respondents who were not NIMAC Users (48%</w:t>
      </w:r>
      <w:r w:rsidR="00EF7BF7">
        <w:rPr>
          <w:rFonts w:cstheme="minorHAnsi"/>
          <w:sz w:val="24"/>
          <w:szCs w:val="24"/>
        </w:rPr>
        <w:t>;</w:t>
      </w:r>
      <w:r w:rsidR="008C7B3D" w:rsidRPr="008C7B3D">
        <w:rPr>
          <w:rFonts w:cstheme="minorHAnsi"/>
          <w:sz w:val="24"/>
          <w:szCs w:val="24"/>
        </w:rPr>
        <w:t xml:space="preserve"> </w:t>
      </w:r>
      <w:r w:rsidR="008C7B3D" w:rsidRPr="008C7B3D">
        <w:rPr>
          <w:rFonts w:cstheme="minorHAnsi"/>
          <w:i/>
          <w:iCs/>
          <w:sz w:val="24"/>
          <w:szCs w:val="24"/>
        </w:rPr>
        <w:t xml:space="preserve">n </w:t>
      </w:r>
      <w:r w:rsidR="008C7B3D" w:rsidRPr="008C7B3D">
        <w:rPr>
          <w:rFonts w:cstheme="minorHAnsi"/>
          <w:sz w:val="24"/>
          <w:szCs w:val="24"/>
        </w:rPr>
        <w:t xml:space="preserve">= 75; </w:t>
      </w:r>
      <w:r w:rsidR="008C7B3D" w:rsidRPr="008C7B3D">
        <w:rPr>
          <w:rFonts w:cstheme="minorHAnsi"/>
          <w:sz w:val="24"/>
          <w:szCs w:val="24"/>
        </w:rPr>
        <w:sym w:font="Symbol" w:char="F063"/>
      </w:r>
      <w:r w:rsidR="008C7B3D" w:rsidRPr="008C7B3D">
        <w:rPr>
          <w:rFonts w:cstheme="minorHAnsi"/>
          <w:sz w:val="24"/>
          <w:szCs w:val="24"/>
          <w:vertAlign w:val="superscript"/>
        </w:rPr>
        <w:t>2</w:t>
      </w:r>
      <w:r w:rsidR="008C7B3D" w:rsidRPr="008C7B3D">
        <w:rPr>
          <w:rFonts w:cstheme="minorHAnsi"/>
          <w:sz w:val="24"/>
          <w:szCs w:val="24"/>
        </w:rPr>
        <w:t xml:space="preserve">(1) = 9.00, </w:t>
      </w:r>
      <w:r w:rsidR="008C7B3D" w:rsidRPr="008C7B3D">
        <w:rPr>
          <w:rFonts w:cstheme="minorHAnsi"/>
          <w:i/>
          <w:iCs/>
          <w:sz w:val="24"/>
          <w:szCs w:val="24"/>
        </w:rPr>
        <w:t>p</w:t>
      </w:r>
      <w:r w:rsidR="008C7B3D" w:rsidRPr="008C7B3D">
        <w:rPr>
          <w:rFonts w:cstheme="minorHAnsi"/>
          <w:sz w:val="24"/>
          <w:szCs w:val="24"/>
        </w:rPr>
        <w:t xml:space="preserve"> &lt; .05).</w:t>
      </w:r>
      <w:r w:rsidR="00EF7BF7">
        <w:rPr>
          <w:rFonts w:cstheme="minorHAnsi"/>
          <w:sz w:val="24"/>
          <w:szCs w:val="24"/>
        </w:rPr>
        <w:t xml:space="preserve"> These findings suggest that IMC/IRC staff and NIMAC Users may be more aware of the negative impact of the NIMAC requirement not consistently included in procurement contracts, and this awareness may be lowest among LEA/ESD, regional, and cooperative agency staff.</w:t>
      </w:r>
      <w:r w:rsidR="00625382">
        <w:rPr>
          <w:rFonts w:cstheme="minorHAnsi"/>
          <w:sz w:val="24"/>
          <w:szCs w:val="24"/>
        </w:rPr>
        <w:t xml:space="preserve"> In addition, </w:t>
      </w:r>
      <w:r w:rsidR="00625382">
        <w:rPr>
          <w:rFonts w:ascii="Calibri" w:hAnsi="Calibri" w:cs="Calibri"/>
          <w:bCs/>
          <w:sz w:val="24"/>
          <w:szCs w:val="24"/>
        </w:rPr>
        <w:t>“</w:t>
      </w:r>
      <w:r w:rsidR="00625382" w:rsidRPr="006D01C7">
        <w:rPr>
          <w:rFonts w:ascii="Calibri" w:hAnsi="Calibri" w:cs="Calibri"/>
          <w:bCs/>
          <w:sz w:val="24"/>
          <w:szCs w:val="24"/>
        </w:rPr>
        <w:t>Deadlines for NIMAS file production are not included in procurement contracts</w:t>
      </w:r>
      <w:r w:rsidR="00625382">
        <w:rPr>
          <w:rFonts w:ascii="Calibri" w:hAnsi="Calibri" w:cs="Calibri"/>
          <w:bCs/>
          <w:sz w:val="24"/>
          <w:szCs w:val="24"/>
        </w:rPr>
        <w:t xml:space="preserve">” was endorsed </w:t>
      </w:r>
      <w:r w:rsidR="00625382">
        <w:rPr>
          <w:rFonts w:ascii="Calibri" w:hAnsi="Calibri" w:cs="Calibri"/>
          <w:bCs/>
          <w:sz w:val="24"/>
          <w:szCs w:val="24"/>
        </w:rPr>
        <w:lastRenderedPageBreak/>
        <w:t>less often by LEA/ESD, regional, and cooperative agency staff compared to other respondents (</w:t>
      </w:r>
      <w:r w:rsidR="00625382" w:rsidRPr="008C7B3D">
        <w:rPr>
          <w:rFonts w:cstheme="minorHAnsi"/>
          <w:sz w:val="24"/>
          <w:szCs w:val="24"/>
        </w:rPr>
        <w:sym w:font="Symbol" w:char="F063"/>
      </w:r>
      <w:r w:rsidR="00625382" w:rsidRPr="008C7B3D">
        <w:rPr>
          <w:rFonts w:cstheme="minorHAnsi"/>
          <w:sz w:val="24"/>
          <w:szCs w:val="24"/>
          <w:vertAlign w:val="superscript"/>
        </w:rPr>
        <w:t>2</w:t>
      </w:r>
      <w:r w:rsidR="00625382" w:rsidRPr="008C7B3D">
        <w:rPr>
          <w:rFonts w:cstheme="minorHAnsi"/>
          <w:sz w:val="24"/>
          <w:szCs w:val="24"/>
        </w:rPr>
        <w:t xml:space="preserve">(1) = </w:t>
      </w:r>
      <w:r w:rsidR="00625382">
        <w:rPr>
          <w:rFonts w:cstheme="minorHAnsi"/>
          <w:sz w:val="24"/>
          <w:szCs w:val="24"/>
        </w:rPr>
        <w:t>4.22</w:t>
      </w:r>
      <w:r w:rsidR="00625382" w:rsidRPr="008C7B3D">
        <w:rPr>
          <w:rFonts w:cstheme="minorHAnsi"/>
          <w:sz w:val="24"/>
          <w:szCs w:val="24"/>
        </w:rPr>
        <w:t xml:space="preserve">, </w:t>
      </w:r>
      <w:r w:rsidR="00625382" w:rsidRPr="008C7B3D">
        <w:rPr>
          <w:rFonts w:cstheme="minorHAnsi"/>
          <w:i/>
          <w:iCs/>
          <w:sz w:val="24"/>
          <w:szCs w:val="24"/>
        </w:rPr>
        <w:t>p</w:t>
      </w:r>
      <w:r w:rsidR="00625382" w:rsidRPr="008C7B3D">
        <w:rPr>
          <w:rFonts w:cstheme="minorHAnsi"/>
          <w:sz w:val="24"/>
          <w:szCs w:val="24"/>
        </w:rPr>
        <w:t xml:space="preserve"> &lt; .05; see Figure </w:t>
      </w:r>
      <w:r w:rsidR="00EE4A78">
        <w:rPr>
          <w:rFonts w:cstheme="minorHAnsi"/>
          <w:sz w:val="24"/>
          <w:szCs w:val="24"/>
        </w:rPr>
        <w:t>24</w:t>
      </w:r>
      <w:r w:rsidR="00625382" w:rsidRPr="008C7B3D">
        <w:rPr>
          <w:rFonts w:cstheme="minorHAnsi"/>
          <w:sz w:val="24"/>
          <w:szCs w:val="24"/>
        </w:rPr>
        <w:t>)</w:t>
      </w:r>
      <w:r w:rsidR="007760EE">
        <w:rPr>
          <w:rFonts w:cstheme="minorHAnsi"/>
          <w:sz w:val="24"/>
          <w:szCs w:val="24"/>
        </w:rPr>
        <w:t>; it</w:t>
      </w:r>
      <w:r w:rsidR="009D61CE">
        <w:rPr>
          <w:rFonts w:cstheme="minorHAnsi"/>
          <w:sz w:val="24"/>
          <w:szCs w:val="24"/>
        </w:rPr>
        <w:t xml:space="preserve"> was </w:t>
      </w:r>
      <w:r w:rsidR="007760EE">
        <w:rPr>
          <w:rFonts w:cstheme="minorHAnsi"/>
          <w:sz w:val="24"/>
          <w:szCs w:val="24"/>
        </w:rPr>
        <w:t xml:space="preserve">also </w:t>
      </w:r>
      <w:r w:rsidR="009D61CE">
        <w:rPr>
          <w:rFonts w:cstheme="minorHAnsi"/>
          <w:sz w:val="24"/>
          <w:szCs w:val="24"/>
        </w:rPr>
        <w:t>endorsed more often by NIMAC Users (73%</w:t>
      </w:r>
      <w:r w:rsidR="00EF7BF7">
        <w:rPr>
          <w:rFonts w:cstheme="minorHAnsi"/>
          <w:sz w:val="24"/>
          <w:szCs w:val="24"/>
        </w:rPr>
        <w:t>;</w:t>
      </w:r>
      <w:r w:rsidR="009D61CE">
        <w:rPr>
          <w:rFonts w:cstheme="minorHAnsi"/>
          <w:sz w:val="24"/>
          <w:szCs w:val="24"/>
        </w:rPr>
        <w:t xml:space="preserve"> </w:t>
      </w:r>
      <w:r w:rsidR="009D61CE">
        <w:rPr>
          <w:rFonts w:cstheme="minorHAnsi"/>
          <w:i/>
          <w:iCs/>
          <w:sz w:val="24"/>
          <w:szCs w:val="24"/>
        </w:rPr>
        <w:t>n</w:t>
      </w:r>
      <w:r w:rsidR="005C5521">
        <w:rPr>
          <w:rFonts w:cstheme="minorHAnsi"/>
          <w:i/>
          <w:iCs/>
          <w:sz w:val="24"/>
          <w:szCs w:val="24"/>
        </w:rPr>
        <w:t xml:space="preserve"> </w:t>
      </w:r>
      <w:r w:rsidR="009D61CE">
        <w:rPr>
          <w:rFonts w:cstheme="minorHAnsi"/>
          <w:sz w:val="24"/>
          <w:szCs w:val="24"/>
        </w:rPr>
        <w:t xml:space="preserve">= 30) compared to respondents </w:t>
      </w:r>
      <w:r w:rsidR="009D61CE" w:rsidRPr="009D61CE">
        <w:rPr>
          <w:rFonts w:cstheme="minorHAnsi"/>
          <w:sz w:val="24"/>
          <w:szCs w:val="24"/>
        </w:rPr>
        <w:t>who were not NIMAC Users (41%</w:t>
      </w:r>
      <w:r w:rsidR="00EF7BF7">
        <w:rPr>
          <w:rFonts w:cstheme="minorHAnsi"/>
          <w:sz w:val="24"/>
          <w:szCs w:val="24"/>
        </w:rPr>
        <w:t>;</w:t>
      </w:r>
      <w:r w:rsidR="009D61CE" w:rsidRPr="009D61CE">
        <w:rPr>
          <w:rFonts w:cstheme="minorHAnsi"/>
          <w:sz w:val="24"/>
          <w:szCs w:val="24"/>
        </w:rPr>
        <w:t xml:space="preserve"> </w:t>
      </w:r>
      <w:r w:rsidR="009D61CE" w:rsidRPr="009D61CE">
        <w:rPr>
          <w:rFonts w:cstheme="minorHAnsi"/>
          <w:i/>
          <w:iCs/>
          <w:sz w:val="24"/>
          <w:szCs w:val="24"/>
        </w:rPr>
        <w:t xml:space="preserve">n </w:t>
      </w:r>
      <w:r w:rsidR="009D61CE" w:rsidRPr="009D61CE">
        <w:rPr>
          <w:rFonts w:cstheme="minorHAnsi"/>
          <w:sz w:val="24"/>
          <w:szCs w:val="24"/>
        </w:rPr>
        <w:t xml:space="preserve">= 75; </w:t>
      </w:r>
      <w:r w:rsidR="009D61CE" w:rsidRPr="009D61CE">
        <w:rPr>
          <w:rFonts w:cstheme="minorHAnsi"/>
          <w:sz w:val="24"/>
          <w:szCs w:val="24"/>
        </w:rPr>
        <w:sym w:font="Symbol" w:char="F063"/>
      </w:r>
      <w:r w:rsidR="009D61CE" w:rsidRPr="009D61CE">
        <w:rPr>
          <w:rFonts w:cstheme="minorHAnsi"/>
          <w:sz w:val="24"/>
          <w:szCs w:val="24"/>
          <w:vertAlign w:val="superscript"/>
        </w:rPr>
        <w:t>2</w:t>
      </w:r>
      <w:r w:rsidR="009D61CE" w:rsidRPr="009D61CE">
        <w:rPr>
          <w:rFonts w:cstheme="minorHAnsi"/>
          <w:sz w:val="24"/>
          <w:szCs w:val="24"/>
        </w:rPr>
        <w:t xml:space="preserve">(1) = </w:t>
      </w:r>
      <w:r w:rsidR="009D61CE">
        <w:rPr>
          <w:rFonts w:cstheme="minorHAnsi"/>
          <w:sz w:val="24"/>
          <w:szCs w:val="24"/>
        </w:rPr>
        <w:t>8.78</w:t>
      </w:r>
      <w:r w:rsidR="009D61CE" w:rsidRPr="009D61CE">
        <w:rPr>
          <w:rFonts w:cstheme="minorHAnsi"/>
          <w:sz w:val="24"/>
          <w:szCs w:val="24"/>
        </w:rPr>
        <w:t xml:space="preserve">, </w:t>
      </w:r>
      <w:r w:rsidR="009D61CE" w:rsidRPr="009D61CE">
        <w:rPr>
          <w:rFonts w:cstheme="minorHAnsi"/>
          <w:i/>
          <w:iCs/>
          <w:sz w:val="24"/>
          <w:szCs w:val="24"/>
        </w:rPr>
        <w:t>p</w:t>
      </w:r>
      <w:r w:rsidR="009D61CE" w:rsidRPr="009D61CE">
        <w:rPr>
          <w:rFonts w:cstheme="minorHAnsi"/>
          <w:sz w:val="24"/>
          <w:szCs w:val="24"/>
        </w:rPr>
        <w:t xml:space="preserve"> &lt; .05</w:t>
      </w:r>
      <w:r w:rsidR="009D61CE">
        <w:rPr>
          <w:rFonts w:cstheme="minorHAnsi"/>
          <w:sz w:val="24"/>
          <w:szCs w:val="24"/>
        </w:rPr>
        <w:t>).</w:t>
      </w:r>
      <w:r w:rsidR="00EF7BF7">
        <w:rPr>
          <w:rFonts w:cstheme="minorHAnsi"/>
          <w:sz w:val="24"/>
          <w:szCs w:val="24"/>
        </w:rPr>
        <w:t xml:space="preserve"> These findings indicate that NIMAC Users may be particularly </w:t>
      </w:r>
      <w:r w:rsidR="005D21AB">
        <w:rPr>
          <w:rFonts w:cstheme="minorHAnsi"/>
          <w:sz w:val="24"/>
          <w:szCs w:val="24"/>
        </w:rPr>
        <w:t>aware</w:t>
      </w:r>
      <w:r w:rsidR="00EF7BF7">
        <w:rPr>
          <w:rFonts w:cstheme="minorHAnsi"/>
          <w:sz w:val="24"/>
          <w:szCs w:val="24"/>
        </w:rPr>
        <w:t xml:space="preserve"> </w:t>
      </w:r>
      <w:r w:rsidR="005D21AB">
        <w:rPr>
          <w:rFonts w:cstheme="minorHAnsi"/>
          <w:sz w:val="24"/>
          <w:szCs w:val="24"/>
        </w:rPr>
        <w:t xml:space="preserve">of the importance of deadlines for NIMAS file production, and that this awareness </w:t>
      </w:r>
      <w:r w:rsidR="007760EE">
        <w:rPr>
          <w:rFonts w:cstheme="minorHAnsi"/>
          <w:sz w:val="24"/>
          <w:szCs w:val="24"/>
        </w:rPr>
        <w:t>may be</w:t>
      </w:r>
      <w:r w:rsidR="005D21AB">
        <w:rPr>
          <w:rFonts w:cstheme="minorHAnsi"/>
          <w:sz w:val="24"/>
          <w:szCs w:val="24"/>
        </w:rPr>
        <w:t xml:space="preserve"> low</w:t>
      </w:r>
      <w:r w:rsidR="007760EE">
        <w:rPr>
          <w:rFonts w:cstheme="minorHAnsi"/>
          <w:sz w:val="24"/>
          <w:szCs w:val="24"/>
        </w:rPr>
        <w:t>er</w:t>
      </w:r>
      <w:r w:rsidR="005D21AB">
        <w:rPr>
          <w:rFonts w:cstheme="minorHAnsi"/>
          <w:sz w:val="24"/>
          <w:szCs w:val="24"/>
        </w:rPr>
        <w:t xml:space="preserve"> among LEA/ESD, regional, and cooperative agency staff. </w:t>
      </w:r>
    </w:p>
    <w:p w14:paraId="6D817209" w14:textId="77777777" w:rsidR="008C7B3D" w:rsidRDefault="008C7B3D" w:rsidP="00AF7B63">
      <w:pPr>
        <w:spacing w:after="0" w:line="276" w:lineRule="auto"/>
        <w:rPr>
          <w:rFonts w:cstheme="minorHAnsi"/>
          <w:sz w:val="24"/>
          <w:szCs w:val="24"/>
        </w:rPr>
      </w:pPr>
    </w:p>
    <w:p w14:paraId="797E2EE5" w14:textId="2AF66631" w:rsidR="008C7B3D" w:rsidRPr="003D1AFA" w:rsidRDefault="008C7B3D" w:rsidP="004946C3">
      <w:pPr>
        <w:pStyle w:val="Heading4"/>
      </w:pPr>
      <w:bookmarkStart w:id="63" w:name="_Toc222904020"/>
      <w:r w:rsidRPr="00AF7B63">
        <w:t xml:space="preserve">Figure </w:t>
      </w:r>
      <w:r w:rsidR="00EE4A78">
        <w:t>24</w:t>
      </w:r>
      <w:r w:rsidRPr="00AF7B63">
        <w:t>. Procurement-</w:t>
      </w:r>
      <w:r w:rsidRPr="003D1AFA">
        <w:t>Related Factors that Hinder Timely Delivery of Accessible Formats</w:t>
      </w:r>
      <w:r>
        <w:t>: Differences by Role</w:t>
      </w:r>
      <w:r w:rsidR="00B55C67">
        <w:rPr>
          <w:rFonts w:ascii="ZWAdobeF" w:hAnsi="ZWAdobeF" w:cs="ZWAdobeF"/>
          <w:i w:val="0"/>
          <w:color w:val="auto"/>
          <w:sz w:val="2"/>
          <w:szCs w:val="2"/>
        </w:rPr>
        <w:t>52F</w:t>
      </w:r>
      <w:r w:rsidRPr="003D1AFA">
        <w:rPr>
          <w:rStyle w:val="FootnoteReference"/>
          <w:rFonts w:cs="Calibri"/>
          <w:smallCaps/>
          <w:color w:val="44546A" w:themeColor="text2"/>
        </w:rPr>
        <w:footnoteReference w:id="54"/>
      </w:r>
      <w:bookmarkEnd w:id="63"/>
      <w:r w:rsidRPr="003D1AFA">
        <w:t xml:space="preserve"> </w:t>
      </w:r>
    </w:p>
    <w:p w14:paraId="58907C42" w14:textId="303A37BB" w:rsidR="008C7B3D" w:rsidRDefault="00B55C67" w:rsidP="00EA42D6">
      <w:pPr>
        <w:spacing w:line="276" w:lineRule="auto"/>
        <w:jc w:val="center"/>
        <w:rPr>
          <w:rFonts w:cstheme="minorHAnsi"/>
          <w:sz w:val="24"/>
          <w:szCs w:val="24"/>
        </w:rPr>
      </w:pPr>
      <w:r>
        <w:rPr>
          <w:rFonts w:ascii="ZWAdobeF" w:hAnsi="ZWAdobeF" w:cs="ZWAdobeF"/>
          <w:sz w:val="2"/>
          <w:szCs w:val="2"/>
        </w:rPr>
        <w:t>180</w:t>
      </w:r>
      <w:proofErr w:type="gramStart"/>
      <w:r>
        <w:rPr>
          <w:rFonts w:ascii="ZWAdobeF" w:hAnsi="ZWAdobeF" w:cs="ZWAdobeF"/>
          <w:sz w:val="2"/>
          <w:szCs w:val="2"/>
        </w:rPr>
        <w:t>B</w:t>
      </w:r>
      <w:r w:rsidR="008C7B3D" w:rsidRPr="003D1AFA">
        <w:rPr>
          <w:color w:val="000000" w:themeColor="text1"/>
        </w:rPr>
        <w:t>(</w:t>
      </w:r>
      <w:proofErr w:type="gramEnd"/>
      <w:r w:rsidR="008C7B3D" w:rsidRPr="003D1AFA">
        <w:rPr>
          <w:i/>
          <w:iCs/>
          <w:color w:val="000000" w:themeColor="text1"/>
        </w:rPr>
        <w:t>n</w:t>
      </w:r>
      <w:r w:rsidR="008C7B3D" w:rsidRPr="003D1AFA">
        <w:rPr>
          <w:color w:val="000000" w:themeColor="text1"/>
        </w:rPr>
        <w:t xml:space="preserve"> = 105)</w:t>
      </w:r>
    </w:p>
    <w:p w14:paraId="2B511888" w14:textId="1DB12737" w:rsidR="008C7B3D" w:rsidRDefault="00B55C67" w:rsidP="00AF7B63">
      <w:pPr>
        <w:spacing w:after="0" w:line="276" w:lineRule="auto"/>
        <w:rPr>
          <w:rFonts w:cstheme="minorHAnsi"/>
          <w:sz w:val="24"/>
          <w:szCs w:val="24"/>
        </w:rPr>
      </w:pPr>
      <w:r>
        <w:rPr>
          <w:rFonts w:ascii="ZWAdobeF" w:hAnsi="ZWAdobeF" w:cs="ZWAdobeF"/>
          <w:sz w:val="2"/>
          <w:szCs w:val="2"/>
        </w:rPr>
        <w:t>181B</w:t>
      </w:r>
      <w:r w:rsidR="008C7B3D" w:rsidRPr="00012B18">
        <w:rPr>
          <w:rFonts w:ascii="Times New Roman" w:hAnsi="Times New Roman" w:cs="Times New Roman"/>
          <w:b/>
          <w:noProof/>
          <w:color w:val="0070C0"/>
        </w:rPr>
        <w:drawing>
          <wp:inline distT="0" distB="0" distL="0" distR="0" wp14:anchorId="6F095BF5" wp14:editId="376C14C6">
            <wp:extent cx="5943600" cy="3711388"/>
            <wp:effectExtent l="0" t="0" r="0" b="3810"/>
            <wp:docPr id="1042912941" name="Chart 3" descr="Figure 24 is a grouped bar chart showing differences by role in procurement-related factors that hinder timely delivery of accessible formats (n = 105). For inconsistent inclusion of the NIMAS requirement in procurement contracts, 46% of LEA/ESD, regional, and cooperative staff (n = 46); 50% of school staff (n = 20); 80% of IMR/IRC staff (n = 20); 73% of SEA staff (n = 11); and 63% of AMPs, publishers, and vendors (n = 8) reported this barrier. For deadlines for NIMAS file production not being included in procurement contracts, 39% of LEA/ESD, regional, and cooperative staff; 45% of school staff; 60% of IMR/IRC staff; 64% of SEA staff; and 88% of AMPs, publishers, and vendors reported this barrier. Asterisks indicate statistically significant differences for LEA/ESD, regional, and cooperative staff and IMR/IRC staff reporting that the NIMAS requirement is not consistently included in procurement contracts, as well as LEA/ESD, regional, and cooperative staff reporting that deadlines for NIMAS file production are not included in procurement contracts."/>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0AB196CC" w14:textId="77777777" w:rsidR="003B25F6" w:rsidRDefault="003B25F6" w:rsidP="00AF7B63">
      <w:pPr>
        <w:spacing w:after="0" w:line="276" w:lineRule="auto"/>
        <w:rPr>
          <w:rFonts w:cstheme="minorHAnsi"/>
          <w:sz w:val="24"/>
          <w:szCs w:val="24"/>
        </w:rPr>
      </w:pPr>
    </w:p>
    <w:p w14:paraId="18DBF5FC" w14:textId="24063878" w:rsidR="00AF7B63" w:rsidRPr="00F0296E" w:rsidRDefault="00B55C67" w:rsidP="00AF7B63">
      <w:pPr>
        <w:spacing w:after="0" w:line="276" w:lineRule="auto"/>
        <w:rPr>
          <w:rFonts w:cstheme="minorHAnsi"/>
          <w:sz w:val="24"/>
          <w:szCs w:val="24"/>
        </w:rPr>
      </w:pPr>
      <w:r>
        <w:rPr>
          <w:rFonts w:ascii="ZWAdobeF" w:hAnsi="ZWAdobeF" w:cs="ZWAdobeF"/>
          <w:sz w:val="2"/>
          <w:szCs w:val="2"/>
        </w:rPr>
        <w:t>182B</w:t>
      </w:r>
      <w:r w:rsidR="00AF7B63" w:rsidRPr="00F0296E">
        <w:rPr>
          <w:rFonts w:cstheme="minorHAnsi"/>
          <w:sz w:val="24"/>
          <w:szCs w:val="24"/>
        </w:rPr>
        <w:t xml:space="preserve">To further explore </w:t>
      </w:r>
      <w:r w:rsidR="00F0296E" w:rsidRPr="00F0296E">
        <w:rPr>
          <w:rFonts w:cstheme="minorHAnsi"/>
          <w:sz w:val="24"/>
          <w:szCs w:val="24"/>
        </w:rPr>
        <w:t>procurement</w:t>
      </w:r>
      <w:r w:rsidR="00AF7B63" w:rsidRPr="00F0296E">
        <w:rPr>
          <w:rFonts w:cstheme="minorHAnsi"/>
          <w:sz w:val="24"/>
          <w:szCs w:val="24"/>
        </w:rPr>
        <w:t xml:space="preserve">-related factors that </w:t>
      </w:r>
      <w:r w:rsidR="00F0296E" w:rsidRPr="00F0296E">
        <w:rPr>
          <w:rFonts w:cstheme="minorHAnsi"/>
          <w:sz w:val="24"/>
          <w:szCs w:val="24"/>
        </w:rPr>
        <w:t>hinder</w:t>
      </w:r>
      <w:r w:rsidR="00AF7B63" w:rsidRPr="00F0296E">
        <w:rPr>
          <w:rFonts w:cstheme="minorHAnsi"/>
          <w:sz w:val="24"/>
          <w:szCs w:val="24"/>
        </w:rPr>
        <w:t xml:space="preserve"> timely delivery, we obtained qualitative responses from interview participants and survey respondents. Interview participants were asked to describe factors that </w:t>
      </w:r>
      <w:r w:rsidR="00F0296E" w:rsidRPr="00F0296E">
        <w:rPr>
          <w:rFonts w:cstheme="minorHAnsi"/>
          <w:sz w:val="24"/>
          <w:szCs w:val="24"/>
        </w:rPr>
        <w:t>hinder</w:t>
      </w:r>
      <w:r w:rsidR="00AF7B63" w:rsidRPr="00F0296E">
        <w:rPr>
          <w:rFonts w:cstheme="minorHAnsi"/>
          <w:sz w:val="24"/>
          <w:szCs w:val="24"/>
        </w:rPr>
        <w:t xml:space="preserve"> timely delivery of accessible materials. Survey respondents were given the opportunity to </w:t>
      </w:r>
      <w:r w:rsidR="00A04669">
        <w:rPr>
          <w:rFonts w:cstheme="minorHAnsi"/>
          <w:sz w:val="24"/>
          <w:szCs w:val="24"/>
        </w:rPr>
        <w:t>suggest other</w:t>
      </w:r>
      <w:r w:rsidR="00AF7B63" w:rsidRPr="00F0296E">
        <w:rPr>
          <w:rFonts w:cstheme="minorHAnsi"/>
          <w:sz w:val="24"/>
          <w:szCs w:val="24"/>
        </w:rPr>
        <w:t xml:space="preserve"> factors </w:t>
      </w:r>
      <w:r w:rsidR="00A04669">
        <w:rPr>
          <w:rFonts w:cstheme="minorHAnsi"/>
          <w:sz w:val="24"/>
          <w:szCs w:val="24"/>
        </w:rPr>
        <w:t xml:space="preserve">and </w:t>
      </w:r>
      <w:r w:rsidR="00AF7B63" w:rsidRPr="00F0296E">
        <w:rPr>
          <w:rFonts w:cstheme="minorHAnsi"/>
          <w:sz w:val="24"/>
          <w:szCs w:val="24"/>
        </w:rPr>
        <w:t xml:space="preserve">to explain their selections. </w:t>
      </w:r>
    </w:p>
    <w:p w14:paraId="4978941F" w14:textId="77777777" w:rsidR="00AF7B63" w:rsidRPr="00AF7B63" w:rsidRDefault="00AF7B63" w:rsidP="00AF7B63">
      <w:pPr>
        <w:spacing w:after="0" w:line="276" w:lineRule="auto"/>
        <w:rPr>
          <w:rFonts w:cstheme="minorHAnsi"/>
          <w:sz w:val="24"/>
          <w:szCs w:val="24"/>
          <w:highlight w:val="cyan"/>
        </w:rPr>
      </w:pPr>
    </w:p>
    <w:p w14:paraId="33D43607" w14:textId="29146F6D" w:rsidR="00BB512C" w:rsidRPr="00BB512C" w:rsidRDefault="00B55C67" w:rsidP="00AF7B63">
      <w:pPr>
        <w:spacing w:after="0" w:line="276" w:lineRule="auto"/>
        <w:rPr>
          <w:rFonts w:cstheme="minorHAnsi"/>
          <w:sz w:val="24"/>
          <w:szCs w:val="24"/>
        </w:rPr>
      </w:pPr>
      <w:r>
        <w:rPr>
          <w:rFonts w:ascii="ZWAdobeF" w:hAnsi="ZWAdobeF" w:cs="ZWAdobeF"/>
          <w:sz w:val="2"/>
          <w:szCs w:val="2"/>
        </w:rPr>
        <w:lastRenderedPageBreak/>
        <w:t>183B</w:t>
      </w:r>
      <w:r w:rsidR="00AF7B63" w:rsidRPr="00BB512C">
        <w:rPr>
          <w:rFonts w:cstheme="minorHAnsi"/>
          <w:sz w:val="24"/>
          <w:szCs w:val="24"/>
        </w:rPr>
        <w:t xml:space="preserve">Participants’ descriptions of </w:t>
      </w:r>
      <w:r w:rsidR="00BB512C" w:rsidRPr="00BB512C">
        <w:rPr>
          <w:rFonts w:cstheme="minorHAnsi"/>
          <w:sz w:val="24"/>
          <w:szCs w:val="24"/>
        </w:rPr>
        <w:t>procurement</w:t>
      </w:r>
      <w:r w:rsidR="00AF7B63" w:rsidRPr="00BB512C">
        <w:rPr>
          <w:rFonts w:cstheme="minorHAnsi"/>
          <w:sz w:val="24"/>
          <w:szCs w:val="24"/>
        </w:rPr>
        <w:t xml:space="preserve">-related factors that </w:t>
      </w:r>
      <w:r w:rsidR="00BB512C" w:rsidRPr="00BB512C">
        <w:rPr>
          <w:rFonts w:cstheme="minorHAnsi"/>
          <w:sz w:val="24"/>
          <w:szCs w:val="24"/>
        </w:rPr>
        <w:t>hinder</w:t>
      </w:r>
      <w:r w:rsidR="00AF7B63" w:rsidRPr="00BB512C">
        <w:rPr>
          <w:rFonts w:cstheme="minorHAnsi"/>
          <w:sz w:val="24"/>
          <w:szCs w:val="24"/>
        </w:rPr>
        <w:t xml:space="preserve"> timely delivery are presented by theme in Table </w:t>
      </w:r>
      <w:r w:rsidR="00166A29">
        <w:rPr>
          <w:rFonts w:cstheme="minorHAnsi"/>
          <w:sz w:val="24"/>
          <w:szCs w:val="24"/>
        </w:rPr>
        <w:t>1</w:t>
      </w:r>
      <w:r w:rsidR="006A6885">
        <w:rPr>
          <w:rFonts w:cstheme="minorHAnsi"/>
          <w:sz w:val="24"/>
          <w:szCs w:val="24"/>
        </w:rPr>
        <w:t>2</w:t>
      </w:r>
      <w:r w:rsidR="00AF7B63" w:rsidRPr="00BB512C">
        <w:rPr>
          <w:rFonts w:cstheme="minorHAnsi"/>
          <w:sz w:val="24"/>
          <w:szCs w:val="24"/>
        </w:rPr>
        <w:t xml:space="preserve">. </w:t>
      </w:r>
      <w:r w:rsidR="00BB512C">
        <w:rPr>
          <w:rFonts w:cstheme="minorHAnsi"/>
          <w:sz w:val="24"/>
          <w:szCs w:val="24"/>
        </w:rPr>
        <w:t>The most commonly described factor was curriculum decisions that are made without input from Special Education professionals (21 excerpts)</w:t>
      </w:r>
      <w:r w:rsidR="003044FA">
        <w:rPr>
          <w:rFonts w:cstheme="minorHAnsi"/>
          <w:sz w:val="24"/>
          <w:szCs w:val="24"/>
        </w:rPr>
        <w:t xml:space="preserve">, a finding that aligns with a </w:t>
      </w:r>
      <w:r w:rsidR="00BD53EA">
        <w:rPr>
          <w:rFonts w:cstheme="minorHAnsi"/>
          <w:sz w:val="24"/>
          <w:szCs w:val="24"/>
        </w:rPr>
        <w:t>practice noted to facilitate t</w:t>
      </w:r>
      <w:r w:rsidR="003044FA">
        <w:rPr>
          <w:rFonts w:cstheme="minorHAnsi"/>
          <w:sz w:val="24"/>
          <w:szCs w:val="24"/>
        </w:rPr>
        <w:t>imely delivery (see Table 9)</w:t>
      </w:r>
      <w:r w:rsidR="00BB512C">
        <w:rPr>
          <w:rFonts w:cstheme="minorHAnsi"/>
          <w:sz w:val="24"/>
          <w:szCs w:val="24"/>
        </w:rPr>
        <w:t xml:space="preserve">. </w:t>
      </w:r>
      <w:r w:rsidR="00A7185A">
        <w:rPr>
          <w:rFonts w:cstheme="minorHAnsi"/>
          <w:sz w:val="24"/>
          <w:szCs w:val="24"/>
        </w:rPr>
        <w:t>T</w:t>
      </w:r>
      <w:r w:rsidR="00BB512C">
        <w:rPr>
          <w:rFonts w:cstheme="minorHAnsi"/>
          <w:sz w:val="24"/>
          <w:szCs w:val="24"/>
        </w:rPr>
        <w:t xml:space="preserve">hree </w:t>
      </w:r>
      <w:r w:rsidR="00A7185A">
        <w:rPr>
          <w:rFonts w:cstheme="minorHAnsi"/>
          <w:sz w:val="24"/>
          <w:szCs w:val="24"/>
        </w:rPr>
        <w:t xml:space="preserve">other </w:t>
      </w:r>
      <w:r w:rsidR="00BB512C">
        <w:rPr>
          <w:rFonts w:cstheme="minorHAnsi"/>
          <w:sz w:val="24"/>
          <w:szCs w:val="24"/>
        </w:rPr>
        <w:t xml:space="preserve">themes were </w:t>
      </w:r>
      <w:r w:rsidR="00A7185A">
        <w:rPr>
          <w:rFonts w:cstheme="minorHAnsi"/>
          <w:sz w:val="24"/>
          <w:szCs w:val="24"/>
        </w:rPr>
        <w:t xml:space="preserve">consistent with factors </w:t>
      </w:r>
      <w:r w:rsidR="00DE7B8C">
        <w:rPr>
          <w:rFonts w:cstheme="minorHAnsi"/>
          <w:sz w:val="24"/>
          <w:szCs w:val="24"/>
        </w:rPr>
        <w:t xml:space="preserve">listed </w:t>
      </w:r>
      <w:r w:rsidR="00BB512C">
        <w:rPr>
          <w:rFonts w:cstheme="minorHAnsi"/>
          <w:sz w:val="24"/>
          <w:szCs w:val="24"/>
        </w:rPr>
        <w:t xml:space="preserve">in the survey: </w:t>
      </w:r>
      <w:r w:rsidR="00A7185A">
        <w:rPr>
          <w:rFonts w:cstheme="minorHAnsi"/>
          <w:sz w:val="24"/>
          <w:szCs w:val="24"/>
        </w:rPr>
        <w:t>P</w:t>
      </w:r>
      <w:r w:rsidR="00BB512C">
        <w:rPr>
          <w:rFonts w:cstheme="minorHAnsi"/>
          <w:sz w:val="24"/>
          <w:szCs w:val="24"/>
        </w:rPr>
        <w:t xml:space="preserve">rocurement staff are not aware that the NIMAS requirement should be included in procurement contracts (16 excerpts), the NIMAS requirement is not consistently included in procurement contracts (6 excerpts), and turnover of procurement staff without knowledge transfer to new staff (5 excerpts). </w:t>
      </w:r>
    </w:p>
    <w:p w14:paraId="29A65496" w14:textId="77777777" w:rsidR="00AF7B63" w:rsidRPr="00AF7B63" w:rsidRDefault="00AF7B63" w:rsidP="00AF7B63">
      <w:pPr>
        <w:spacing w:after="0" w:line="276" w:lineRule="auto"/>
        <w:rPr>
          <w:rFonts w:ascii="Times New Roman" w:hAnsi="Times New Roman" w:cs="Times New Roman"/>
          <w:sz w:val="24"/>
          <w:szCs w:val="24"/>
          <w:highlight w:val="cyan"/>
        </w:rPr>
      </w:pPr>
    </w:p>
    <w:p w14:paraId="6D07BFC1" w14:textId="6DCA613C" w:rsidR="00AF7B63" w:rsidRPr="00C33A4C" w:rsidRDefault="00AF7B63" w:rsidP="004946C3">
      <w:pPr>
        <w:pStyle w:val="Heading4"/>
      </w:pPr>
      <w:bookmarkStart w:id="64" w:name="_Toc222904021"/>
      <w:r w:rsidRPr="006D6CB0">
        <w:t xml:space="preserve">Table </w:t>
      </w:r>
      <w:r w:rsidR="00166A29">
        <w:t>1</w:t>
      </w:r>
      <w:r w:rsidR="006A6885">
        <w:t>2</w:t>
      </w:r>
      <w:r w:rsidRPr="006D6CB0">
        <w:t>. Qualitative Descriptions o</w:t>
      </w:r>
      <w:r w:rsidRPr="00C33A4C">
        <w:t xml:space="preserve">f </w:t>
      </w:r>
      <w:r w:rsidR="006D6CB0" w:rsidRPr="00C33A4C">
        <w:t>Procurement</w:t>
      </w:r>
      <w:r w:rsidRPr="00C33A4C">
        <w:t xml:space="preserve">-Related Factors that </w:t>
      </w:r>
      <w:r w:rsidR="006D6CB0" w:rsidRPr="00C33A4C">
        <w:t>Hinder</w:t>
      </w:r>
      <w:r w:rsidRPr="00C33A4C">
        <w:t xml:space="preserve"> Timely Delivery</w:t>
      </w:r>
      <w:bookmarkEnd w:id="64"/>
    </w:p>
    <w:p w14:paraId="5D5430F8" w14:textId="311A0419" w:rsidR="00AF7B63" w:rsidRPr="00C33A4C" w:rsidRDefault="00B55C67" w:rsidP="00AF7B63">
      <w:pPr>
        <w:jc w:val="center"/>
        <w:rPr>
          <w:rFonts w:ascii="Calibri" w:hAnsi="Calibri" w:cs="Calibri"/>
        </w:rPr>
      </w:pPr>
      <w:r>
        <w:rPr>
          <w:rFonts w:ascii="ZWAdobeF" w:hAnsi="ZWAdobeF" w:cs="ZWAdobeF"/>
          <w:sz w:val="2"/>
          <w:szCs w:val="2"/>
        </w:rPr>
        <w:t>184</w:t>
      </w:r>
      <w:proofErr w:type="gramStart"/>
      <w:r>
        <w:rPr>
          <w:rFonts w:ascii="ZWAdobeF" w:hAnsi="ZWAdobeF" w:cs="ZWAdobeF"/>
          <w:sz w:val="2"/>
          <w:szCs w:val="2"/>
        </w:rPr>
        <w:t>B</w:t>
      </w:r>
      <w:r w:rsidR="00AF7B63" w:rsidRPr="00C33A4C">
        <w:rPr>
          <w:rFonts w:ascii="Calibri" w:hAnsi="Calibri" w:cs="Calibri"/>
        </w:rPr>
        <w:t>(</w:t>
      </w:r>
      <w:proofErr w:type="gramEnd"/>
      <w:r w:rsidR="00F30A9B">
        <w:rPr>
          <w:rFonts w:ascii="Calibri" w:hAnsi="Calibri" w:cs="Calibri"/>
        </w:rPr>
        <w:t>47</w:t>
      </w:r>
      <w:r w:rsidR="00AF7B63" w:rsidRPr="00C33A4C">
        <w:rPr>
          <w:rFonts w:ascii="Calibri" w:hAnsi="Calibri" w:cs="Calibri"/>
        </w:rPr>
        <w:t xml:space="preserve"> excerpts)</w:t>
      </w:r>
    </w:p>
    <w:tbl>
      <w:tblPr>
        <w:tblStyle w:val="GridTable4"/>
        <w:tblW w:w="9355" w:type="dxa"/>
        <w:tblLook w:val="04A0" w:firstRow="1" w:lastRow="0" w:firstColumn="1" w:lastColumn="0" w:noHBand="0" w:noVBand="1"/>
        <w:tblCaption w:val="Table 11. Qualitative Descriptions of Procurement-Related Factors that Hinder Timely Delivery"/>
      </w:tblPr>
      <w:tblGrid>
        <w:gridCol w:w="3055"/>
        <w:gridCol w:w="6300"/>
      </w:tblGrid>
      <w:tr w:rsidR="00AF7B63" w:rsidRPr="00AF7B63" w14:paraId="575F01D8" w14:textId="77777777" w:rsidTr="00C9023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055" w:type="dxa"/>
            <w:shd w:val="clear" w:color="auto" w:fill="44546A" w:themeFill="text2"/>
            <w:vAlign w:val="center"/>
          </w:tcPr>
          <w:p w14:paraId="01E77CA1" w14:textId="3D92AB34" w:rsidR="00AF7B63" w:rsidRPr="00AF7B63" w:rsidRDefault="00AF7B63" w:rsidP="002F15D2">
            <w:pPr>
              <w:jc w:val="center"/>
              <w:rPr>
                <w:rFonts w:cstheme="minorHAnsi"/>
                <w:highlight w:val="cyan"/>
              </w:rPr>
            </w:pPr>
            <w:bookmarkStart w:id="65" w:name="_Hlk215919179"/>
            <w:r w:rsidRPr="00AF7B63">
              <w:rPr>
                <w:rFonts w:cstheme="minorHAnsi"/>
              </w:rPr>
              <w:t>Pro</w:t>
            </w:r>
            <w:r>
              <w:rPr>
                <w:rFonts w:cstheme="minorHAnsi"/>
              </w:rPr>
              <w:t>curement</w:t>
            </w:r>
            <w:r w:rsidRPr="00AF7B63">
              <w:rPr>
                <w:rFonts w:cstheme="minorHAnsi"/>
              </w:rPr>
              <w:t xml:space="preserve">-Related Factors that </w:t>
            </w:r>
            <w:r>
              <w:rPr>
                <w:rFonts w:cstheme="minorHAnsi"/>
              </w:rPr>
              <w:t>Hinder</w:t>
            </w:r>
            <w:r w:rsidRPr="00AF7B63">
              <w:rPr>
                <w:rFonts w:cstheme="minorHAnsi"/>
              </w:rPr>
              <w:t xml:space="preserve"> Timely Delivery</w:t>
            </w:r>
          </w:p>
        </w:tc>
        <w:tc>
          <w:tcPr>
            <w:tcW w:w="6300" w:type="dxa"/>
            <w:shd w:val="clear" w:color="auto" w:fill="44546A" w:themeFill="text2"/>
            <w:vAlign w:val="center"/>
          </w:tcPr>
          <w:p w14:paraId="28A4DA7F" w14:textId="77777777" w:rsidR="00AF7B63" w:rsidRPr="00AF7B63" w:rsidRDefault="00AF7B63" w:rsidP="002F15D2">
            <w:pPr>
              <w:jc w:val="center"/>
              <w:cnfStyle w:val="100000000000" w:firstRow="1" w:lastRow="0" w:firstColumn="0" w:lastColumn="0" w:oddVBand="0" w:evenVBand="0" w:oddHBand="0" w:evenHBand="0" w:firstRowFirstColumn="0" w:firstRowLastColumn="0" w:lastRowFirstColumn="0" w:lastRowLastColumn="0"/>
              <w:rPr>
                <w:rFonts w:cstheme="minorHAnsi"/>
                <w:highlight w:val="cyan"/>
              </w:rPr>
            </w:pPr>
            <w:r w:rsidRPr="00AF7B63">
              <w:rPr>
                <w:rFonts w:cstheme="minorHAnsi"/>
              </w:rPr>
              <w:t>Representative Quotations</w:t>
            </w:r>
          </w:p>
        </w:tc>
      </w:tr>
      <w:tr w:rsidR="00F30A9B" w:rsidRPr="00AF7B63" w14:paraId="74221ADE"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shd w:val="clear" w:color="auto" w:fill="D9E2F3"/>
          </w:tcPr>
          <w:p w14:paraId="3B110D84" w14:textId="527E4940" w:rsidR="00F30A9B" w:rsidRDefault="00F30A9B" w:rsidP="002F15D2">
            <w:pPr>
              <w:rPr>
                <w:rFonts w:cstheme="minorHAnsi"/>
              </w:rPr>
            </w:pPr>
            <w:r>
              <w:rPr>
                <w:rFonts w:cstheme="minorHAnsi"/>
              </w:rPr>
              <w:t>Curriculum decisions made without input from Special Education professionals (21)</w:t>
            </w:r>
          </w:p>
        </w:tc>
        <w:tc>
          <w:tcPr>
            <w:tcW w:w="6300" w:type="dxa"/>
            <w:shd w:val="clear" w:color="auto" w:fill="D9E2F3"/>
          </w:tcPr>
          <w:p w14:paraId="1840419E" w14:textId="263AD54A" w:rsidR="00F30A9B" w:rsidRPr="00AF7B63" w:rsidRDefault="00F30A9B" w:rsidP="002F15D2">
            <w:pPr>
              <w:cnfStyle w:val="000000100000" w:firstRow="0" w:lastRow="0" w:firstColumn="0" w:lastColumn="0" w:oddVBand="0" w:evenVBand="0" w:oddHBand="1" w:evenHBand="0" w:firstRowFirstColumn="0" w:firstRowLastColumn="0" w:lastRowFirstColumn="0" w:lastRowLastColumn="0"/>
            </w:pPr>
            <w:r w:rsidRPr="0018437B">
              <w:t xml:space="preserve">I really wish somebody would've asked the teacher of students with visual impairments, </w:t>
            </w:r>
            <w:r w:rsidR="00C57CCC">
              <w:t>“W</w:t>
            </w:r>
            <w:r w:rsidRPr="0018437B">
              <w:t>ould you like to be a part of these conversations before we switch curriculum?</w:t>
            </w:r>
            <w:r w:rsidR="00C57CCC">
              <w:t>”</w:t>
            </w:r>
            <w:r>
              <w:t xml:space="preserve"> (OH)</w:t>
            </w:r>
          </w:p>
        </w:tc>
      </w:tr>
      <w:tr w:rsidR="00F30A9B" w:rsidRPr="00AF7B63" w14:paraId="3C5C8071" w14:textId="77777777" w:rsidTr="00C90234">
        <w:tc>
          <w:tcPr>
            <w:cnfStyle w:val="001000000000" w:firstRow="0" w:lastRow="0" w:firstColumn="1" w:lastColumn="0" w:oddVBand="0" w:evenVBand="0" w:oddHBand="0" w:evenHBand="0" w:firstRowFirstColumn="0" w:firstRowLastColumn="0" w:lastRowFirstColumn="0" w:lastRowLastColumn="0"/>
            <w:tcW w:w="3055" w:type="dxa"/>
          </w:tcPr>
          <w:p w14:paraId="44E93DA0" w14:textId="77777777" w:rsidR="00F30A9B" w:rsidRDefault="00F30A9B" w:rsidP="002F15D2">
            <w:pPr>
              <w:rPr>
                <w:rFonts w:cstheme="minorHAnsi"/>
              </w:rPr>
            </w:pPr>
          </w:p>
        </w:tc>
        <w:tc>
          <w:tcPr>
            <w:tcW w:w="6300" w:type="dxa"/>
          </w:tcPr>
          <w:p w14:paraId="42EDEAFB" w14:textId="5EE45844" w:rsidR="00F30A9B" w:rsidRPr="00AF7B63" w:rsidRDefault="00F30A9B" w:rsidP="002F15D2">
            <w:pPr>
              <w:cnfStyle w:val="000000000000" w:firstRow="0" w:lastRow="0" w:firstColumn="0" w:lastColumn="0" w:oddVBand="0" w:evenVBand="0" w:oddHBand="0" w:evenHBand="0" w:firstRowFirstColumn="0" w:firstRowLastColumn="0" w:lastRowFirstColumn="0" w:lastRowLastColumn="0"/>
            </w:pPr>
            <w:r w:rsidRPr="00A51EC9">
              <w:t xml:space="preserve">LEA staff aren't even aware that they need to consider the needs of the B/VI </w:t>
            </w:r>
            <w:r w:rsidR="00DC5AE4">
              <w:t xml:space="preserve">(blind/visually impaired) </w:t>
            </w:r>
            <w:r w:rsidRPr="00A51EC9">
              <w:t>student in the district.</w:t>
            </w:r>
            <w:r>
              <w:t xml:space="preserve"> (OH)</w:t>
            </w:r>
          </w:p>
        </w:tc>
      </w:tr>
      <w:tr w:rsidR="00F30A9B" w:rsidRPr="00AF7B63" w14:paraId="354188D1"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shd w:val="clear" w:color="auto" w:fill="D9E2F3"/>
          </w:tcPr>
          <w:p w14:paraId="25E982A6" w14:textId="77777777" w:rsidR="00F30A9B" w:rsidRDefault="00F30A9B" w:rsidP="002F15D2">
            <w:pPr>
              <w:rPr>
                <w:rFonts w:cstheme="minorHAnsi"/>
              </w:rPr>
            </w:pPr>
          </w:p>
        </w:tc>
        <w:tc>
          <w:tcPr>
            <w:tcW w:w="6300" w:type="dxa"/>
            <w:shd w:val="clear" w:color="auto" w:fill="D9E2F3"/>
          </w:tcPr>
          <w:p w14:paraId="0A45DD25" w14:textId="11DEC510" w:rsidR="00F30A9B" w:rsidRPr="00AF7B63" w:rsidRDefault="00F30A9B" w:rsidP="002F15D2">
            <w:pPr>
              <w:cnfStyle w:val="000000100000" w:firstRow="0" w:lastRow="0" w:firstColumn="0" w:lastColumn="0" w:oddVBand="0" w:evenVBand="0" w:oddHBand="1" w:evenHBand="0" w:firstRowFirstColumn="0" w:firstRowLastColumn="0" w:lastRowFirstColumn="0" w:lastRowLastColumn="0"/>
            </w:pPr>
            <w:r w:rsidRPr="00A51EC9">
              <w:t>Providers are rarely included in discussions leading to curriculum change/selection.</w:t>
            </w:r>
            <w:r w:rsidR="00B15D22">
              <w:t xml:space="preserve"> </w:t>
            </w:r>
            <w:r w:rsidRPr="00A51EC9">
              <w:t>These decisions are made without consideration for the impact on students with learning differences.</w:t>
            </w:r>
            <w:r>
              <w:t xml:space="preserve"> (OH)</w:t>
            </w:r>
          </w:p>
        </w:tc>
      </w:tr>
      <w:tr w:rsidR="00F30A9B" w:rsidRPr="00AF7B63" w14:paraId="5084CB5E" w14:textId="77777777" w:rsidTr="00C90234">
        <w:tc>
          <w:tcPr>
            <w:cnfStyle w:val="001000000000" w:firstRow="0" w:lastRow="0" w:firstColumn="1" w:lastColumn="0" w:oddVBand="0" w:evenVBand="0" w:oddHBand="0" w:evenHBand="0" w:firstRowFirstColumn="0" w:firstRowLastColumn="0" w:lastRowFirstColumn="0" w:lastRowLastColumn="0"/>
            <w:tcW w:w="3055" w:type="dxa"/>
          </w:tcPr>
          <w:p w14:paraId="7B22B469" w14:textId="77777777" w:rsidR="00F30A9B" w:rsidRDefault="00F30A9B" w:rsidP="002F15D2">
            <w:pPr>
              <w:rPr>
                <w:rFonts w:cstheme="minorHAnsi"/>
              </w:rPr>
            </w:pPr>
          </w:p>
        </w:tc>
        <w:tc>
          <w:tcPr>
            <w:tcW w:w="6300" w:type="dxa"/>
          </w:tcPr>
          <w:p w14:paraId="7D70193A" w14:textId="08737CBE" w:rsidR="00F30A9B" w:rsidRPr="00AF7B63" w:rsidRDefault="00F30A9B" w:rsidP="002F15D2">
            <w:pPr>
              <w:cnfStyle w:val="000000000000" w:firstRow="0" w:lastRow="0" w:firstColumn="0" w:lastColumn="0" w:oddVBand="0" w:evenVBand="0" w:oddHBand="0" w:evenHBand="0" w:firstRowFirstColumn="0" w:firstRowLastColumn="0" w:lastRowFirstColumn="0" w:lastRowLastColumn="0"/>
            </w:pPr>
            <w:r w:rsidRPr="00A51EC9">
              <w:t>District curriculum and technology staff do not fully understand accessibility for students who are B/VI. Many curriculum decisions are made over the summer and not communicated to the TVI. As an itinerant TVI, I'm not included in district communication regarding curriculum changes</w:t>
            </w:r>
            <w:r w:rsidR="00C57CCC">
              <w:t xml:space="preserve">, </w:t>
            </w:r>
            <w:r w:rsidRPr="00A51EC9">
              <w:t>even though I sometimes feel like I'm begging for information.</w:t>
            </w:r>
            <w:r>
              <w:t xml:space="preserve"> (OH)</w:t>
            </w:r>
          </w:p>
        </w:tc>
      </w:tr>
      <w:tr w:rsidR="00F30A9B" w:rsidRPr="00AF7B63" w14:paraId="3562F0CF"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shd w:val="clear" w:color="auto" w:fill="D9E2F3"/>
          </w:tcPr>
          <w:p w14:paraId="46A4D818" w14:textId="77777777" w:rsidR="00F30A9B" w:rsidRDefault="00F30A9B" w:rsidP="002F15D2">
            <w:pPr>
              <w:rPr>
                <w:rFonts w:cstheme="minorHAnsi"/>
              </w:rPr>
            </w:pPr>
          </w:p>
        </w:tc>
        <w:tc>
          <w:tcPr>
            <w:tcW w:w="6300" w:type="dxa"/>
            <w:shd w:val="clear" w:color="auto" w:fill="D9E2F3"/>
          </w:tcPr>
          <w:p w14:paraId="3D02F44D" w14:textId="1A0DC27A" w:rsidR="00F30A9B" w:rsidRPr="00AF7B63" w:rsidRDefault="00C00EA9" w:rsidP="002F15D2">
            <w:pPr>
              <w:cnfStyle w:val="000000100000" w:firstRow="0" w:lastRow="0" w:firstColumn="0" w:lastColumn="0" w:oddVBand="0" w:evenVBand="0" w:oddHBand="1" w:evenHBand="0" w:firstRowFirstColumn="0" w:firstRowLastColumn="0" w:lastRowFirstColumn="0" w:lastRowLastColumn="0"/>
            </w:pPr>
            <w:r>
              <w:t>U</w:t>
            </w:r>
            <w:r w:rsidRPr="0018437B">
              <w:t>sually,</w:t>
            </w:r>
            <w:r w:rsidR="00F30A9B" w:rsidRPr="0018437B">
              <w:t xml:space="preserve"> it's one of our administrators at the district level that does the final ordering. So, do they know what to order? Do they really understand what students need</w:t>
            </w:r>
            <w:r w:rsidR="00C57CCC">
              <w:t>,</w:t>
            </w:r>
            <w:r w:rsidR="00F30A9B" w:rsidRPr="0018437B">
              <w:t xml:space="preserve"> or what need</w:t>
            </w:r>
            <w:r w:rsidR="00C57CCC">
              <w:t>s</w:t>
            </w:r>
            <w:r w:rsidR="00F30A9B" w:rsidRPr="0018437B">
              <w:t xml:space="preserve"> to be ordered? I don't know that they always quite understand everything</w:t>
            </w:r>
            <w:r w:rsidR="00C57CCC">
              <w:t>.</w:t>
            </w:r>
            <w:r w:rsidR="00F30A9B" w:rsidRPr="0018437B">
              <w:t xml:space="preserve"> </w:t>
            </w:r>
            <w:r w:rsidR="00F30A9B">
              <w:t>(OR)</w:t>
            </w:r>
          </w:p>
        </w:tc>
      </w:tr>
      <w:tr w:rsidR="00F30A9B" w:rsidRPr="00AF7B63" w14:paraId="7239B131" w14:textId="77777777" w:rsidTr="00C90234">
        <w:tc>
          <w:tcPr>
            <w:cnfStyle w:val="001000000000" w:firstRow="0" w:lastRow="0" w:firstColumn="1" w:lastColumn="0" w:oddVBand="0" w:evenVBand="0" w:oddHBand="0" w:evenHBand="0" w:firstRowFirstColumn="0" w:firstRowLastColumn="0" w:lastRowFirstColumn="0" w:lastRowLastColumn="0"/>
            <w:tcW w:w="3055" w:type="dxa"/>
          </w:tcPr>
          <w:p w14:paraId="5655FCC0" w14:textId="77777777" w:rsidR="00F30A9B" w:rsidRDefault="00F30A9B" w:rsidP="002F15D2">
            <w:pPr>
              <w:rPr>
                <w:rFonts w:cstheme="minorHAnsi"/>
              </w:rPr>
            </w:pPr>
          </w:p>
        </w:tc>
        <w:tc>
          <w:tcPr>
            <w:tcW w:w="6300" w:type="dxa"/>
          </w:tcPr>
          <w:p w14:paraId="3BCE3E52" w14:textId="45EA9F66" w:rsidR="00F30A9B" w:rsidRPr="00AF7B63" w:rsidRDefault="00F30A9B" w:rsidP="002F15D2">
            <w:pPr>
              <w:cnfStyle w:val="000000000000" w:firstRow="0" w:lastRow="0" w:firstColumn="0" w:lastColumn="0" w:oddVBand="0" w:evenVBand="0" w:oddHBand="0" w:evenHBand="0" w:firstRowFirstColumn="0" w:firstRowLastColumn="0" w:lastRowFirstColumn="0" w:lastRowLastColumn="0"/>
            </w:pPr>
            <w:r w:rsidRPr="0018437B">
              <w:t xml:space="preserve">I just had a meeting with </w:t>
            </w:r>
            <w:r>
              <w:t>a state department of education</w:t>
            </w:r>
            <w:r w:rsidRPr="0018437B">
              <w:t xml:space="preserve"> the other day</w:t>
            </w:r>
            <w:r w:rsidR="0070665F">
              <w:t xml:space="preserve"> and said, </w:t>
            </w:r>
            <w:r>
              <w:t>“</w:t>
            </w:r>
            <w:r w:rsidRPr="0018437B">
              <w:t>Hey, I need in on these district curriculum conversations. You need to start putting me somewhere in these conversations just so I can say we need six to eight weeks processing time</w:t>
            </w:r>
            <w:r>
              <w:t xml:space="preserve"> to produce accessible formats</w:t>
            </w:r>
            <w:r w:rsidR="0070665F">
              <w:t>.</w:t>
            </w:r>
            <w:r>
              <w:t>”</w:t>
            </w:r>
            <w:r w:rsidRPr="0018437B">
              <w:t xml:space="preserve"> And if they have several curricula they're trying to decipher</w:t>
            </w:r>
            <w:r w:rsidR="0070665F">
              <w:t xml:space="preserve"> and decide </w:t>
            </w:r>
            <w:r w:rsidRPr="0018437B">
              <w:t>which</w:t>
            </w:r>
            <w:r w:rsidR="0070665F">
              <w:t xml:space="preserve"> to use, </w:t>
            </w:r>
            <w:r w:rsidRPr="0018437B">
              <w:t>I can say</w:t>
            </w:r>
            <w:r>
              <w:t>, “W</w:t>
            </w:r>
            <w:r w:rsidRPr="0018437B">
              <w:t>e already have this one produced</w:t>
            </w:r>
            <w:r w:rsidR="0070665F">
              <w:t>,</w:t>
            </w:r>
            <w:r w:rsidRPr="0018437B">
              <w:t xml:space="preserve"> and this would be good to go</w:t>
            </w:r>
            <w:r w:rsidR="0070665F">
              <w:t>. Or, t</w:t>
            </w:r>
            <w:r w:rsidRPr="0018437B">
              <w:t>his one would take all the time, or we already have this, or this would be easily produced versus this would be $30,000 for a book</w:t>
            </w:r>
            <w:r w:rsidR="0070665F">
              <w:t>.” J</w:t>
            </w:r>
            <w:r w:rsidRPr="0018437B">
              <w:t>ust having th</w:t>
            </w:r>
            <w:r w:rsidR="0070665F">
              <w:t>e</w:t>
            </w:r>
            <w:r w:rsidRPr="0018437B">
              <w:t xml:space="preserve"> ability to have that conversation with </w:t>
            </w:r>
            <w:r>
              <w:t>curriculum staff</w:t>
            </w:r>
            <w:r w:rsidR="0070665F">
              <w:t xml:space="preserve"> is </w:t>
            </w:r>
            <w:r w:rsidRPr="0018437B">
              <w:t xml:space="preserve">one of those things </w:t>
            </w:r>
            <w:r w:rsidR="0070665F">
              <w:t>that,</w:t>
            </w:r>
            <w:r w:rsidRPr="0018437B">
              <w:t xml:space="preserve"> if I can </w:t>
            </w:r>
            <w:r w:rsidR="0070665F" w:rsidRPr="0018437B">
              <w:t>wheedle</w:t>
            </w:r>
            <w:r w:rsidRPr="0018437B">
              <w:t xml:space="preserve"> my way into those meetings a little bit, would be phenomenal.</w:t>
            </w:r>
            <w:r>
              <w:t xml:space="preserve"> (OR)</w:t>
            </w:r>
          </w:p>
        </w:tc>
      </w:tr>
      <w:tr w:rsidR="00F30A9B" w:rsidRPr="00AF7B63" w14:paraId="3755BF62"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shd w:val="clear" w:color="auto" w:fill="D9E2F3"/>
          </w:tcPr>
          <w:p w14:paraId="4EA9A191" w14:textId="77777777" w:rsidR="00F30A9B" w:rsidRDefault="00F30A9B" w:rsidP="002F15D2">
            <w:pPr>
              <w:rPr>
                <w:rFonts w:cstheme="minorHAnsi"/>
              </w:rPr>
            </w:pPr>
          </w:p>
        </w:tc>
        <w:tc>
          <w:tcPr>
            <w:tcW w:w="6300" w:type="dxa"/>
            <w:shd w:val="clear" w:color="auto" w:fill="D9E2F3"/>
          </w:tcPr>
          <w:p w14:paraId="5CA815B6" w14:textId="2D3C80FE" w:rsidR="00F30A9B" w:rsidRPr="00AF7B63" w:rsidRDefault="00F30A9B" w:rsidP="002F15D2">
            <w:pPr>
              <w:cnfStyle w:val="000000100000" w:firstRow="0" w:lastRow="0" w:firstColumn="0" w:lastColumn="0" w:oddVBand="0" w:evenVBand="0" w:oddHBand="1" w:evenHBand="0" w:firstRowFirstColumn="0" w:firstRowLastColumn="0" w:lastRowFirstColumn="0" w:lastRowLastColumn="0"/>
            </w:pPr>
            <w:r w:rsidRPr="00A51EC9">
              <w:t>I think people making curriculum decisions have insufficient training on accessibility</w:t>
            </w:r>
            <w:r>
              <w:t>. (MN)</w:t>
            </w:r>
          </w:p>
        </w:tc>
      </w:tr>
      <w:tr w:rsidR="00F30A9B" w:rsidRPr="00AF7B63" w14:paraId="3B6757CA" w14:textId="77777777" w:rsidTr="00C90234">
        <w:tc>
          <w:tcPr>
            <w:cnfStyle w:val="001000000000" w:firstRow="0" w:lastRow="0" w:firstColumn="1" w:lastColumn="0" w:oddVBand="0" w:evenVBand="0" w:oddHBand="0" w:evenHBand="0" w:firstRowFirstColumn="0" w:firstRowLastColumn="0" w:lastRowFirstColumn="0" w:lastRowLastColumn="0"/>
            <w:tcW w:w="3055" w:type="dxa"/>
          </w:tcPr>
          <w:p w14:paraId="787CF0F4" w14:textId="51CD0EAA" w:rsidR="00F30A9B" w:rsidRDefault="00F30A9B" w:rsidP="002F15D2">
            <w:pPr>
              <w:rPr>
                <w:rFonts w:cstheme="minorHAnsi"/>
              </w:rPr>
            </w:pPr>
            <w:r>
              <w:rPr>
                <w:rFonts w:cstheme="minorHAnsi"/>
              </w:rPr>
              <w:t xml:space="preserve">Procurement staff not aware that NIMAS requirement should be included in </w:t>
            </w:r>
            <w:r w:rsidR="00BB512C">
              <w:rPr>
                <w:rFonts w:cstheme="minorHAnsi"/>
              </w:rPr>
              <w:t xml:space="preserve">procurement </w:t>
            </w:r>
            <w:r>
              <w:rPr>
                <w:rFonts w:cstheme="minorHAnsi"/>
              </w:rPr>
              <w:t>contracts (16)</w:t>
            </w:r>
          </w:p>
        </w:tc>
        <w:tc>
          <w:tcPr>
            <w:tcW w:w="6300" w:type="dxa"/>
          </w:tcPr>
          <w:p w14:paraId="6C34A9EA" w14:textId="44D3BAAA" w:rsidR="00F30A9B" w:rsidRPr="00AF7B63" w:rsidRDefault="00F04542" w:rsidP="002F15D2">
            <w:pPr>
              <w:cnfStyle w:val="000000000000" w:firstRow="0" w:lastRow="0" w:firstColumn="0" w:lastColumn="0" w:oddVBand="0" w:evenVBand="0" w:oddHBand="0" w:evenHBand="0" w:firstRowFirstColumn="0" w:firstRowLastColumn="0" w:lastRowFirstColumn="0" w:lastRowLastColumn="0"/>
            </w:pPr>
            <w:r>
              <w:t xml:space="preserve">As a TVI, </w:t>
            </w:r>
            <w:r w:rsidRPr="00F04542">
              <w:t xml:space="preserve">I have had the privilege of sitting on committees that are looking at ordering textbooks, so </w:t>
            </w:r>
            <w:r>
              <w:t>the NIMAS requirement</w:t>
            </w:r>
            <w:r w:rsidRPr="00F04542">
              <w:t xml:space="preserve"> was something I knew we needed to ask for</w:t>
            </w:r>
            <w:r w:rsidR="00B977DE">
              <w:t xml:space="preserve">. </w:t>
            </w:r>
            <w:r w:rsidRPr="00F04542">
              <w:t xml:space="preserve">I don't know </w:t>
            </w:r>
            <w:proofErr w:type="gramStart"/>
            <w:r w:rsidRPr="00F04542">
              <w:t>that</w:t>
            </w:r>
            <w:proofErr w:type="gramEnd"/>
            <w:r w:rsidRPr="00F04542">
              <w:t xml:space="preserve"> a normal teacher sitting on a committee to pick textbooks is going to think about that.</w:t>
            </w:r>
            <w:r>
              <w:t xml:space="preserve"> (OH)</w:t>
            </w:r>
          </w:p>
        </w:tc>
      </w:tr>
      <w:tr w:rsidR="00F30A9B" w:rsidRPr="00AF7B63" w14:paraId="69906A45"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shd w:val="clear" w:color="auto" w:fill="D9E2F3"/>
          </w:tcPr>
          <w:p w14:paraId="30894A28" w14:textId="77777777" w:rsidR="00F30A9B" w:rsidRDefault="00F30A9B" w:rsidP="002F15D2">
            <w:pPr>
              <w:rPr>
                <w:rFonts w:cstheme="minorHAnsi"/>
              </w:rPr>
            </w:pPr>
          </w:p>
        </w:tc>
        <w:tc>
          <w:tcPr>
            <w:tcW w:w="6300" w:type="dxa"/>
            <w:shd w:val="clear" w:color="auto" w:fill="D9E2F3"/>
          </w:tcPr>
          <w:p w14:paraId="1DEEB487" w14:textId="386C7DD5" w:rsidR="00F30A9B" w:rsidRPr="00AF7B63" w:rsidRDefault="00F04542" w:rsidP="002F15D2">
            <w:pPr>
              <w:cnfStyle w:val="000000100000" w:firstRow="0" w:lastRow="0" w:firstColumn="0" w:lastColumn="0" w:oddVBand="0" w:evenVBand="0" w:oddHBand="1" w:evenHBand="0" w:firstRowFirstColumn="0" w:firstRowLastColumn="0" w:lastRowFirstColumn="0" w:lastRowLastColumn="0"/>
            </w:pPr>
            <w:r>
              <w:t>I</w:t>
            </w:r>
            <w:r w:rsidRPr="00F04542">
              <w:t xml:space="preserve">f </w:t>
            </w:r>
            <w:r w:rsidR="00B977DE">
              <w:t>we, who are</w:t>
            </w:r>
            <w:r w:rsidRPr="00F04542">
              <w:t xml:space="preserve"> working with kids who are blind</w:t>
            </w:r>
            <w:r>
              <w:t xml:space="preserve"> and</w:t>
            </w:r>
            <w:r w:rsidRPr="00F04542">
              <w:t xml:space="preserve"> low vision don't know if </w:t>
            </w:r>
            <w:r>
              <w:t>NIMAS language in procurement contracts is</w:t>
            </w:r>
            <w:r w:rsidRPr="00F04542">
              <w:t xml:space="preserve"> a requirement in the state</w:t>
            </w:r>
            <w:r>
              <w:t xml:space="preserve">, </w:t>
            </w:r>
            <w:r w:rsidRPr="00F04542">
              <w:t xml:space="preserve">I bet lots of school districts that are adopting their curriculum don't know if </w:t>
            </w:r>
            <w:r w:rsidR="00B977DE">
              <w:t xml:space="preserve">it’s </w:t>
            </w:r>
            <w:r w:rsidRPr="00F04542">
              <w:t>a requirement. They don't even think about it</w:t>
            </w:r>
            <w:r>
              <w:t>. (OR)</w:t>
            </w:r>
          </w:p>
        </w:tc>
      </w:tr>
      <w:tr w:rsidR="00F30A9B" w:rsidRPr="00AF7B63" w14:paraId="169BBF6C" w14:textId="77777777" w:rsidTr="00C90234">
        <w:tc>
          <w:tcPr>
            <w:cnfStyle w:val="001000000000" w:firstRow="0" w:lastRow="0" w:firstColumn="1" w:lastColumn="0" w:oddVBand="0" w:evenVBand="0" w:oddHBand="0" w:evenHBand="0" w:firstRowFirstColumn="0" w:firstRowLastColumn="0" w:lastRowFirstColumn="0" w:lastRowLastColumn="0"/>
            <w:tcW w:w="3055" w:type="dxa"/>
          </w:tcPr>
          <w:p w14:paraId="7B951079" w14:textId="77777777" w:rsidR="00F30A9B" w:rsidRDefault="00F30A9B" w:rsidP="002F15D2">
            <w:pPr>
              <w:rPr>
                <w:rFonts w:cstheme="minorHAnsi"/>
              </w:rPr>
            </w:pPr>
          </w:p>
        </w:tc>
        <w:tc>
          <w:tcPr>
            <w:tcW w:w="6300" w:type="dxa"/>
          </w:tcPr>
          <w:p w14:paraId="20A5E054" w14:textId="0D2D4227" w:rsidR="00F30A9B" w:rsidRPr="00AF7B63" w:rsidRDefault="00F04542" w:rsidP="002F15D2">
            <w:pPr>
              <w:cnfStyle w:val="000000000000" w:firstRow="0" w:lastRow="0" w:firstColumn="0" w:lastColumn="0" w:oddVBand="0" w:evenVBand="0" w:oddHBand="0" w:evenHBand="0" w:firstRowFirstColumn="0" w:firstRowLastColumn="0" w:lastRowFirstColumn="0" w:lastRowLastColumn="0"/>
            </w:pPr>
            <w:r>
              <w:t>W</w:t>
            </w:r>
            <w:r w:rsidRPr="00F04542">
              <w:t xml:space="preserve">hat I've found is most of the curriculum committee folks don't know what the </w:t>
            </w:r>
            <w:r>
              <w:t>NIMAC is. (OR)</w:t>
            </w:r>
          </w:p>
        </w:tc>
      </w:tr>
      <w:tr w:rsidR="00F30A9B" w:rsidRPr="00AF7B63" w14:paraId="757AE627"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shd w:val="clear" w:color="auto" w:fill="D9E2F3"/>
          </w:tcPr>
          <w:p w14:paraId="17A197A1" w14:textId="77777777" w:rsidR="00F30A9B" w:rsidRDefault="00F30A9B" w:rsidP="002F15D2">
            <w:pPr>
              <w:rPr>
                <w:rFonts w:cstheme="minorHAnsi"/>
              </w:rPr>
            </w:pPr>
          </w:p>
        </w:tc>
        <w:tc>
          <w:tcPr>
            <w:tcW w:w="6300" w:type="dxa"/>
            <w:shd w:val="clear" w:color="auto" w:fill="D9E2F3"/>
          </w:tcPr>
          <w:p w14:paraId="2D42C48B" w14:textId="1D13526A" w:rsidR="00F30A9B" w:rsidRPr="00AF7B63" w:rsidRDefault="005C1242" w:rsidP="002F15D2">
            <w:pPr>
              <w:cnfStyle w:val="000000100000" w:firstRow="0" w:lastRow="0" w:firstColumn="0" w:lastColumn="0" w:oddVBand="0" w:evenVBand="0" w:oddHBand="1" w:evenHBand="0" w:firstRowFirstColumn="0" w:firstRowLastColumn="0" w:lastRowFirstColumn="0" w:lastRowLastColumn="0"/>
            </w:pPr>
            <w:r>
              <w:t>School districts</w:t>
            </w:r>
            <w:r w:rsidRPr="005C1242">
              <w:t xml:space="preserve"> don't understand</w:t>
            </w:r>
            <w:r w:rsidR="00B977DE">
              <w:t xml:space="preserve"> that</w:t>
            </w:r>
            <w:r>
              <w:t xml:space="preserve"> </w:t>
            </w:r>
            <w:r w:rsidRPr="005C1242">
              <w:t>when purchasing new materials</w:t>
            </w:r>
            <w:r w:rsidR="00B977DE">
              <w:t xml:space="preserve">, </w:t>
            </w:r>
            <w:r w:rsidRPr="005C1242">
              <w:t xml:space="preserve">it is their responsibility to make sure there is an accessible file in </w:t>
            </w:r>
            <w:r w:rsidR="00B977DE">
              <w:t xml:space="preserve">the </w:t>
            </w:r>
            <w:r w:rsidRPr="005C1242">
              <w:t>NIMAC</w:t>
            </w:r>
            <w:r>
              <w:t>. (CT)</w:t>
            </w:r>
          </w:p>
        </w:tc>
      </w:tr>
      <w:tr w:rsidR="00F30A9B" w:rsidRPr="00AF7B63" w14:paraId="78D5B37F" w14:textId="77777777" w:rsidTr="00C90234">
        <w:tc>
          <w:tcPr>
            <w:cnfStyle w:val="001000000000" w:firstRow="0" w:lastRow="0" w:firstColumn="1" w:lastColumn="0" w:oddVBand="0" w:evenVBand="0" w:oddHBand="0" w:evenHBand="0" w:firstRowFirstColumn="0" w:firstRowLastColumn="0" w:lastRowFirstColumn="0" w:lastRowLastColumn="0"/>
            <w:tcW w:w="3055" w:type="dxa"/>
          </w:tcPr>
          <w:p w14:paraId="6ECB1439" w14:textId="77777777" w:rsidR="00F30A9B" w:rsidRDefault="00F30A9B" w:rsidP="002F15D2">
            <w:pPr>
              <w:rPr>
                <w:rFonts w:cstheme="minorHAnsi"/>
              </w:rPr>
            </w:pPr>
          </w:p>
        </w:tc>
        <w:tc>
          <w:tcPr>
            <w:tcW w:w="6300" w:type="dxa"/>
          </w:tcPr>
          <w:p w14:paraId="7FD3BBB9" w14:textId="6A44AEF0" w:rsidR="00F30A9B" w:rsidRPr="00AF7B63" w:rsidRDefault="00F04542" w:rsidP="002F15D2">
            <w:pPr>
              <w:cnfStyle w:val="000000000000" w:firstRow="0" w:lastRow="0" w:firstColumn="0" w:lastColumn="0" w:oddVBand="0" w:evenVBand="0" w:oddHBand="0" w:evenHBand="0" w:firstRowFirstColumn="0" w:firstRowLastColumn="0" w:lastRowFirstColumn="0" w:lastRowLastColumn="0"/>
            </w:pPr>
            <w:r>
              <w:t>W</w:t>
            </w:r>
            <w:r w:rsidRPr="00F04542">
              <w:t>e have all kinds of people who order</w:t>
            </w:r>
            <w:r>
              <w:t xml:space="preserve"> educational materials</w:t>
            </w:r>
            <w:r w:rsidR="00B977DE">
              <w:t xml:space="preserve">. It </w:t>
            </w:r>
            <w:r w:rsidRPr="00F04542">
              <w:t>could be like the school secretary</w:t>
            </w:r>
            <w:r w:rsidR="00B977DE">
              <w:t>,</w:t>
            </w:r>
            <w:r w:rsidRPr="00F04542">
              <w:t xml:space="preserve"> and they don't have any idea about </w:t>
            </w:r>
            <w:r>
              <w:t>including the NIMAS requirement in procurement contracts</w:t>
            </w:r>
            <w:r w:rsidR="00B977DE">
              <w:t xml:space="preserve">. That’s </w:t>
            </w:r>
            <w:r w:rsidRPr="00F04542">
              <w:t xml:space="preserve">hard for us as the </w:t>
            </w:r>
            <w:r>
              <w:t>In</w:t>
            </w:r>
            <w:r w:rsidRPr="00F04542">
              <w:t xml:space="preserve">structional </w:t>
            </w:r>
            <w:r>
              <w:t>M</w:t>
            </w:r>
            <w:r w:rsidRPr="00F04542">
              <w:t xml:space="preserve">aterials </w:t>
            </w:r>
            <w:r>
              <w:t>C</w:t>
            </w:r>
            <w:r w:rsidRPr="00F04542">
              <w:t xml:space="preserve">enter. We have no input </w:t>
            </w:r>
            <w:r w:rsidR="00B977DE" w:rsidRPr="00F04542">
              <w:t>into</w:t>
            </w:r>
            <w:r w:rsidRPr="00F04542">
              <w:t xml:space="preserve"> any of those contracts.</w:t>
            </w:r>
            <w:r>
              <w:t xml:space="preserve"> (IA)</w:t>
            </w:r>
          </w:p>
        </w:tc>
      </w:tr>
      <w:tr w:rsidR="00F30A9B" w:rsidRPr="00AF7B63" w14:paraId="283FCFF0"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shd w:val="clear" w:color="auto" w:fill="D9E2F3"/>
          </w:tcPr>
          <w:p w14:paraId="2EDE356C" w14:textId="77777777" w:rsidR="00F30A9B" w:rsidRDefault="00F30A9B" w:rsidP="002F15D2">
            <w:pPr>
              <w:rPr>
                <w:rFonts w:cstheme="minorHAnsi"/>
              </w:rPr>
            </w:pPr>
          </w:p>
        </w:tc>
        <w:tc>
          <w:tcPr>
            <w:tcW w:w="6300" w:type="dxa"/>
            <w:shd w:val="clear" w:color="auto" w:fill="D9E2F3"/>
          </w:tcPr>
          <w:p w14:paraId="1DB44821" w14:textId="2CB18B71" w:rsidR="00F30A9B" w:rsidRPr="00AF7B63" w:rsidRDefault="005C1242" w:rsidP="002F15D2">
            <w:pPr>
              <w:cnfStyle w:val="000000100000" w:firstRow="0" w:lastRow="0" w:firstColumn="0" w:lastColumn="0" w:oddVBand="0" w:evenVBand="0" w:oddHBand="1" w:evenHBand="0" w:firstRowFirstColumn="0" w:firstRowLastColumn="0" w:lastRowFirstColumn="0" w:lastRowLastColumn="0"/>
            </w:pPr>
            <w:r w:rsidRPr="005C1242">
              <w:t>I've had a couple meetings with curriculum</w:t>
            </w:r>
            <w:r w:rsidR="00B977DE">
              <w:t>,</w:t>
            </w:r>
            <w:r w:rsidRPr="005C1242">
              <w:t xml:space="preserve"> and they don't understand that </w:t>
            </w:r>
            <w:r>
              <w:t>the NIMAS requirement in procurement contracts is</w:t>
            </w:r>
            <w:r w:rsidRPr="005C1242">
              <w:t xml:space="preserve"> needed.</w:t>
            </w:r>
            <w:r>
              <w:t xml:space="preserve"> (TX)</w:t>
            </w:r>
          </w:p>
        </w:tc>
      </w:tr>
      <w:tr w:rsidR="00F30A9B" w:rsidRPr="00AF7B63" w14:paraId="6EB1DBA5" w14:textId="77777777" w:rsidTr="00C90234">
        <w:tc>
          <w:tcPr>
            <w:cnfStyle w:val="001000000000" w:firstRow="0" w:lastRow="0" w:firstColumn="1" w:lastColumn="0" w:oddVBand="0" w:evenVBand="0" w:oddHBand="0" w:evenHBand="0" w:firstRowFirstColumn="0" w:firstRowLastColumn="0" w:lastRowFirstColumn="0" w:lastRowLastColumn="0"/>
            <w:tcW w:w="3055" w:type="dxa"/>
          </w:tcPr>
          <w:p w14:paraId="28C6B6CD" w14:textId="42B8779C" w:rsidR="00F30A9B" w:rsidRDefault="00F30A9B" w:rsidP="002F15D2">
            <w:pPr>
              <w:rPr>
                <w:rFonts w:cstheme="minorHAnsi"/>
              </w:rPr>
            </w:pPr>
            <w:r>
              <w:rPr>
                <w:rFonts w:cstheme="minorHAnsi"/>
              </w:rPr>
              <w:t>NIMAS requirement is not consistently included in procurement contracts (6)</w:t>
            </w:r>
          </w:p>
        </w:tc>
        <w:tc>
          <w:tcPr>
            <w:tcW w:w="6300" w:type="dxa"/>
          </w:tcPr>
          <w:p w14:paraId="6A5F8D05" w14:textId="7BD2B2AF" w:rsidR="00F30A9B" w:rsidRPr="00AF7B63" w:rsidRDefault="00786E85" w:rsidP="002F15D2">
            <w:pPr>
              <w:cnfStyle w:val="000000000000" w:firstRow="0" w:lastRow="0" w:firstColumn="0" w:lastColumn="0" w:oddVBand="0" w:evenVBand="0" w:oddHBand="0" w:evenHBand="0" w:firstRowFirstColumn="0" w:firstRowLastColumn="0" w:lastRowFirstColumn="0" w:lastRowLastColumn="0"/>
            </w:pPr>
            <w:r>
              <w:t>F</w:t>
            </w:r>
            <w:r w:rsidRPr="00786E85">
              <w:t>or our actual HQIM program, th</w:t>
            </w:r>
            <w:r w:rsidR="00EE0A49">
              <w:t>e</w:t>
            </w:r>
            <w:r w:rsidRPr="00786E85">
              <w:t xml:space="preserve"> </w:t>
            </w:r>
            <w:r>
              <w:t xml:space="preserve">NIMAS requirement </w:t>
            </w:r>
            <w:r w:rsidRPr="00786E85">
              <w:t>language is already included</w:t>
            </w:r>
            <w:r>
              <w:t xml:space="preserve"> in procurement contracts</w:t>
            </w:r>
            <w:r w:rsidR="00EE0A49">
              <w:t xml:space="preserve">. </w:t>
            </w:r>
            <w:r w:rsidRPr="00786E85">
              <w:t xml:space="preserve">But that doesn't exist in other contracts. </w:t>
            </w:r>
            <w:r w:rsidR="00C00EA9" w:rsidRPr="00786E85">
              <w:t>So,</w:t>
            </w:r>
            <w:r w:rsidRPr="00786E85">
              <w:t xml:space="preserve"> we're now starting to embed contract</w:t>
            </w:r>
            <w:r w:rsidR="00EE0A49">
              <w:t>s</w:t>
            </w:r>
            <w:r w:rsidRPr="00786E85">
              <w:t xml:space="preserve"> around open educational resources and copyright in our standard contracts where materials are being developed</w:t>
            </w:r>
            <w:r w:rsidR="00EE0A49">
              <w:t xml:space="preserve">. Right </w:t>
            </w:r>
            <w:r w:rsidRPr="00786E85">
              <w:t>now</w:t>
            </w:r>
            <w:r w:rsidR="00EE0A49">
              <w:t>,</w:t>
            </w:r>
            <w:r w:rsidRPr="00786E85">
              <w:t xml:space="preserve"> it's only happening in </w:t>
            </w:r>
            <w:r>
              <w:t>our department</w:t>
            </w:r>
            <w:r w:rsidRPr="00786E85">
              <w:t xml:space="preserve"> instead of our entire agency.</w:t>
            </w:r>
            <w:r>
              <w:t xml:space="preserve"> (OR)</w:t>
            </w:r>
          </w:p>
        </w:tc>
      </w:tr>
      <w:tr w:rsidR="00F30A9B" w:rsidRPr="00AF7B63" w14:paraId="0CD652F8"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shd w:val="clear" w:color="auto" w:fill="D9E2F3"/>
          </w:tcPr>
          <w:p w14:paraId="52BB8A7E" w14:textId="3BC559EF" w:rsidR="00F30A9B" w:rsidRPr="00AF7B63" w:rsidRDefault="00F30A9B" w:rsidP="002F15D2">
            <w:pPr>
              <w:rPr>
                <w:rFonts w:cstheme="minorHAnsi"/>
              </w:rPr>
            </w:pPr>
          </w:p>
        </w:tc>
        <w:tc>
          <w:tcPr>
            <w:tcW w:w="6300" w:type="dxa"/>
            <w:shd w:val="clear" w:color="auto" w:fill="D9E2F3"/>
          </w:tcPr>
          <w:p w14:paraId="7FBCE627" w14:textId="73D4BA49" w:rsidR="00F30A9B" w:rsidRPr="00AF7B63" w:rsidRDefault="005C1242" w:rsidP="002F15D2">
            <w:pPr>
              <w:cnfStyle w:val="000000100000" w:firstRow="0" w:lastRow="0" w:firstColumn="0" w:lastColumn="0" w:oddVBand="0" w:evenVBand="0" w:oddHBand="1" w:evenHBand="0" w:firstRowFirstColumn="0" w:firstRowLastColumn="0" w:lastRowFirstColumn="0" w:lastRowLastColumn="0"/>
            </w:pPr>
            <w:r w:rsidRPr="005C1242">
              <w:t>We've run into some</w:t>
            </w:r>
            <w:r>
              <w:t xml:space="preserve"> educational materials where the NIMAS requirement is </w:t>
            </w:r>
            <w:r w:rsidRPr="005C1242">
              <w:t>not in the contract</w:t>
            </w:r>
            <w:r w:rsidR="00EE0A49">
              <w:t>.</w:t>
            </w:r>
            <w:r>
              <w:t xml:space="preserve"> (TN)</w:t>
            </w:r>
          </w:p>
        </w:tc>
      </w:tr>
      <w:tr w:rsidR="005C1242" w:rsidRPr="00AF7B63" w14:paraId="7B91467B" w14:textId="77777777" w:rsidTr="00C90234">
        <w:tc>
          <w:tcPr>
            <w:cnfStyle w:val="001000000000" w:firstRow="0" w:lastRow="0" w:firstColumn="1" w:lastColumn="0" w:oddVBand="0" w:evenVBand="0" w:oddHBand="0" w:evenHBand="0" w:firstRowFirstColumn="0" w:firstRowLastColumn="0" w:lastRowFirstColumn="0" w:lastRowLastColumn="0"/>
            <w:tcW w:w="3055" w:type="dxa"/>
          </w:tcPr>
          <w:p w14:paraId="2826BD70" w14:textId="39D16C12" w:rsidR="005C1242" w:rsidRPr="00AF7B63" w:rsidRDefault="005C1242" w:rsidP="002F15D2">
            <w:pPr>
              <w:rPr>
                <w:rFonts w:cstheme="minorHAnsi"/>
              </w:rPr>
            </w:pPr>
            <w:r>
              <w:rPr>
                <w:rFonts w:cstheme="minorHAnsi"/>
              </w:rPr>
              <w:t>Turnover of procurement staff (without knowledge transfer to new staff) (5)</w:t>
            </w:r>
          </w:p>
        </w:tc>
        <w:tc>
          <w:tcPr>
            <w:tcW w:w="6300" w:type="dxa"/>
          </w:tcPr>
          <w:p w14:paraId="713E3C04" w14:textId="05ED607C" w:rsidR="005C1242" w:rsidRPr="00AF7B63" w:rsidRDefault="00786E85" w:rsidP="002F15D2">
            <w:pPr>
              <w:cnfStyle w:val="000000000000" w:firstRow="0" w:lastRow="0" w:firstColumn="0" w:lastColumn="0" w:oddVBand="0" w:evenVBand="0" w:oddHBand="0" w:evenHBand="0" w:firstRowFirstColumn="0" w:firstRowLastColumn="0" w:lastRowFirstColumn="0" w:lastRowLastColumn="0"/>
            </w:pPr>
            <w:r w:rsidRPr="00786E85">
              <w:t xml:space="preserve">There's so much turnover in </w:t>
            </w:r>
            <w:r>
              <w:t>S</w:t>
            </w:r>
            <w:r w:rsidRPr="00786E85">
              <w:t xml:space="preserve">pecial </w:t>
            </w:r>
            <w:r>
              <w:t>E</w:t>
            </w:r>
            <w:r w:rsidRPr="00786E85">
              <w:t xml:space="preserve">d </w:t>
            </w:r>
            <w:r w:rsidR="00A30628">
              <w:t>D</w:t>
            </w:r>
            <w:r w:rsidRPr="00786E85">
              <w:t xml:space="preserve">irectors and </w:t>
            </w:r>
            <w:r>
              <w:t>C</w:t>
            </w:r>
            <w:r w:rsidRPr="00786E85">
              <w:t xml:space="preserve">urriculum </w:t>
            </w:r>
            <w:r>
              <w:t>D</w:t>
            </w:r>
            <w:r w:rsidRPr="00786E85">
              <w:t xml:space="preserve">irectors, and even </w:t>
            </w:r>
            <w:r>
              <w:t>S</w:t>
            </w:r>
            <w:r w:rsidRPr="00786E85">
              <w:t xml:space="preserve">uperintendents and </w:t>
            </w:r>
            <w:r>
              <w:t>D</w:t>
            </w:r>
            <w:r w:rsidRPr="00786E85">
              <w:t xml:space="preserve">irectors of </w:t>
            </w:r>
            <w:r>
              <w:t>C</w:t>
            </w:r>
            <w:r w:rsidRPr="00786E85">
              <w:t xml:space="preserve">harter </w:t>
            </w:r>
            <w:r>
              <w:t>Sch</w:t>
            </w:r>
            <w:r w:rsidRPr="00786E85">
              <w:t>ools. I mean, turnover is constant. So</w:t>
            </w:r>
            <w:r>
              <w:t>,</w:t>
            </w:r>
            <w:r w:rsidRPr="00786E85">
              <w:t xml:space="preserve"> I sometimes think when a new superintendent comes on</w:t>
            </w:r>
            <w:r w:rsidR="00A30628">
              <w:t>,</w:t>
            </w:r>
            <w:r>
              <w:t xml:space="preserve"> accessibility </w:t>
            </w:r>
            <w:r w:rsidRPr="00786E85">
              <w:t xml:space="preserve">is going to be </w:t>
            </w:r>
            <w:r w:rsidR="00A30628">
              <w:t xml:space="preserve">on </w:t>
            </w:r>
            <w:r w:rsidRPr="00786E85">
              <w:t>the back burner because there's probably a thousand other fires going on, including hiring principals</w:t>
            </w:r>
            <w:r w:rsidR="00A30628">
              <w:t xml:space="preserve">, </w:t>
            </w:r>
            <w:r w:rsidRPr="00786E85">
              <w:t xml:space="preserve">discipline and some lawsuits. </w:t>
            </w:r>
            <w:r>
              <w:t>(UT)</w:t>
            </w:r>
          </w:p>
        </w:tc>
      </w:tr>
      <w:tr w:rsidR="00F30A9B" w:rsidRPr="00AF7B63" w14:paraId="132E6D4C"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shd w:val="clear" w:color="auto" w:fill="D9E2F3"/>
          </w:tcPr>
          <w:p w14:paraId="0F49E595" w14:textId="7B396F85" w:rsidR="00F30A9B" w:rsidRPr="00AF7B63" w:rsidRDefault="00F30A9B" w:rsidP="002F15D2">
            <w:pPr>
              <w:rPr>
                <w:rFonts w:cstheme="minorHAnsi"/>
              </w:rPr>
            </w:pPr>
          </w:p>
        </w:tc>
        <w:tc>
          <w:tcPr>
            <w:tcW w:w="6300" w:type="dxa"/>
            <w:shd w:val="clear" w:color="auto" w:fill="D9E2F3"/>
          </w:tcPr>
          <w:p w14:paraId="20F93336" w14:textId="4F3DE967" w:rsidR="00F30A9B" w:rsidRPr="00AF7B63" w:rsidRDefault="00786E85" w:rsidP="002F15D2">
            <w:pPr>
              <w:cnfStyle w:val="000000100000" w:firstRow="0" w:lastRow="0" w:firstColumn="0" w:lastColumn="0" w:oddVBand="0" w:evenVBand="0" w:oddHBand="1" w:evenHBand="0" w:firstRowFirstColumn="0" w:firstRowLastColumn="0" w:lastRowFirstColumn="0" w:lastRowLastColumn="0"/>
            </w:pPr>
            <w:r w:rsidRPr="00786E85">
              <w:t>I think people making curriculum decisions have insufficient training on accessibility</w:t>
            </w:r>
            <w:r w:rsidR="00A30628">
              <w:t>,</w:t>
            </w:r>
            <w:r w:rsidRPr="00786E85">
              <w:t xml:space="preserve"> and turnover is high.</w:t>
            </w:r>
            <w:r>
              <w:t xml:space="preserve"> (MN)</w:t>
            </w:r>
          </w:p>
        </w:tc>
      </w:tr>
      <w:tr w:rsidR="00F30A9B" w:rsidRPr="00AF7B63" w14:paraId="5D354FAC" w14:textId="77777777" w:rsidTr="00C90234">
        <w:tc>
          <w:tcPr>
            <w:cnfStyle w:val="001000000000" w:firstRow="0" w:lastRow="0" w:firstColumn="1" w:lastColumn="0" w:oddVBand="0" w:evenVBand="0" w:oddHBand="0" w:evenHBand="0" w:firstRowFirstColumn="0" w:firstRowLastColumn="0" w:lastRowFirstColumn="0" w:lastRowLastColumn="0"/>
            <w:tcW w:w="3055" w:type="dxa"/>
          </w:tcPr>
          <w:p w14:paraId="7723A571" w14:textId="52C3CE10" w:rsidR="00F30A9B" w:rsidRPr="00AF7B63" w:rsidRDefault="00F30A9B" w:rsidP="002F15D2">
            <w:pPr>
              <w:rPr>
                <w:rFonts w:cstheme="minorHAnsi"/>
              </w:rPr>
            </w:pPr>
          </w:p>
        </w:tc>
        <w:tc>
          <w:tcPr>
            <w:tcW w:w="6300" w:type="dxa"/>
          </w:tcPr>
          <w:p w14:paraId="2D8EE008" w14:textId="3F5B5CE0" w:rsidR="00F30A9B" w:rsidRPr="00AF7B63" w:rsidRDefault="00BB512C" w:rsidP="002F15D2">
            <w:pPr>
              <w:cnfStyle w:val="000000000000" w:firstRow="0" w:lastRow="0" w:firstColumn="0" w:lastColumn="0" w:oddVBand="0" w:evenVBand="0" w:oddHBand="0" w:evenHBand="0" w:firstRowFirstColumn="0" w:firstRowLastColumn="0" w:lastRowFirstColumn="0" w:lastRowLastColumn="0"/>
            </w:pPr>
            <w:r w:rsidRPr="00BB512C">
              <w:t xml:space="preserve">In my state, the SEA understands that the language regarding the NIMAS files must be in the contracts with publishers. However, we have experienced significant turnover at the SEA </w:t>
            </w:r>
            <w:r w:rsidR="00C00EA9" w:rsidRPr="00BB512C">
              <w:t>level,</w:t>
            </w:r>
            <w:r w:rsidRPr="00BB512C">
              <w:t xml:space="preserve"> and this information needs to be tracked carefully.</w:t>
            </w:r>
            <w:r>
              <w:t xml:space="preserve"> (SC)</w:t>
            </w:r>
          </w:p>
        </w:tc>
      </w:tr>
    </w:tbl>
    <w:bookmarkEnd w:id="65"/>
    <w:p w14:paraId="55D96CFE" w14:textId="1B65F2A2" w:rsidR="00F57AB2" w:rsidRDefault="00B55C67" w:rsidP="00F95B49">
      <w:pPr>
        <w:spacing w:after="0" w:line="276" w:lineRule="auto"/>
        <w:rPr>
          <w:rFonts w:ascii="Calibri" w:hAnsi="Calibri" w:cs="Calibri"/>
          <w:bCs/>
          <w:sz w:val="24"/>
          <w:szCs w:val="24"/>
        </w:rPr>
      </w:pPr>
      <w:r>
        <w:rPr>
          <w:rFonts w:ascii="ZWAdobeF" w:hAnsi="ZWAdobeF" w:cs="ZWAdobeF"/>
          <w:bCs/>
          <w:sz w:val="2"/>
          <w:szCs w:val="2"/>
        </w:rPr>
        <w:lastRenderedPageBreak/>
        <w:t>185B</w:t>
      </w:r>
      <w:r w:rsidR="00F57AB2">
        <w:rPr>
          <w:rFonts w:ascii="Calibri" w:hAnsi="Calibri" w:cs="Calibri"/>
          <w:bCs/>
          <w:sz w:val="24"/>
          <w:szCs w:val="24"/>
        </w:rPr>
        <w:t xml:space="preserve">A potential strategy to address some procurement-related challenges was described across </w:t>
      </w:r>
      <w:r w:rsidR="00467368">
        <w:rPr>
          <w:rFonts w:ascii="Calibri" w:hAnsi="Calibri" w:cs="Calibri"/>
          <w:bCs/>
          <w:sz w:val="24"/>
          <w:szCs w:val="24"/>
        </w:rPr>
        <w:t>three</w:t>
      </w:r>
      <w:r w:rsidR="00F57AB2">
        <w:rPr>
          <w:rFonts w:ascii="Calibri" w:hAnsi="Calibri" w:cs="Calibri"/>
          <w:bCs/>
          <w:sz w:val="24"/>
          <w:szCs w:val="24"/>
        </w:rPr>
        <w:t xml:space="preserve"> excerpts. </w:t>
      </w:r>
      <w:r w:rsidR="00386479">
        <w:rPr>
          <w:rFonts w:ascii="Calibri" w:hAnsi="Calibri" w:cs="Calibri"/>
          <w:bCs/>
          <w:sz w:val="24"/>
          <w:szCs w:val="24"/>
        </w:rPr>
        <w:t>P</w:t>
      </w:r>
      <w:r w:rsidR="00F57AB2">
        <w:rPr>
          <w:rFonts w:ascii="Calibri" w:hAnsi="Calibri" w:cs="Calibri"/>
          <w:bCs/>
          <w:sz w:val="24"/>
          <w:szCs w:val="24"/>
        </w:rPr>
        <w:t xml:space="preserve">articipants highlighted the utility of </w:t>
      </w:r>
      <w:r w:rsidR="00386479">
        <w:rPr>
          <w:rFonts w:ascii="Calibri" w:hAnsi="Calibri" w:cs="Calibri"/>
          <w:bCs/>
          <w:sz w:val="24"/>
          <w:szCs w:val="24"/>
        </w:rPr>
        <w:t xml:space="preserve">having </w:t>
      </w:r>
      <w:r w:rsidR="00F57AB2">
        <w:rPr>
          <w:rFonts w:ascii="Calibri" w:hAnsi="Calibri" w:cs="Calibri"/>
          <w:bCs/>
          <w:sz w:val="24"/>
          <w:szCs w:val="24"/>
        </w:rPr>
        <w:t>publishers creat</w:t>
      </w:r>
      <w:r w:rsidR="00386479">
        <w:rPr>
          <w:rFonts w:ascii="Calibri" w:hAnsi="Calibri" w:cs="Calibri"/>
          <w:bCs/>
          <w:sz w:val="24"/>
          <w:szCs w:val="24"/>
        </w:rPr>
        <w:t>e</w:t>
      </w:r>
      <w:r w:rsidR="00F57AB2">
        <w:rPr>
          <w:rFonts w:ascii="Calibri" w:hAnsi="Calibri" w:cs="Calibri"/>
          <w:bCs/>
          <w:sz w:val="24"/>
          <w:szCs w:val="24"/>
        </w:rPr>
        <w:t>, and education agencies purchas</w:t>
      </w:r>
      <w:r w:rsidR="00386479">
        <w:rPr>
          <w:rFonts w:ascii="Calibri" w:hAnsi="Calibri" w:cs="Calibri"/>
          <w:bCs/>
          <w:sz w:val="24"/>
          <w:szCs w:val="24"/>
        </w:rPr>
        <w:t>e</w:t>
      </w:r>
      <w:r w:rsidR="00F57AB2">
        <w:rPr>
          <w:rFonts w:ascii="Calibri" w:hAnsi="Calibri" w:cs="Calibri"/>
          <w:bCs/>
          <w:sz w:val="24"/>
          <w:szCs w:val="24"/>
        </w:rPr>
        <w:t xml:space="preserve">, digital curricula that are born-accessible (i.e., “make curricula accessible first rather than build curricula and then layer the accessibility on top of it”). </w:t>
      </w:r>
    </w:p>
    <w:p w14:paraId="7D8FE18F" w14:textId="77777777" w:rsidR="003D2A04" w:rsidRDefault="003D2A04" w:rsidP="00F95B49">
      <w:pPr>
        <w:spacing w:after="0" w:line="276" w:lineRule="auto"/>
        <w:rPr>
          <w:rFonts w:ascii="Calibri" w:hAnsi="Calibri" w:cs="Calibri"/>
          <w:bCs/>
          <w:sz w:val="24"/>
          <w:szCs w:val="24"/>
        </w:rPr>
      </w:pPr>
    </w:p>
    <w:p w14:paraId="4C5DD263" w14:textId="7733DB03" w:rsidR="00475A16" w:rsidRPr="009A7490" w:rsidRDefault="00B55C67" w:rsidP="00475A16">
      <w:pPr>
        <w:spacing w:after="0" w:line="276" w:lineRule="auto"/>
        <w:rPr>
          <w:rFonts w:ascii="Calibri" w:hAnsi="Calibri" w:cs="Calibri"/>
          <w:bCs/>
          <w:sz w:val="24"/>
          <w:szCs w:val="24"/>
        </w:rPr>
      </w:pPr>
      <w:r>
        <w:rPr>
          <w:rFonts w:ascii="ZWAdobeF" w:hAnsi="ZWAdobeF" w:cs="ZWAdobeF"/>
          <w:bCs/>
          <w:sz w:val="2"/>
          <w:szCs w:val="2"/>
        </w:rPr>
        <w:t>186B</w:t>
      </w:r>
      <w:r w:rsidR="00475A16">
        <w:rPr>
          <w:rFonts w:ascii="Calibri" w:hAnsi="Calibri" w:cs="Calibri"/>
          <w:bCs/>
          <w:sz w:val="24"/>
          <w:szCs w:val="24"/>
        </w:rPr>
        <w:t xml:space="preserve">To explore </w:t>
      </w:r>
      <w:r w:rsidR="001E2F98">
        <w:rPr>
          <w:rFonts w:ascii="Calibri" w:hAnsi="Calibri" w:cs="Calibri"/>
          <w:bCs/>
          <w:sz w:val="24"/>
          <w:szCs w:val="24"/>
        </w:rPr>
        <w:t xml:space="preserve">the second domain of </w:t>
      </w:r>
      <w:r w:rsidR="00475A16">
        <w:rPr>
          <w:rFonts w:ascii="Calibri" w:hAnsi="Calibri" w:cs="Calibri"/>
          <w:bCs/>
          <w:sz w:val="24"/>
          <w:szCs w:val="24"/>
        </w:rPr>
        <w:t xml:space="preserve">factors that hinder timely delivery, survey respondents </w:t>
      </w:r>
      <w:r w:rsidR="00B6118E">
        <w:rPr>
          <w:rFonts w:ascii="Calibri" w:hAnsi="Calibri" w:cs="Calibri"/>
          <w:bCs/>
          <w:sz w:val="24"/>
          <w:szCs w:val="24"/>
        </w:rPr>
        <w:t xml:space="preserve">who </w:t>
      </w:r>
      <w:r w:rsidR="001E2F98">
        <w:rPr>
          <w:rFonts w:ascii="Calibri" w:hAnsi="Calibri" w:cs="Calibri"/>
          <w:bCs/>
          <w:sz w:val="24"/>
          <w:szCs w:val="24"/>
        </w:rPr>
        <w:t xml:space="preserve">were </w:t>
      </w:r>
      <w:r w:rsidR="00B6118E">
        <w:rPr>
          <w:rFonts w:ascii="Calibri" w:hAnsi="Calibri" w:cs="Calibri"/>
          <w:bCs/>
          <w:sz w:val="24"/>
          <w:szCs w:val="24"/>
        </w:rPr>
        <w:t xml:space="preserve">NIMAC Users </w:t>
      </w:r>
      <w:r w:rsidR="00475A16">
        <w:rPr>
          <w:rFonts w:ascii="Calibri" w:hAnsi="Calibri" w:cs="Calibri"/>
          <w:bCs/>
          <w:sz w:val="24"/>
          <w:szCs w:val="24"/>
        </w:rPr>
        <w:t xml:space="preserve">were asked to </w:t>
      </w:r>
      <w:r w:rsidR="001E2F98">
        <w:rPr>
          <w:rFonts w:ascii="Calibri" w:hAnsi="Calibri" w:cs="Calibri"/>
          <w:bCs/>
          <w:sz w:val="24"/>
          <w:szCs w:val="24"/>
        </w:rPr>
        <w:t>select</w:t>
      </w:r>
      <w:r w:rsidR="00475A16">
        <w:rPr>
          <w:rFonts w:ascii="Calibri" w:hAnsi="Calibri" w:cs="Calibri"/>
          <w:bCs/>
          <w:sz w:val="24"/>
          <w:szCs w:val="24"/>
        </w:rPr>
        <w:t xml:space="preserve"> </w:t>
      </w:r>
      <w:r w:rsidR="002D1DC5">
        <w:rPr>
          <w:rFonts w:ascii="Calibri" w:hAnsi="Calibri" w:cs="Calibri"/>
          <w:bCs/>
          <w:sz w:val="24"/>
          <w:szCs w:val="24"/>
        </w:rPr>
        <w:t xml:space="preserve">from a list of </w:t>
      </w:r>
      <w:r w:rsidR="00475A16">
        <w:rPr>
          <w:rFonts w:ascii="Calibri" w:hAnsi="Calibri" w:cs="Calibri"/>
          <w:bCs/>
          <w:sz w:val="24"/>
          <w:szCs w:val="24"/>
        </w:rPr>
        <w:t xml:space="preserve">factors </w:t>
      </w:r>
      <w:r w:rsidR="001E2F98">
        <w:rPr>
          <w:rFonts w:ascii="Calibri" w:hAnsi="Calibri" w:cs="Calibri"/>
          <w:bCs/>
          <w:sz w:val="24"/>
          <w:szCs w:val="24"/>
        </w:rPr>
        <w:t xml:space="preserve">related to the NIMAC </w:t>
      </w:r>
      <w:r w:rsidR="00475A16">
        <w:rPr>
          <w:rFonts w:ascii="Calibri" w:hAnsi="Calibri" w:cs="Calibri"/>
          <w:bCs/>
          <w:sz w:val="24"/>
          <w:szCs w:val="24"/>
        </w:rPr>
        <w:t xml:space="preserve">(all of which are presented in Figure </w:t>
      </w:r>
      <w:r w:rsidR="00EE4A78">
        <w:rPr>
          <w:rFonts w:ascii="Calibri" w:hAnsi="Calibri" w:cs="Calibri"/>
          <w:bCs/>
          <w:sz w:val="24"/>
          <w:szCs w:val="24"/>
        </w:rPr>
        <w:t>25</w:t>
      </w:r>
      <w:r w:rsidR="00475A16">
        <w:rPr>
          <w:rFonts w:ascii="Calibri" w:hAnsi="Calibri" w:cs="Calibri"/>
          <w:bCs/>
          <w:sz w:val="24"/>
          <w:szCs w:val="24"/>
        </w:rPr>
        <w:t>)</w:t>
      </w:r>
      <w:r w:rsidR="00C47708">
        <w:rPr>
          <w:rFonts w:ascii="Calibri" w:hAnsi="Calibri" w:cs="Calibri"/>
          <w:bCs/>
          <w:sz w:val="24"/>
          <w:szCs w:val="24"/>
        </w:rPr>
        <w:t>.</w:t>
      </w:r>
      <w:r w:rsidR="009A7490">
        <w:rPr>
          <w:rFonts w:ascii="Calibri" w:hAnsi="Calibri" w:cs="Calibri"/>
          <w:bCs/>
          <w:sz w:val="24"/>
          <w:szCs w:val="24"/>
        </w:rPr>
        <w:t xml:space="preserve"> </w:t>
      </w:r>
      <w:r w:rsidR="00F53C10">
        <w:rPr>
          <w:rFonts w:ascii="Calibri" w:hAnsi="Calibri" w:cs="Calibri"/>
          <w:bCs/>
          <w:sz w:val="24"/>
          <w:szCs w:val="24"/>
        </w:rPr>
        <w:t>Approximately two-thirds of survey respondents indicated timely delivery is hindered when</w:t>
      </w:r>
      <w:r w:rsidR="00346ED8">
        <w:rPr>
          <w:rFonts w:ascii="Calibri" w:hAnsi="Calibri" w:cs="Calibri"/>
          <w:bCs/>
          <w:sz w:val="24"/>
          <w:szCs w:val="24"/>
        </w:rPr>
        <w:t xml:space="preserve"> there are</w:t>
      </w:r>
      <w:r w:rsidR="009A7490">
        <w:rPr>
          <w:rFonts w:ascii="Calibri" w:hAnsi="Calibri" w:cs="Calibri"/>
          <w:bCs/>
          <w:sz w:val="24"/>
          <w:szCs w:val="24"/>
        </w:rPr>
        <w:t xml:space="preserve"> “</w:t>
      </w:r>
      <w:r w:rsidR="009A7490" w:rsidRPr="009A7490">
        <w:rPr>
          <w:rFonts w:ascii="Calibri" w:hAnsi="Calibri" w:cs="Calibri"/>
          <w:bCs/>
          <w:sz w:val="24"/>
          <w:szCs w:val="24"/>
        </w:rPr>
        <w:t>Misunderstandings about the NIMAC and NIMAS files</w:t>
      </w:r>
      <w:r w:rsidR="009A7490">
        <w:rPr>
          <w:rFonts w:ascii="Calibri" w:hAnsi="Calibri" w:cs="Calibri"/>
          <w:bCs/>
          <w:sz w:val="24"/>
          <w:szCs w:val="24"/>
        </w:rPr>
        <w:t xml:space="preserve">” </w:t>
      </w:r>
      <w:r w:rsidR="00F53C10">
        <w:rPr>
          <w:rFonts w:ascii="Calibri" w:hAnsi="Calibri" w:cs="Calibri"/>
          <w:bCs/>
          <w:sz w:val="24"/>
          <w:szCs w:val="24"/>
        </w:rPr>
        <w:t xml:space="preserve">(72%) </w:t>
      </w:r>
      <w:r w:rsidR="009A7490">
        <w:rPr>
          <w:rFonts w:ascii="Calibri" w:hAnsi="Calibri" w:cs="Calibri"/>
          <w:bCs/>
          <w:sz w:val="24"/>
          <w:szCs w:val="24"/>
        </w:rPr>
        <w:t>and</w:t>
      </w:r>
      <w:r w:rsidR="00346ED8">
        <w:rPr>
          <w:rFonts w:ascii="Calibri" w:hAnsi="Calibri" w:cs="Calibri"/>
          <w:bCs/>
          <w:sz w:val="24"/>
          <w:szCs w:val="24"/>
        </w:rPr>
        <w:t xml:space="preserve"> a</w:t>
      </w:r>
      <w:r w:rsidR="009A7490">
        <w:rPr>
          <w:rFonts w:ascii="Calibri" w:hAnsi="Calibri" w:cs="Calibri"/>
          <w:bCs/>
          <w:sz w:val="24"/>
          <w:szCs w:val="24"/>
        </w:rPr>
        <w:t xml:space="preserve"> “</w:t>
      </w:r>
      <w:r w:rsidR="009A7490" w:rsidRPr="009A7490">
        <w:rPr>
          <w:rFonts w:ascii="Calibri" w:hAnsi="Calibri" w:cs="Calibri"/>
          <w:bCs/>
          <w:sz w:val="24"/>
          <w:szCs w:val="24"/>
        </w:rPr>
        <w:t>Lack of understanding or awareness of the NIMAC</w:t>
      </w:r>
      <w:r w:rsidR="009A7490">
        <w:rPr>
          <w:rFonts w:ascii="Calibri" w:hAnsi="Calibri" w:cs="Calibri"/>
          <w:bCs/>
          <w:sz w:val="24"/>
          <w:szCs w:val="24"/>
        </w:rPr>
        <w:t xml:space="preserve">” (64%). </w:t>
      </w:r>
      <w:r w:rsidR="00F53C10">
        <w:rPr>
          <w:rFonts w:ascii="Calibri" w:hAnsi="Calibri" w:cs="Calibri"/>
          <w:bCs/>
          <w:sz w:val="24"/>
          <w:szCs w:val="24"/>
        </w:rPr>
        <w:t>At least half</w:t>
      </w:r>
      <w:r w:rsidR="009A7490">
        <w:rPr>
          <w:rFonts w:ascii="Calibri" w:hAnsi="Calibri" w:cs="Calibri"/>
          <w:bCs/>
          <w:sz w:val="24"/>
          <w:szCs w:val="24"/>
        </w:rPr>
        <w:t xml:space="preserve"> endorsed “</w:t>
      </w:r>
      <w:r w:rsidR="009A7490" w:rsidRPr="009A7490">
        <w:rPr>
          <w:rFonts w:ascii="Calibri" w:hAnsi="Calibri" w:cs="Calibri"/>
          <w:bCs/>
          <w:sz w:val="24"/>
          <w:szCs w:val="24"/>
        </w:rPr>
        <w:t>Differences between printings of the textbook in the NIMAC and the textbook being used in the classroom (same ISBN)</w:t>
      </w:r>
      <w:r w:rsidR="009A7490">
        <w:rPr>
          <w:rFonts w:ascii="Calibri" w:hAnsi="Calibri" w:cs="Calibri"/>
          <w:bCs/>
          <w:sz w:val="24"/>
          <w:szCs w:val="24"/>
        </w:rPr>
        <w:t xml:space="preserve">” </w:t>
      </w:r>
      <w:r w:rsidR="00F53C10">
        <w:rPr>
          <w:rFonts w:ascii="Calibri" w:hAnsi="Calibri" w:cs="Calibri"/>
          <w:bCs/>
          <w:sz w:val="24"/>
          <w:szCs w:val="24"/>
        </w:rPr>
        <w:t xml:space="preserve">(59%) </w:t>
      </w:r>
      <w:r w:rsidR="009A7490">
        <w:rPr>
          <w:rFonts w:ascii="Calibri" w:hAnsi="Calibri" w:cs="Calibri"/>
          <w:bCs/>
          <w:sz w:val="24"/>
          <w:szCs w:val="24"/>
        </w:rPr>
        <w:t>and “</w:t>
      </w:r>
      <w:r w:rsidR="009A7490" w:rsidRPr="009A7490">
        <w:rPr>
          <w:rFonts w:ascii="Calibri" w:hAnsi="Calibri" w:cs="Calibri"/>
          <w:bCs/>
          <w:sz w:val="24"/>
          <w:szCs w:val="24"/>
        </w:rPr>
        <w:t>Teacher- or district-created curricula are not provided to the NIMAC</w:t>
      </w:r>
      <w:r w:rsidR="009A7490">
        <w:rPr>
          <w:rFonts w:ascii="Calibri" w:hAnsi="Calibri" w:cs="Calibri"/>
          <w:bCs/>
          <w:sz w:val="24"/>
          <w:szCs w:val="24"/>
        </w:rPr>
        <w:t xml:space="preserve">” </w:t>
      </w:r>
      <w:r w:rsidR="00F53C10">
        <w:rPr>
          <w:rFonts w:ascii="Calibri" w:hAnsi="Calibri" w:cs="Calibri"/>
          <w:bCs/>
          <w:sz w:val="24"/>
          <w:szCs w:val="24"/>
        </w:rPr>
        <w:t xml:space="preserve">(56%). Slightly fewer (44%) identified </w:t>
      </w:r>
      <w:r w:rsidR="009A7490">
        <w:rPr>
          <w:rFonts w:ascii="Calibri" w:hAnsi="Calibri" w:cs="Calibri"/>
          <w:bCs/>
          <w:sz w:val="24"/>
          <w:szCs w:val="24"/>
        </w:rPr>
        <w:t>“</w:t>
      </w:r>
      <w:r w:rsidR="009A7490" w:rsidRPr="009A7490">
        <w:rPr>
          <w:rFonts w:ascii="Calibri" w:hAnsi="Calibri" w:cs="Calibri"/>
          <w:bCs/>
          <w:sz w:val="24"/>
          <w:szCs w:val="24"/>
        </w:rPr>
        <w:t>Difficulties in working with NIMAS files (e</w:t>
      </w:r>
      <w:r w:rsidR="009A7490">
        <w:rPr>
          <w:rFonts w:ascii="Calibri" w:hAnsi="Calibri" w:cs="Calibri"/>
          <w:bCs/>
          <w:sz w:val="24"/>
          <w:szCs w:val="24"/>
        </w:rPr>
        <w:t>.</w:t>
      </w:r>
      <w:r w:rsidR="009A7490" w:rsidRPr="009A7490">
        <w:rPr>
          <w:rFonts w:ascii="Calibri" w:hAnsi="Calibri" w:cs="Calibri"/>
          <w:bCs/>
          <w:sz w:val="24"/>
          <w:szCs w:val="24"/>
        </w:rPr>
        <w:t>g</w:t>
      </w:r>
      <w:r w:rsidR="009A7490">
        <w:rPr>
          <w:rFonts w:ascii="Calibri" w:hAnsi="Calibri" w:cs="Calibri"/>
          <w:bCs/>
          <w:sz w:val="24"/>
          <w:szCs w:val="24"/>
        </w:rPr>
        <w:t>.</w:t>
      </w:r>
      <w:r w:rsidR="009A7490" w:rsidRPr="009A7490">
        <w:rPr>
          <w:rFonts w:ascii="Calibri" w:hAnsi="Calibri" w:cs="Calibri"/>
          <w:bCs/>
          <w:sz w:val="24"/>
          <w:szCs w:val="24"/>
        </w:rPr>
        <w:t>, lack of conversion software)</w:t>
      </w:r>
      <w:r w:rsidR="009A7490">
        <w:rPr>
          <w:rFonts w:ascii="Calibri" w:hAnsi="Calibri" w:cs="Calibri"/>
          <w:bCs/>
          <w:sz w:val="24"/>
          <w:szCs w:val="24"/>
        </w:rPr>
        <w:t xml:space="preserve">” </w:t>
      </w:r>
      <w:r w:rsidR="00F53C10">
        <w:rPr>
          <w:rFonts w:ascii="Calibri" w:hAnsi="Calibri" w:cs="Calibri"/>
          <w:bCs/>
          <w:sz w:val="24"/>
          <w:szCs w:val="24"/>
        </w:rPr>
        <w:t>as a hindrance to timely delivery</w:t>
      </w:r>
      <w:r w:rsidR="009A7490">
        <w:rPr>
          <w:rFonts w:ascii="Calibri" w:hAnsi="Calibri" w:cs="Calibri"/>
          <w:bCs/>
          <w:sz w:val="24"/>
          <w:szCs w:val="24"/>
        </w:rPr>
        <w:t>.</w:t>
      </w:r>
    </w:p>
    <w:p w14:paraId="7841417F" w14:textId="49BB3A78" w:rsidR="00475A16" w:rsidRPr="00475A16" w:rsidRDefault="00475A16" w:rsidP="004946C3">
      <w:pPr>
        <w:pStyle w:val="Heading4"/>
      </w:pPr>
      <w:bookmarkStart w:id="66" w:name="_Toc222904022"/>
      <w:r w:rsidRPr="00475A16">
        <w:lastRenderedPageBreak/>
        <w:t xml:space="preserve">Figure </w:t>
      </w:r>
      <w:r w:rsidR="00EE4A78">
        <w:t>25</w:t>
      </w:r>
      <w:r w:rsidRPr="00475A16">
        <w:t>. NIMAC-Related Factors that Hinder Timely Delivery</w:t>
      </w:r>
      <w:r w:rsidR="00B55C67">
        <w:rPr>
          <w:rFonts w:ascii="ZWAdobeF" w:hAnsi="ZWAdobeF" w:cs="ZWAdobeF"/>
          <w:i w:val="0"/>
          <w:color w:val="auto"/>
          <w:sz w:val="2"/>
          <w:szCs w:val="2"/>
        </w:rPr>
        <w:t>53F</w:t>
      </w:r>
      <w:r w:rsidRPr="00475A16">
        <w:rPr>
          <w:rStyle w:val="FootnoteReference"/>
          <w:rFonts w:cs="Calibri"/>
          <w:smallCaps/>
          <w:color w:val="44546A" w:themeColor="text2"/>
        </w:rPr>
        <w:footnoteReference w:id="55"/>
      </w:r>
      <w:bookmarkEnd w:id="66"/>
      <w:r w:rsidRPr="00475A16">
        <w:t xml:space="preserve"> </w:t>
      </w:r>
    </w:p>
    <w:p w14:paraId="4C2EC2E9" w14:textId="4082DBB7" w:rsidR="00475A16" w:rsidRPr="00B6118E" w:rsidRDefault="00B55C67" w:rsidP="00B6118E">
      <w:pPr>
        <w:jc w:val="center"/>
        <w:rPr>
          <w:color w:val="000000" w:themeColor="text1"/>
        </w:rPr>
      </w:pPr>
      <w:r>
        <w:rPr>
          <w:rFonts w:ascii="ZWAdobeF" w:hAnsi="ZWAdobeF" w:cs="ZWAdobeF"/>
          <w:sz w:val="2"/>
          <w:szCs w:val="2"/>
        </w:rPr>
        <w:t>187</w:t>
      </w:r>
      <w:proofErr w:type="gramStart"/>
      <w:r>
        <w:rPr>
          <w:rFonts w:ascii="ZWAdobeF" w:hAnsi="ZWAdobeF" w:cs="ZWAdobeF"/>
          <w:sz w:val="2"/>
          <w:szCs w:val="2"/>
        </w:rPr>
        <w:t>B</w:t>
      </w:r>
      <w:r w:rsidR="00475A16" w:rsidRPr="009A7490">
        <w:rPr>
          <w:color w:val="000000" w:themeColor="text1"/>
        </w:rPr>
        <w:t>(</w:t>
      </w:r>
      <w:proofErr w:type="gramEnd"/>
      <w:r w:rsidR="00475A16" w:rsidRPr="009A7490">
        <w:rPr>
          <w:i/>
          <w:iCs/>
          <w:color w:val="000000" w:themeColor="text1"/>
        </w:rPr>
        <w:t>n</w:t>
      </w:r>
      <w:r w:rsidR="00475A16" w:rsidRPr="009A7490">
        <w:rPr>
          <w:color w:val="000000" w:themeColor="text1"/>
        </w:rPr>
        <w:t xml:space="preserve"> = </w:t>
      </w:r>
      <w:r w:rsidR="009A7490" w:rsidRPr="009A7490">
        <w:rPr>
          <w:color w:val="000000" w:themeColor="text1"/>
        </w:rPr>
        <w:t>39</w:t>
      </w:r>
      <w:r w:rsidR="00475A16" w:rsidRPr="009A7490">
        <w:rPr>
          <w:color w:val="000000" w:themeColor="text1"/>
        </w:rPr>
        <w:t>)</w:t>
      </w:r>
      <w:r w:rsidR="00475A16" w:rsidRPr="00475A16">
        <w:rPr>
          <w:rFonts w:ascii="Times New Roman" w:hAnsi="Times New Roman" w:cs="Times New Roman"/>
          <w:noProof/>
          <w:sz w:val="24"/>
          <w:szCs w:val="24"/>
          <w:highlight w:val="magenta"/>
        </w:rPr>
        <w:drawing>
          <wp:anchor distT="0" distB="0" distL="114300" distR="114300" simplePos="0" relativeHeight="251678720" behindDoc="0" locked="0" layoutInCell="1" allowOverlap="1" wp14:anchorId="1DD85864" wp14:editId="03E2989E">
            <wp:simplePos x="0" y="0"/>
            <wp:positionH relativeFrom="column">
              <wp:posOffset>37465</wp:posOffset>
            </wp:positionH>
            <wp:positionV relativeFrom="paragraph">
              <wp:posOffset>198755</wp:posOffset>
            </wp:positionV>
            <wp:extent cx="5861685" cy="4525645"/>
            <wp:effectExtent l="0" t="0" r="5715" b="8255"/>
            <wp:wrapTopAndBottom/>
            <wp:docPr id="417092706" name="Chart 417092706" descr="Figure 25 is a horizontal bar chart showing NIMAC-related factors that hinder timely delivery of accessible formats (n = 39). Respondents reported misunderstandings about the NIMAC and NIMAS files as a barrier (72%). Lack of understanding or awareness of the NIMAC was reported by 64%. Differences between printings of the textbook in the NIMAC and the textbook used in the classroom, with the same ISBN, were reported by 59%. Teacher- or district-created curricula not being provided to the NIMAC was reported by 56%. Difficulties working with NIMAS files, such as lack of conversion software, were reported by 44%. Delays in getting files assigned by an Authorized User were reported by 28%. The NIMAC not generally receiving files for Open Educational Resources was also reported by 28%. Other factors were reported by 8%."/>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14:sizeRelV relativeFrom="margin">
              <wp14:pctHeight>0</wp14:pctHeight>
            </wp14:sizeRelV>
          </wp:anchor>
        </w:drawing>
      </w:r>
    </w:p>
    <w:p w14:paraId="38F83664" w14:textId="77777777" w:rsidR="00475A16" w:rsidRPr="00475A16" w:rsidRDefault="00475A16" w:rsidP="00475A16">
      <w:pPr>
        <w:spacing w:after="0" w:line="276" w:lineRule="auto"/>
        <w:rPr>
          <w:rFonts w:ascii="Times New Roman" w:hAnsi="Times New Roman" w:cs="Times New Roman"/>
          <w:sz w:val="24"/>
          <w:szCs w:val="24"/>
          <w:highlight w:val="magenta"/>
        </w:rPr>
      </w:pPr>
      <w:r w:rsidRPr="00475A16">
        <w:rPr>
          <w:rFonts w:ascii="Times New Roman" w:hAnsi="Times New Roman" w:cs="Times New Roman"/>
          <w:sz w:val="24"/>
          <w:szCs w:val="24"/>
          <w:highlight w:val="magenta"/>
        </w:rPr>
        <w:t xml:space="preserve"> </w:t>
      </w:r>
    </w:p>
    <w:p w14:paraId="254B7AB0" w14:textId="3D71597D" w:rsidR="00475A16" w:rsidRPr="00346ED8" w:rsidRDefault="00B55C67" w:rsidP="00475A16">
      <w:pPr>
        <w:spacing w:after="0" w:line="276" w:lineRule="auto"/>
        <w:rPr>
          <w:rFonts w:cstheme="minorHAnsi"/>
          <w:sz w:val="24"/>
          <w:szCs w:val="24"/>
        </w:rPr>
      </w:pPr>
      <w:r>
        <w:rPr>
          <w:rFonts w:ascii="ZWAdobeF" w:hAnsi="ZWAdobeF" w:cs="ZWAdobeF"/>
          <w:sz w:val="2"/>
          <w:szCs w:val="2"/>
        </w:rPr>
        <w:t>188B</w:t>
      </w:r>
      <w:r w:rsidR="00CE0967" w:rsidRPr="00346ED8">
        <w:rPr>
          <w:rFonts w:cstheme="minorHAnsi"/>
          <w:sz w:val="24"/>
          <w:szCs w:val="24"/>
        </w:rPr>
        <w:t xml:space="preserve">Due to small sample sizes, statistical testing was not conducted to compare </w:t>
      </w:r>
      <w:r w:rsidR="00475A16" w:rsidRPr="00346ED8">
        <w:rPr>
          <w:rFonts w:cstheme="minorHAnsi"/>
          <w:sz w:val="24"/>
          <w:szCs w:val="24"/>
        </w:rPr>
        <w:t xml:space="preserve">the pattern of responses displayed in Figure </w:t>
      </w:r>
      <w:r w:rsidR="003E4A22" w:rsidRPr="00346ED8">
        <w:rPr>
          <w:rFonts w:cstheme="minorHAnsi"/>
          <w:sz w:val="24"/>
          <w:szCs w:val="24"/>
        </w:rPr>
        <w:t>2</w:t>
      </w:r>
      <w:r w:rsidR="00EE4A78">
        <w:rPr>
          <w:rFonts w:cstheme="minorHAnsi"/>
          <w:sz w:val="24"/>
          <w:szCs w:val="24"/>
        </w:rPr>
        <w:t>5</w:t>
      </w:r>
      <w:r w:rsidR="00475A16" w:rsidRPr="00346ED8">
        <w:rPr>
          <w:rFonts w:cstheme="minorHAnsi"/>
          <w:sz w:val="24"/>
          <w:szCs w:val="24"/>
        </w:rPr>
        <w:t xml:space="preserve"> across</w:t>
      </w:r>
      <w:r w:rsidR="003B25F6">
        <w:rPr>
          <w:rFonts w:cstheme="minorHAnsi"/>
          <w:sz w:val="24"/>
          <w:szCs w:val="24"/>
        </w:rPr>
        <w:t xml:space="preserve"> location and role.</w:t>
      </w:r>
      <w:r w:rsidR="00475A16" w:rsidRPr="00346ED8">
        <w:rPr>
          <w:rFonts w:cstheme="minorHAnsi"/>
          <w:sz w:val="24"/>
          <w:szCs w:val="24"/>
        </w:rPr>
        <w:t xml:space="preserve"> </w:t>
      </w:r>
    </w:p>
    <w:p w14:paraId="5BAE7C0A" w14:textId="77777777" w:rsidR="00475A16" w:rsidRPr="00D37214" w:rsidRDefault="00475A16" w:rsidP="00475A16">
      <w:pPr>
        <w:spacing w:after="0" w:line="276" w:lineRule="auto"/>
        <w:rPr>
          <w:rFonts w:cstheme="minorHAnsi"/>
          <w:sz w:val="24"/>
          <w:szCs w:val="24"/>
        </w:rPr>
      </w:pPr>
    </w:p>
    <w:p w14:paraId="4FD97E1F" w14:textId="02597886" w:rsidR="00475A16" w:rsidRDefault="00B55C67" w:rsidP="00475A16">
      <w:pPr>
        <w:spacing w:after="0" w:line="276" w:lineRule="auto"/>
        <w:rPr>
          <w:rFonts w:cstheme="minorHAnsi"/>
          <w:sz w:val="24"/>
          <w:szCs w:val="24"/>
        </w:rPr>
      </w:pPr>
      <w:r>
        <w:rPr>
          <w:rFonts w:ascii="ZWAdobeF" w:hAnsi="ZWAdobeF" w:cs="ZWAdobeF"/>
          <w:sz w:val="2"/>
          <w:szCs w:val="2"/>
        </w:rPr>
        <w:t>189B</w:t>
      </w:r>
      <w:r w:rsidR="00475A16" w:rsidRPr="00D37214">
        <w:rPr>
          <w:rFonts w:cstheme="minorHAnsi"/>
          <w:sz w:val="24"/>
          <w:szCs w:val="24"/>
        </w:rPr>
        <w:t xml:space="preserve">To further explore </w:t>
      </w:r>
      <w:r w:rsidR="00D37214" w:rsidRPr="00D37214">
        <w:rPr>
          <w:rFonts w:cstheme="minorHAnsi"/>
          <w:sz w:val="24"/>
          <w:szCs w:val="24"/>
        </w:rPr>
        <w:t>NIMAC</w:t>
      </w:r>
      <w:r w:rsidR="00475A16" w:rsidRPr="00D37214">
        <w:rPr>
          <w:rFonts w:cstheme="minorHAnsi"/>
          <w:sz w:val="24"/>
          <w:szCs w:val="24"/>
        </w:rPr>
        <w:t>-related factors that hinder timely delivery, we obtained qualitative responses from interview participants and survey respondents. Interview participants were asked to describe factors that hinder timely delivery of accessible materials</w:t>
      </w:r>
      <w:r w:rsidR="003F59AA">
        <w:rPr>
          <w:rFonts w:cstheme="minorHAnsi"/>
          <w:sz w:val="24"/>
          <w:szCs w:val="24"/>
        </w:rPr>
        <w:t xml:space="preserve">, and additional questions were asked of </w:t>
      </w:r>
      <w:r w:rsidR="007248B9">
        <w:rPr>
          <w:rFonts w:cstheme="minorHAnsi"/>
          <w:sz w:val="24"/>
          <w:szCs w:val="24"/>
        </w:rPr>
        <w:t>NIMAC Users and AMPs</w:t>
      </w:r>
      <w:r w:rsidR="003F59AA">
        <w:rPr>
          <w:rFonts w:cstheme="minorHAnsi"/>
          <w:sz w:val="24"/>
          <w:szCs w:val="24"/>
        </w:rPr>
        <w:t>.</w:t>
      </w:r>
      <w:r w:rsidR="007248B9">
        <w:rPr>
          <w:rFonts w:cstheme="minorHAnsi"/>
          <w:sz w:val="24"/>
          <w:szCs w:val="24"/>
        </w:rPr>
        <w:t xml:space="preserve"> </w:t>
      </w:r>
      <w:r w:rsidR="00475A16" w:rsidRPr="00D37214">
        <w:rPr>
          <w:rFonts w:cstheme="minorHAnsi"/>
          <w:sz w:val="24"/>
          <w:szCs w:val="24"/>
        </w:rPr>
        <w:t xml:space="preserve">Survey respondents were given the opportunity to </w:t>
      </w:r>
      <w:r w:rsidR="003F59AA">
        <w:rPr>
          <w:rFonts w:cstheme="minorHAnsi"/>
          <w:sz w:val="24"/>
          <w:szCs w:val="24"/>
        </w:rPr>
        <w:t>suggest other</w:t>
      </w:r>
      <w:r w:rsidR="00475A16" w:rsidRPr="00D37214">
        <w:rPr>
          <w:rFonts w:cstheme="minorHAnsi"/>
          <w:sz w:val="24"/>
          <w:szCs w:val="24"/>
        </w:rPr>
        <w:t xml:space="preserve"> factors </w:t>
      </w:r>
      <w:r w:rsidR="003F59AA">
        <w:rPr>
          <w:rFonts w:cstheme="minorHAnsi"/>
          <w:sz w:val="24"/>
          <w:szCs w:val="24"/>
        </w:rPr>
        <w:t>and</w:t>
      </w:r>
      <w:r w:rsidR="00475A16" w:rsidRPr="00D37214">
        <w:rPr>
          <w:rFonts w:cstheme="minorHAnsi"/>
          <w:sz w:val="24"/>
          <w:szCs w:val="24"/>
        </w:rPr>
        <w:t xml:space="preserve"> to explain their selections. </w:t>
      </w:r>
    </w:p>
    <w:p w14:paraId="188075C6" w14:textId="77777777" w:rsidR="00E51A92" w:rsidRDefault="00E51A92" w:rsidP="00475A16">
      <w:pPr>
        <w:spacing w:after="0" w:line="276" w:lineRule="auto"/>
        <w:rPr>
          <w:rFonts w:cstheme="minorHAnsi"/>
          <w:sz w:val="24"/>
          <w:szCs w:val="24"/>
        </w:rPr>
      </w:pPr>
    </w:p>
    <w:p w14:paraId="22D4BC13" w14:textId="2E059194" w:rsidR="00E51A92" w:rsidRDefault="00B55C67" w:rsidP="00475A16">
      <w:pPr>
        <w:spacing w:after="0" w:line="276" w:lineRule="auto"/>
        <w:rPr>
          <w:rFonts w:cstheme="minorHAnsi"/>
          <w:sz w:val="24"/>
          <w:szCs w:val="24"/>
        </w:rPr>
      </w:pPr>
      <w:r>
        <w:rPr>
          <w:rFonts w:ascii="ZWAdobeF" w:hAnsi="ZWAdobeF" w:cs="ZWAdobeF"/>
          <w:sz w:val="2"/>
          <w:szCs w:val="2"/>
        </w:rPr>
        <w:lastRenderedPageBreak/>
        <w:t>190B</w:t>
      </w:r>
      <w:r w:rsidR="00E51A92">
        <w:rPr>
          <w:rFonts w:cstheme="minorHAnsi"/>
          <w:sz w:val="24"/>
          <w:szCs w:val="24"/>
        </w:rPr>
        <w:t xml:space="preserve">Participants’ descriptions of NIMAC-related factors that hinder timely delivery are presented by theme in Table </w:t>
      </w:r>
      <w:r w:rsidR="00177916">
        <w:rPr>
          <w:rFonts w:cstheme="minorHAnsi"/>
          <w:sz w:val="24"/>
          <w:szCs w:val="24"/>
        </w:rPr>
        <w:t>1</w:t>
      </w:r>
      <w:r w:rsidR="006A6885">
        <w:rPr>
          <w:rFonts w:cstheme="minorHAnsi"/>
          <w:sz w:val="24"/>
          <w:szCs w:val="24"/>
        </w:rPr>
        <w:t>3</w:t>
      </w:r>
      <w:r w:rsidR="00E51A92">
        <w:rPr>
          <w:rFonts w:cstheme="minorHAnsi"/>
          <w:sz w:val="24"/>
          <w:szCs w:val="24"/>
        </w:rPr>
        <w:t xml:space="preserve">. Most factors described by participants </w:t>
      </w:r>
      <w:r w:rsidR="003716AB">
        <w:rPr>
          <w:rFonts w:cstheme="minorHAnsi"/>
          <w:sz w:val="24"/>
          <w:szCs w:val="24"/>
        </w:rPr>
        <w:t xml:space="preserve">were </w:t>
      </w:r>
      <w:r w:rsidR="00E51A92">
        <w:rPr>
          <w:rFonts w:cstheme="minorHAnsi"/>
          <w:sz w:val="24"/>
          <w:szCs w:val="24"/>
        </w:rPr>
        <w:t xml:space="preserve">consistent with those presented in the survey, including </w:t>
      </w:r>
      <w:r w:rsidR="00177916">
        <w:rPr>
          <w:rFonts w:cstheme="minorHAnsi"/>
          <w:sz w:val="24"/>
          <w:szCs w:val="24"/>
        </w:rPr>
        <w:t xml:space="preserve">difficulties working with NIMAS files (22 excerpts), </w:t>
      </w:r>
      <w:r w:rsidR="00E51A92">
        <w:rPr>
          <w:rFonts w:cstheme="minorHAnsi"/>
          <w:sz w:val="24"/>
          <w:szCs w:val="24"/>
        </w:rPr>
        <w:t>the NIMAC not generally receiving files for</w:t>
      </w:r>
      <w:r w:rsidR="00346ED8">
        <w:rPr>
          <w:rFonts w:cstheme="minorHAnsi"/>
          <w:sz w:val="24"/>
          <w:szCs w:val="24"/>
        </w:rPr>
        <w:t xml:space="preserve"> open educational resources</w:t>
      </w:r>
      <w:r w:rsidR="00E51A92">
        <w:rPr>
          <w:rFonts w:cstheme="minorHAnsi"/>
          <w:sz w:val="24"/>
          <w:szCs w:val="24"/>
        </w:rPr>
        <w:t xml:space="preserve"> </w:t>
      </w:r>
      <w:r w:rsidR="00346ED8">
        <w:rPr>
          <w:rFonts w:cstheme="minorHAnsi"/>
          <w:sz w:val="24"/>
          <w:szCs w:val="24"/>
        </w:rPr>
        <w:t>(</w:t>
      </w:r>
      <w:r w:rsidR="00E51A92">
        <w:rPr>
          <w:rFonts w:cstheme="minorHAnsi"/>
          <w:sz w:val="24"/>
          <w:szCs w:val="24"/>
        </w:rPr>
        <w:t>OER</w:t>
      </w:r>
      <w:r w:rsidR="00346ED8">
        <w:rPr>
          <w:rFonts w:cstheme="minorHAnsi"/>
          <w:sz w:val="24"/>
          <w:szCs w:val="24"/>
        </w:rPr>
        <w:t>)</w:t>
      </w:r>
      <w:r w:rsidR="00E51A92">
        <w:rPr>
          <w:rFonts w:cstheme="minorHAnsi"/>
          <w:sz w:val="24"/>
          <w:szCs w:val="24"/>
        </w:rPr>
        <w:t xml:space="preserve"> (18 excerpts), teacher and district-created curricula are not provided to the NIMAC (16 excerpts), </w:t>
      </w:r>
      <w:r w:rsidR="008C34EB">
        <w:rPr>
          <w:rFonts w:cstheme="minorHAnsi"/>
          <w:sz w:val="24"/>
          <w:szCs w:val="24"/>
        </w:rPr>
        <w:t xml:space="preserve">lack of understanding/awareness of NIMAC and NIMAS files (12 excerpts), </w:t>
      </w:r>
      <w:r w:rsidR="00E51A92">
        <w:rPr>
          <w:rFonts w:cstheme="minorHAnsi"/>
          <w:sz w:val="24"/>
          <w:szCs w:val="24"/>
        </w:rPr>
        <w:t xml:space="preserve">NIMAS files that are not in the NIMAC system (10 excerpts), </w:t>
      </w:r>
      <w:r w:rsidR="008C34EB">
        <w:rPr>
          <w:rFonts w:cstheme="minorHAnsi"/>
          <w:sz w:val="24"/>
          <w:szCs w:val="24"/>
        </w:rPr>
        <w:t xml:space="preserve">and </w:t>
      </w:r>
      <w:r w:rsidR="00E51A92">
        <w:rPr>
          <w:rFonts w:cstheme="minorHAnsi"/>
          <w:sz w:val="24"/>
          <w:szCs w:val="24"/>
        </w:rPr>
        <w:t xml:space="preserve">differences between </w:t>
      </w:r>
      <w:r w:rsidR="0040153C">
        <w:rPr>
          <w:rFonts w:cstheme="minorHAnsi"/>
          <w:sz w:val="24"/>
          <w:szCs w:val="24"/>
        </w:rPr>
        <w:t>the printing of the te</w:t>
      </w:r>
      <w:r w:rsidR="00AE161D">
        <w:rPr>
          <w:rFonts w:cstheme="minorHAnsi"/>
          <w:sz w:val="24"/>
          <w:szCs w:val="24"/>
        </w:rPr>
        <w:t>xtbook submitted to the NIMAC</w:t>
      </w:r>
      <w:r w:rsidR="0040153C">
        <w:rPr>
          <w:rFonts w:cstheme="minorHAnsi"/>
          <w:sz w:val="24"/>
          <w:szCs w:val="24"/>
        </w:rPr>
        <w:t xml:space="preserve"> and the printing being used in the classroom</w:t>
      </w:r>
      <w:r w:rsidR="00E51A92">
        <w:rPr>
          <w:rFonts w:cstheme="minorHAnsi"/>
          <w:sz w:val="24"/>
          <w:szCs w:val="24"/>
        </w:rPr>
        <w:t xml:space="preserve"> (5 excerpts). </w:t>
      </w:r>
      <w:r w:rsidR="00A8597C">
        <w:rPr>
          <w:rFonts w:cstheme="minorHAnsi"/>
          <w:sz w:val="24"/>
          <w:szCs w:val="24"/>
        </w:rPr>
        <w:t>O</w:t>
      </w:r>
      <w:r w:rsidR="00E51A92">
        <w:rPr>
          <w:rFonts w:cstheme="minorHAnsi"/>
          <w:sz w:val="24"/>
          <w:szCs w:val="24"/>
        </w:rPr>
        <w:t>ne theme emerged from the qualitative data</w:t>
      </w:r>
      <w:r w:rsidR="00A8597C">
        <w:rPr>
          <w:rFonts w:cstheme="minorHAnsi"/>
          <w:sz w:val="24"/>
          <w:szCs w:val="24"/>
        </w:rPr>
        <w:t xml:space="preserve"> that was not presented in the survey</w:t>
      </w:r>
      <w:r w:rsidR="00E51A92">
        <w:rPr>
          <w:rFonts w:cstheme="minorHAnsi"/>
          <w:sz w:val="24"/>
          <w:szCs w:val="24"/>
        </w:rPr>
        <w:t>: Waiting for publishers to submit files to the NIMAC Watchlist (5 excerpts).</w:t>
      </w:r>
      <w:r w:rsidR="00B15D22">
        <w:rPr>
          <w:rFonts w:cstheme="minorHAnsi"/>
          <w:sz w:val="24"/>
          <w:szCs w:val="24"/>
        </w:rPr>
        <w:t xml:space="preserve"> </w:t>
      </w:r>
    </w:p>
    <w:p w14:paraId="4880D1AC" w14:textId="77777777" w:rsidR="00475A16" w:rsidRPr="00475A16" w:rsidRDefault="00475A16" w:rsidP="00475A16">
      <w:pPr>
        <w:spacing w:after="0" w:line="276" w:lineRule="auto"/>
        <w:rPr>
          <w:rFonts w:ascii="Times New Roman" w:hAnsi="Times New Roman" w:cs="Times New Roman"/>
          <w:sz w:val="24"/>
          <w:szCs w:val="24"/>
          <w:highlight w:val="magenta"/>
        </w:rPr>
      </w:pPr>
    </w:p>
    <w:p w14:paraId="10F89DE3" w14:textId="167619F1" w:rsidR="00475A16" w:rsidRPr="00475A16" w:rsidRDefault="00475A16" w:rsidP="004946C3">
      <w:pPr>
        <w:pStyle w:val="Heading4"/>
      </w:pPr>
      <w:bookmarkStart w:id="67" w:name="_Toc222904023"/>
      <w:r w:rsidRPr="00475A16">
        <w:t xml:space="preserve">Table </w:t>
      </w:r>
      <w:r w:rsidR="00177916">
        <w:t>1</w:t>
      </w:r>
      <w:r w:rsidR="006A6885">
        <w:t>3</w:t>
      </w:r>
      <w:r w:rsidRPr="00475A16">
        <w:t>. Qualitative Descriptions of NIMAC-Related Factors that Hinder Timely Delivery</w:t>
      </w:r>
      <w:bookmarkEnd w:id="67"/>
    </w:p>
    <w:p w14:paraId="2CCDBE3F" w14:textId="6C520489" w:rsidR="00475A16" w:rsidRPr="007414FF" w:rsidRDefault="00B55C67" w:rsidP="00475A16">
      <w:pPr>
        <w:jc w:val="center"/>
        <w:rPr>
          <w:rFonts w:ascii="Calibri" w:hAnsi="Calibri" w:cs="Calibri"/>
        </w:rPr>
      </w:pPr>
      <w:r>
        <w:rPr>
          <w:rFonts w:ascii="ZWAdobeF" w:hAnsi="ZWAdobeF" w:cs="ZWAdobeF"/>
          <w:sz w:val="2"/>
          <w:szCs w:val="2"/>
        </w:rPr>
        <w:t>191</w:t>
      </w:r>
      <w:proofErr w:type="gramStart"/>
      <w:r>
        <w:rPr>
          <w:rFonts w:ascii="ZWAdobeF" w:hAnsi="ZWAdobeF" w:cs="ZWAdobeF"/>
          <w:sz w:val="2"/>
          <w:szCs w:val="2"/>
        </w:rPr>
        <w:t>B</w:t>
      </w:r>
      <w:r w:rsidR="00475A16" w:rsidRPr="007414FF">
        <w:rPr>
          <w:rFonts w:ascii="Calibri" w:hAnsi="Calibri" w:cs="Calibri"/>
        </w:rPr>
        <w:t>(</w:t>
      </w:r>
      <w:proofErr w:type="gramEnd"/>
      <w:r w:rsidR="007414FF" w:rsidRPr="007414FF">
        <w:rPr>
          <w:rFonts w:ascii="Calibri" w:hAnsi="Calibri" w:cs="Calibri"/>
        </w:rPr>
        <w:t>81</w:t>
      </w:r>
      <w:r w:rsidR="00475A16" w:rsidRPr="007414FF">
        <w:rPr>
          <w:rFonts w:ascii="Calibri" w:hAnsi="Calibri" w:cs="Calibri"/>
        </w:rPr>
        <w:t xml:space="preserve"> excerpts)</w:t>
      </w:r>
    </w:p>
    <w:tbl>
      <w:tblPr>
        <w:tblStyle w:val="GridTable4"/>
        <w:tblW w:w="9355" w:type="dxa"/>
        <w:tblLook w:val="04A0" w:firstRow="1" w:lastRow="0" w:firstColumn="1" w:lastColumn="0" w:noHBand="0" w:noVBand="1"/>
        <w:tblCaption w:val="Table 12. Qualitative Descriptions of NIMAC-Related Factors that Hinder Timely Delivery"/>
      </w:tblPr>
      <w:tblGrid>
        <w:gridCol w:w="3055"/>
        <w:gridCol w:w="6300"/>
      </w:tblGrid>
      <w:tr w:rsidR="00475A16" w:rsidRPr="00475A16" w14:paraId="50D60115" w14:textId="77777777" w:rsidTr="00B97982">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055" w:type="dxa"/>
            <w:shd w:val="clear" w:color="auto" w:fill="44546A" w:themeFill="text2"/>
            <w:vAlign w:val="center"/>
          </w:tcPr>
          <w:p w14:paraId="6C0833E0" w14:textId="497DBD3C" w:rsidR="00475A16" w:rsidRPr="00475A16" w:rsidRDefault="00475A16" w:rsidP="002F15D2">
            <w:pPr>
              <w:jc w:val="center"/>
              <w:rPr>
                <w:rFonts w:cstheme="minorHAnsi"/>
              </w:rPr>
            </w:pPr>
            <w:bookmarkStart w:id="68" w:name="_Hlk216011786"/>
            <w:r>
              <w:rPr>
                <w:rFonts w:cstheme="minorHAnsi"/>
              </w:rPr>
              <w:t>NIMAC</w:t>
            </w:r>
            <w:r w:rsidRPr="00475A16">
              <w:rPr>
                <w:rFonts w:cstheme="minorHAnsi"/>
              </w:rPr>
              <w:t>-Related Factors that Hinder Timely Delivery</w:t>
            </w:r>
          </w:p>
        </w:tc>
        <w:tc>
          <w:tcPr>
            <w:tcW w:w="6300" w:type="dxa"/>
            <w:shd w:val="clear" w:color="auto" w:fill="44546A" w:themeFill="text2"/>
            <w:vAlign w:val="center"/>
          </w:tcPr>
          <w:p w14:paraId="11BB1309" w14:textId="77777777" w:rsidR="00475A16" w:rsidRPr="00475A16" w:rsidRDefault="00475A16" w:rsidP="002F15D2">
            <w:pPr>
              <w:jc w:val="center"/>
              <w:cnfStyle w:val="100000000000" w:firstRow="1" w:lastRow="0" w:firstColumn="0" w:lastColumn="0" w:oddVBand="0" w:evenVBand="0" w:oddHBand="0" w:evenHBand="0" w:firstRowFirstColumn="0" w:firstRowLastColumn="0" w:lastRowFirstColumn="0" w:lastRowLastColumn="0"/>
              <w:rPr>
                <w:rFonts w:cstheme="minorHAnsi"/>
              </w:rPr>
            </w:pPr>
            <w:r w:rsidRPr="00475A16">
              <w:rPr>
                <w:rFonts w:cstheme="minorHAnsi"/>
              </w:rPr>
              <w:t>Representative Quotations</w:t>
            </w:r>
          </w:p>
        </w:tc>
      </w:tr>
      <w:tr w:rsidR="00093EDF" w:rsidRPr="00475A16" w14:paraId="3644FA6D"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shd w:val="clear" w:color="auto" w:fill="D9E2F3"/>
          </w:tcPr>
          <w:p w14:paraId="3CF4610A" w14:textId="322BC48F" w:rsidR="00093EDF" w:rsidRPr="00475A16" w:rsidRDefault="00093EDF" w:rsidP="002F15D2">
            <w:pPr>
              <w:rPr>
                <w:rFonts w:cstheme="minorHAnsi"/>
              </w:rPr>
            </w:pPr>
            <w:bookmarkStart w:id="69" w:name="_Hlk215926539"/>
            <w:r w:rsidRPr="00805F18">
              <w:t>Difficulties working with NIMAS files</w:t>
            </w:r>
            <w:r>
              <w:t xml:space="preserve"> (22)</w:t>
            </w:r>
          </w:p>
        </w:tc>
        <w:tc>
          <w:tcPr>
            <w:tcW w:w="6300" w:type="dxa"/>
            <w:shd w:val="clear" w:color="auto" w:fill="D9E2F3"/>
          </w:tcPr>
          <w:p w14:paraId="063B9161" w14:textId="5EA6BEA9" w:rsidR="00093EDF" w:rsidRPr="00475A16" w:rsidRDefault="00093EDF" w:rsidP="002F15D2">
            <w:pPr>
              <w:cnfStyle w:val="000000100000" w:firstRow="0" w:lastRow="0" w:firstColumn="0" w:lastColumn="0" w:oddVBand="0" w:evenVBand="0" w:oddHBand="1" w:evenHBand="0" w:firstRowFirstColumn="0" w:firstRowLastColumn="0" w:lastRowFirstColumn="0" w:lastRowLastColumn="0"/>
            </w:pPr>
            <w:r w:rsidRPr="00D15599">
              <w:t>When some math content is plain text and some math content is MathML, it slows down the production process.</w:t>
            </w:r>
            <w:r>
              <w:t xml:space="preserve"> (OR)</w:t>
            </w:r>
          </w:p>
        </w:tc>
      </w:tr>
      <w:tr w:rsidR="00093EDF" w:rsidRPr="00475A16" w14:paraId="6CD1B345" w14:textId="77777777" w:rsidTr="00B97982">
        <w:tc>
          <w:tcPr>
            <w:cnfStyle w:val="001000000000" w:firstRow="0" w:lastRow="0" w:firstColumn="1" w:lastColumn="0" w:oddVBand="0" w:evenVBand="0" w:oddHBand="0" w:evenHBand="0" w:firstRowFirstColumn="0" w:firstRowLastColumn="0" w:lastRowFirstColumn="0" w:lastRowLastColumn="0"/>
            <w:tcW w:w="3055" w:type="dxa"/>
          </w:tcPr>
          <w:p w14:paraId="59946D25" w14:textId="77777777" w:rsidR="00093EDF" w:rsidRPr="00805F18" w:rsidRDefault="00093EDF" w:rsidP="002F15D2"/>
        </w:tc>
        <w:tc>
          <w:tcPr>
            <w:tcW w:w="6300" w:type="dxa"/>
          </w:tcPr>
          <w:p w14:paraId="2E2C1942" w14:textId="353D7214" w:rsidR="00093EDF" w:rsidRPr="00475A16" w:rsidRDefault="00093EDF" w:rsidP="002F15D2">
            <w:pPr>
              <w:cnfStyle w:val="000000000000" w:firstRow="0" w:lastRow="0" w:firstColumn="0" w:lastColumn="0" w:oddVBand="0" w:evenVBand="0" w:oddHBand="0" w:evenHBand="0" w:firstRowFirstColumn="0" w:firstRowLastColumn="0" w:lastRowFirstColumn="0" w:lastRowLastColumn="0"/>
            </w:pPr>
            <w:r w:rsidRPr="00D15599">
              <w:t>Inconsistent use of MathML can be a big challenge that can really slow down production.</w:t>
            </w:r>
            <w:r>
              <w:t xml:space="preserve"> (OR)</w:t>
            </w:r>
          </w:p>
        </w:tc>
      </w:tr>
      <w:tr w:rsidR="00093EDF" w:rsidRPr="00475A16" w14:paraId="009BE517"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shd w:val="clear" w:color="auto" w:fill="D9E2F3"/>
          </w:tcPr>
          <w:p w14:paraId="04BF9C31" w14:textId="77777777" w:rsidR="00093EDF" w:rsidRPr="00805F18" w:rsidRDefault="00093EDF" w:rsidP="002F15D2"/>
        </w:tc>
        <w:tc>
          <w:tcPr>
            <w:tcW w:w="6300" w:type="dxa"/>
            <w:shd w:val="clear" w:color="auto" w:fill="D9E2F3"/>
          </w:tcPr>
          <w:p w14:paraId="45D7BDDF" w14:textId="77A68563" w:rsidR="00093EDF" w:rsidRPr="00475A16" w:rsidRDefault="00093EDF" w:rsidP="002F15D2">
            <w:pPr>
              <w:cnfStyle w:val="000000100000" w:firstRow="0" w:lastRow="0" w:firstColumn="0" w:lastColumn="0" w:oddVBand="0" w:evenVBand="0" w:oddHBand="1" w:evenHBand="0" w:firstRowFirstColumn="0" w:firstRowLastColumn="0" w:lastRowFirstColumn="0" w:lastRowLastColumn="0"/>
            </w:pPr>
            <w:r w:rsidRPr="00D15599">
              <w:t xml:space="preserve">To my knowledge, there was a time not too long ago </w:t>
            </w:r>
            <w:r w:rsidR="00FC2C06" w:rsidRPr="00D15599">
              <w:t>when</w:t>
            </w:r>
            <w:r w:rsidRPr="00D15599">
              <w:t xml:space="preserve"> NIMAS files weren't being used here because staff did not know how to work with them.</w:t>
            </w:r>
            <w:r>
              <w:t xml:space="preserve"> (OR)</w:t>
            </w:r>
          </w:p>
        </w:tc>
      </w:tr>
      <w:tr w:rsidR="00093EDF" w:rsidRPr="00475A16" w14:paraId="342E5EEF" w14:textId="77777777" w:rsidTr="00B97982">
        <w:tc>
          <w:tcPr>
            <w:cnfStyle w:val="001000000000" w:firstRow="0" w:lastRow="0" w:firstColumn="1" w:lastColumn="0" w:oddVBand="0" w:evenVBand="0" w:oddHBand="0" w:evenHBand="0" w:firstRowFirstColumn="0" w:firstRowLastColumn="0" w:lastRowFirstColumn="0" w:lastRowLastColumn="0"/>
            <w:tcW w:w="3055" w:type="dxa"/>
          </w:tcPr>
          <w:p w14:paraId="6BD894AC" w14:textId="77777777" w:rsidR="00093EDF" w:rsidRPr="00805F18" w:rsidRDefault="00093EDF" w:rsidP="002F15D2"/>
        </w:tc>
        <w:tc>
          <w:tcPr>
            <w:tcW w:w="6300" w:type="dxa"/>
          </w:tcPr>
          <w:p w14:paraId="6ECC7195" w14:textId="4F9F229F" w:rsidR="00093EDF" w:rsidRPr="00475A16" w:rsidRDefault="00093EDF" w:rsidP="002F15D2">
            <w:pPr>
              <w:cnfStyle w:val="000000000000" w:firstRow="0" w:lastRow="0" w:firstColumn="0" w:lastColumn="0" w:oddVBand="0" w:evenVBand="0" w:oddHBand="0" w:evenHBand="0" w:firstRowFirstColumn="0" w:firstRowLastColumn="0" w:lastRowFirstColumn="0" w:lastRowLastColumn="0"/>
            </w:pPr>
            <w:r>
              <w:t>W</w:t>
            </w:r>
            <w:r w:rsidRPr="00D15599">
              <w:t xml:space="preserve">e don't use the </w:t>
            </w:r>
            <w:r>
              <w:t>NIMAS file</w:t>
            </w:r>
            <w:r w:rsidRPr="00D15599">
              <w:t xml:space="preserve"> for large print books because basically our process is to scan it, clean it, enlarge it, print it</w:t>
            </w:r>
            <w:r w:rsidR="00FC2C06">
              <w:t>,</w:t>
            </w:r>
            <w:r w:rsidRPr="00D15599">
              <w:t xml:space="preserve"> and bind</w:t>
            </w:r>
            <w:r w:rsidR="00FC2C06">
              <w:t xml:space="preserve"> it. </w:t>
            </w:r>
            <w:r>
              <w:t xml:space="preserve">The NIMAS file </w:t>
            </w:r>
            <w:r w:rsidRPr="00D15599">
              <w:t>format is kind of a hindrance to large print, unless we're going to reflow it, which we hardly do</w:t>
            </w:r>
            <w:r w:rsidR="00FC2C06">
              <w:t>.</w:t>
            </w:r>
            <w:r>
              <w:t xml:space="preserve"> (UT)</w:t>
            </w:r>
          </w:p>
        </w:tc>
      </w:tr>
      <w:tr w:rsidR="00093EDF" w:rsidRPr="00475A16" w14:paraId="4EF1CAD7"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shd w:val="clear" w:color="auto" w:fill="D9E2F3"/>
          </w:tcPr>
          <w:p w14:paraId="50EAEDD0" w14:textId="77777777" w:rsidR="00093EDF" w:rsidRPr="00805F18" w:rsidRDefault="00093EDF" w:rsidP="002F15D2"/>
        </w:tc>
        <w:tc>
          <w:tcPr>
            <w:tcW w:w="6300" w:type="dxa"/>
            <w:shd w:val="clear" w:color="auto" w:fill="D9E2F3"/>
          </w:tcPr>
          <w:p w14:paraId="5FB21C3A" w14:textId="5488AD88" w:rsidR="00093EDF" w:rsidRPr="00475A16" w:rsidRDefault="00093EDF" w:rsidP="002F15D2">
            <w:pPr>
              <w:cnfStyle w:val="000000100000" w:firstRow="0" w:lastRow="0" w:firstColumn="0" w:lastColumn="0" w:oddVBand="0" w:evenVBand="0" w:oddHBand="1" w:evenHBand="0" w:firstRowFirstColumn="0" w:firstRowLastColumn="0" w:lastRowFirstColumn="0" w:lastRowLastColumn="0"/>
            </w:pPr>
            <w:r w:rsidRPr="00093EDF">
              <w:t>I work with the NIMAC for all large print orders we receive</w:t>
            </w:r>
            <w:r w:rsidR="00FC2C06">
              <w:t>,</w:t>
            </w:r>
            <w:r w:rsidRPr="00093EDF">
              <w:t xml:space="preserve"> and it generally is ok. There are some issues from time to time. Mainly</w:t>
            </w:r>
            <w:r w:rsidR="00FC2C06">
              <w:t>,</w:t>
            </w:r>
            <w:r>
              <w:t xml:space="preserve"> </w:t>
            </w:r>
            <w:r w:rsidRPr="00093EDF">
              <w:t>some of the files, at times, can make formatting more difficult.</w:t>
            </w:r>
            <w:r>
              <w:t xml:space="preserve"> (KY)</w:t>
            </w:r>
          </w:p>
        </w:tc>
      </w:tr>
      <w:tr w:rsidR="00093EDF" w:rsidRPr="00475A16" w14:paraId="2B14EBD4" w14:textId="77777777" w:rsidTr="00B97982">
        <w:tc>
          <w:tcPr>
            <w:cnfStyle w:val="001000000000" w:firstRow="0" w:lastRow="0" w:firstColumn="1" w:lastColumn="0" w:oddVBand="0" w:evenVBand="0" w:oddHBand="0" w:evenHBand="0" w:firstRowFirstColumn="0" w:firstRowLastColumn="0" w:lastRowFirstColumn="0" w:lastRowLastColumn="0"/>
            <w:tcW w:w="3055" w:type="dxa"/>
          </w:tcPr>
          <w:p w14:paraId="53222C16" w14:textId="77777777" w:rsidR="00093EDF" w:rsidRPr="00805F18" w:rsidRDefault="00093EDF" w:rsidP="002F15D2"/>
        </w:tc>
        <w:tc>
          <w:tcPr>
            <w:tcW w:w="6300" w:type="dxa"/>
          </w:tcPr>
          <w:p w14:paraId="61022A12" w14:textId="41C5AADB" w:rsidR="00093EDF" w:rsidRPr="00475A16" w:rsidRDefault="00093EDF" w:rsidP="002F15D2">
            <w:pPr>
              <w:cnfStyle w:val="000000000000" w:firstRow="0" w:lastRow="0" w:firstColumn="0" w:lastColumn="0" w:oddVBand="0" w:evenVBand="0" w:oddHBand="0" w:evenHBand="0" w:firstRowFirstColumn="0" w:firstRowLastColumn="0" w:lastRowFirstColumn="0" w:lastRowLastColumn="0"/>
            </w:pPr>
            <w:r>
              <w:t xml:space="preserve">I will tell you, for some of </w:t>
            </w:r>
            <w:r w:rsidR="00FC2C06">
              <w:t xml:space="preserve">the </w:t>
            </w:r>
            <w:r>
              <w:t xml:space="preserve">more novice AMPs, </w:t>
            </w:r>
            <w:r w:rsidR="00FC2C06">
              <w:t xml:space="preserve">NIMAS files are </w:t>
            </w:r>
            <w:r>
              <w:t>almost intimidating. Those files are so big</w:t>
            </w:r>
            <w:r w:rsidR="00FC2C06">
              <w:t>.</w:t>
            </w:r>
            <w:r>
              <w:t xml:space="preserve"> And </w:t>
            </w:r>
            <w:r w:rsidR="00FC2C06">
              <w:t xml:space="preserve">it’s difficult to </w:t>
            </w:r>
            <w:r>
              <w:t>understand the tactile graphics</w:t>
            </w:r>
            <w:r w:rsidR="00FC2C06">
              <w:t>,</w:t>
            </w:r>
            <w:r>
              <w:t xml:space="preserve"> the text</w:t>
            </w:r>
            <w:r w:rsidR="00FC2C06">
              <w:t>,</w:t>
            </w:r>
            <w:r>
              <w:t xml:space="preserve"> and </w:t>
            </w:r>
            <w:r w:rsidR="00FC2C06">
              <w:t>that w</w:t>
            </w:r>
            <w:r>
              <w:t>hen you open this, it's not going to look like a PDF of the book.</w:t>
            </w:r>
            <w:r w:rsidR="00FC2C06">
              <w:t xml:space="preserve"> </w:t>
            </w:r>
            <w:r>
              <w:t>(NC)</w:t>
            </w:r>
          </w:p>
        </w:tc>
      </w:tr>
      <w:tr w:rsidR="00093EDF" w:rsidRPr="00475A16" w14:paraId="1318F70A"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shd w:val="clear" w:color="auto" w:fill="D9E2F3"/>
          </w:tcPr>
          <w:p w14:paraId="24EB2B2F" w14:textId="77777777" w:rsidR="00093EDF" w:rsidRPr="00805F18" w:rsidRDefault="00093EDF" w:rsidP="002F15D2"/>
        </w:tc>
        <w:tc>
          <w:tcPr>
            <w:tcW w:w="6300" w:type="dxa"/>
            <w:shd w:val="clear" w:color="auto" w:fill="D9E2F3"/>
          </w:tcPr>
          <w:p w14:paraId="6CE472E7" w14:textId="463536AB" w:rsidR="00093EDF" w:rsidRPr="00475A16" w:rsidRDefault="00093EDF" w:rsidP="002F15D2">
            <w:pPr>
              <w:cnfStyle w:val="000000100000" w:firstRow="0" w:lastRow="0" w:firstColumn="0" w:lastColumn="0" w:oddVBand="0" w:evenVBand="0" w:oddHBand="1" w:evenHBand="0" w:firstRowFirstColumn="0" w:firstRowLastColumn="0" w:lastRowFirstColumn="0" w:lastRowLastColumn="0"/>
            </w:pPr>
            <w:r w:rsidRPr="00093EDF">
              <w:t>Although NIMA</w:t>
            </w:r>
            <w:r w:rsidR="002D0BBF">
              <w:t>S</w:t>
            </w:r>
            <w:r w:rsidRPr="00093EDF">
              <w:t xml:space="preserve"> files are quite useful, they are incomplete and need work.</w:t>
            </w:r>
            <w:r>
              <w:t xml:space="preserve"> (NC)</w:t>
            </w:r>
          </w:p>
        </w:tc>
      </w:tr>
      <w:tr w:rsidR="00093EDF" w:rsidRPr="00475A16" w14:paraId="5D1E7E67" w14:textId="77777777" w:rsidTr="00B97982">
        <w:tc>
          <w:tcPr>
            <w:cnfStyle w:val="001000000000" w:firstRow="0" w:lastRow="0" w:firstColumn="1" w:lastColumn="0" w:oddVBand="0" w:evenVBand="0" w:oddHBand="0" w:evenHBand="0" w:firstRowFirstColumn="0" w:firstRowLastColumn="0" w:lastRowFirstColumn="0" w:lastRowLastColumn="0"/>
            <w:tcW w:w="3055" w:type="dxa"/>
          </w:tcPr>
          <w:p w14:paraId="67DE97DD" w14:textId="77777777" w:rsidR="00093EDF" w:rsidRPr="00805F18" w:rsidRDefault="00093EDF" w:rsidP="002F15D2"/>
        </w:tc>
        <w:tc>
          <w:tcPr>
            <w:tcW w:w="6300" w:type="dxa"/>
          </w:tcPr>
          <w:p w14:paraId="6174E914" w14:textId="663D574B" w:rsidR="00093EDF" w:rsidRPr="00475A16" w:rsidRDefault="00093EDF" w:rsidP="002F15D2">
            <w:pPr>
              <w:cnfStyle w:val="000000000000" w:firstRow="0" w:lastRow="0" w:firstColumn="0" w:lastColumn="0" w:oddVBand="0" w:evenVBand="0" w:oddHBand="0" w:evenHBand="0" w:firstRowFirstColumn="0" w:firstRowLastColumn="0" w:lastRowFirstColumn="0" w:lastRowLastColumn="0"/>
            </w:pPr>
            <w:r w:rsidRPr="00093EDF">
              <w:t>I've recently been added as an authorized user for our state account and have been working to adapt files into EPUB for students. While the process is a bit cumbersome</w:t>
            </w:r>
            <w:r w:rsidR="00FC2C06">
              <w:t>,</w:t>
            </w:r>
            <w:r w:rsidRPr="00093EDF">
              <w:t xml:space="preserve"> it is very helpful to have the ability to produce materials in this format.</w:t>
            </w:r>
            <w:r>
              <w:t xml:space="preserve"> (PA)</w:t>
            </w:r>
          </w:p>
        </w:tc>
      </w:tr>
      <w:tr w:rsidR="00093EDF" w:rsidRPr="00475A16" w14:paraId="186BFD85"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shd w:val="clear" w:color="auto" w:fill="D9E2F3"/>
          </w:tcPr>
          <w:p w14:paraId="3BBD0B04" w14:textId="77777777" w:rsidR="00093EDF" w:rsidRPr="00805F18" w:rsidRDefault="00093EDF" w:rsidP="002F15D2"/>
        </w:tc>
        <w:tc>
          <w:tcPr>
            <w:tcW w:w="6300" w:type="dxa"/>
            <w:shd w:val="clear" w:color="auto" w:fill="D9E2F3"/>
          </w:tcPr>
          <w:p w14:paraId="5E5C5D16" w14:textId="47136B62" w:rsidR="00093EDF" w:rsidRPr="00475A16" w:rsidRDefault="00FC2C06" w:rsidP="002F15D2">
            <w:pPr>
              <w:cnfStyle w:val="000000100000" w:firstRow="0" w:lastRow="0" w:firstColumn="0" w:lastColumn="0" w:oddVBand="0" w:evenVBand="0" w:oddHBand="1" w:evenHBand="0" w:firstRowFirstColumn="0" w:firstRowLastColumn="0" w:lastRowFirstColumn="0" w:lastRowLastColumn="0"/>
            </w:pPr>
            <w:r>
              <w:t>T</w:t>
            </w:r>
            <w:r w:rsidR="00093EDF" w:rsidRPr="00093EDF">
              <w:t>hat was kind of the most difficult part</w:t>
            </w:r>
            <w:r>
              <w:t xml:space="preserve">—working </w:t>
            </w:r>
            <w:r w:rsidR="00093EDF">
              <w:t>with NIMAS files initially</w:t>
            </w:r>
            <w:r w:rsidR="00093EDF" w:rsidRPr="00093EDF">
              <w:t>, not knowing where to start, how to get it downloaded, where does it go</w:t>
            </w:r>
            <w:r>
              <w:t xml:space="preserve">. </w:t>
            </w:r>
            <w:r w:rsidR="00093EDF" w:rsidRPr="00093EDF">
              <w:t>I've watched a few YouTubes to get it going.</w:t>
            </w:r>
            <w:r w:rsidR="00093EDF">
              <w:t xml:space="preserve"> (TX)</w:t>
            </w:r>
          </w:p>
        </w:tc>
      </w:tr>
      <w:tr w:rsidR="0019409A" w:rsidRPr="00475A16" w14:paraId="516BA164" w14:textId="77777777" w:rsidTr="00B97982">
        <w:tc>
          <w:tcPr>
            <w:cnfStyle w:val="001000000000" w:firstRow="0" w:lastRow="0" w:firstColumn="1" w:lastColumn="0" w:oddVBand="0" w:evenVBand="0" w:oddHBand="0" w:evenHBand="0" w:firstRowFirstColumn="0" w:firstRowLastColumn="0" w:lastRowFirstColumn="0" w:lastRowLastColumn="0"/>
            <w:tcW w:w="3055" w:type="dxa"/>
          </w:tcPr>
          <w:p w14:paraId="0F47E651" w14:textId="54206981" w:rsidR="0019409A" w:rsidRPr="00475A16" w:rsidRDefault="0019409A" w:rsidP="002F15D2">
            <w:pPr>
              <w:rPr>
                <w:rFonts w:cstheme="minorHAnsi"/>
              </w:rPr>
            </w:pPr>
            <w:r w:rsidRPr="00805F18">
              <w:t>NIMAC does not generally receive files for OER</w:t>
            </w:r>
            <w:r>
              <w:t xml:space="preserve"> (18)</w:t>
            </w:r>
          </w:p>
        </w:tc>
        <w:tc>
          <w:tcPr>
            <w:tcW w:w="6300" w:type="dxa"/>
          </w:tcPr>
          <w:p w14:paraId="545B662D" w14:textId="2E12CAA6" w:rsidR="0019409A" w:rsidRPr="00475A16" w:rsidRDefault="0019409A" w:rsidP="002F15D2">
            <w:pPr>
              <w:cnfStyle w:val="000000000000" w:firstRow="0" w:lastRow="0" w:firstColumn="0" w:lastColumn="0" w:oddVBand="0" w:evenVBand="0" w:oddHBand="0" w:evenHBand="0" w:firstRowFirstColumn="0" w:firstRowLastColumn="0" w:lastRowFirstColumn="0" w:lastRowLastColumn="0"/>
            </w:pPr>
            <w:r w:rsidRPr="00093EDF">
              <w:t xml:space="preserve">Getting materials outside the scope of NIMAC is very challenging. Less than half of our regional programs have transcribers on staff, </w:t>
            </w:r>
            <w:r w:rsidRPr="00093EDF">
              <w:lastRenderedPageBreak/>
              <w:t>so TSVIs are left to transcribe materials themselves, which they have little time for. Online materials are particularly challenging because accessing the content often means logging in and trolling the platform to find the required content, pulling out the text, and then rebuilding everything in braille. This gets more complex when content is computer adaptive (random). For tactile graphics in this format, nearly everything needs to be produced on the fly, which is a huge burden for staff and students.</w:t>
            </w:r>
            <w:r>
              <w:t xml:space="preserve"> (OR)</w:t>
            </w:r>
          </w:p>
        </w:tc>
      </w:tr>
      <w:tr w:rsidR="0019409A" w:rsidRPr="00475A16" w14:paraId="1E10FA42"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shd w:val="clear" w:color="auto" w:fill="D9E2F3"/>
          </w:tcPr>
          <w:p w14:paraId="16932725" w14:textId="77777777" w:rsidR="0019409A" w:rsidRPr="00805F18" w:rsidRDefault="0019409A" w:rsidP="002F15D2"/>
        </w:tc>
        <w:tc>
          <w:tcPr>
            <w:tcW w:w="6300" w:type="dxa"/>
            <w:shd w:val="clear" w:color="auto" w:fill="D9E2F3"/>
          </w:tcPr>
          <w:p w14:paraId="26517562" w14:textId="7677EBB8" w:rsidR="0019409A" w:rsidRDefault="0019409A" w:rsidP="002F15D2">
            <w:pPr>
              <w:cnfStyle w:val="000000100000" w:firstRow="0" w:lastRow="0" w:firstColumn="0" w:lastColumn="0" w:oddVBand="0" w:evenVBand="0" w:oddHBand="1" w:evenHBand="0" w:firstRowFirstColumn="0" w:firstRowLastColumn="0" w:lastRowFirstColumn="0" w:lastRowLastColumn="0"/>
            </w:pPr>
            <w:r w:rsidRPr="00656C11">
              <w:t xml:space="preserve">Digital </w:t>
            </w:r>
            <w:r w:rsidR="00242557">
              <w:t xml:space="preserve">format has </w:t>
            </w:r>
            <w:r w:rsidRPr="00656C11">
              <w:t>a big impact when it comes to day-to-day braille transcription. There's</w:t>
            </w:r>
            <w:r>
              <w:t xml:space="preserve"> </w:t>
            </w:r>
            <w:r w:rsidRPr="00656C11">
              <w:t>a lot of barriers.</w:t>
            </w:r>
            <w:r>
              <w:t xml:space="preserve"> (OR)</w:t>
            </w:r>
          </w:p>
        </w:tc>
      </w:tr>
      <w:tr w:rsidR="0019409A" w:rsidRPr="00475A16" w14:paraId="6A5327D3" w14:textId="77777777" w:rsidTr="00B97982">
        <w:tc>
          <w:tcPr>
            <w:cnfStyle w:val="001000000000" w:firstRow="0" w:lastRow="0" w:firstColumn="1" w:lastColumn="0" w:oddVBand="0" w:evenVBand="0" w:oddHBand="0" w:evenHBand="0" w:firstRowFirstColumn="0" w:firstRowLastColumn="0" w:lastRowFirstColumn="0" w:lastRowLastColumn="0"/>
            <w:tcW w:w="3055" w:type="dxa"/>
          </w:tcPr>
          <w:p w14:paraId="5B6A0C02" w14:textId="77777777" w:rsidR="0019409A" w:rsidRPr="00805F18" w:rsidRDefault="0019409A" w:rsidP="002F15D2"/>
        </w:tc>
        <w:tc>
          <w:tcPr>
            <w:tcW w:w="6300" w:type="dxa"/>
          </w:tcPr>
          <w:p w14:paraId="0E5B9441" w14:textId="5F6FD1AD" w:rsidR="0019409A" w:rsidRDefault="0019409A" w:rsidP="002F15D2">
            <w:pPr>
              <w:cnfStyle w:val="000000000000" w:firstRow="0" w:lastRow="0" w:firstColumn="0" w:lastColumn="0" w:oddVBand="0" w:evenVBand="0" w:oddHBand="0" w:evenHBand="0" w:firstRowFirstColumn="0" w:firstRowLastColumn="0" w:lastRowFirstColumn="0" w:lastRowLastColumn="0"/>
            </w:pPr>
            <w:r>
              <w:t>P</w:t>
            </w:r>
            <w:r w:rsidRPr="00656C11">
              <w:t>roduction of online only materials</w:t>
            </w:r>
            <w:r>
              <w:t xml:space="preserve"> is</w:t>
            </w:r>
            <w:r w:rsidRPr="00656C11">
              <w:t xml:space="preserve"> extremely difficult to provide in a timely manner in any format.</w:t>
            </w:r>
            <w:r>
              <w:t xml:space="preserve"> (SC)</w:t>
            </w:r>
          </w:p>
        </w:tc>
      </w:tr>
      <w:tr w:rsidR="0019409A" w:rsidRPr="00475A16" w14:paraId="454EBD02"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shd w:val="clear" w:color="auto" w:fill="D9E2F3"/>
          </w:tcPr>
          <w:p w14:paraId="7978C928" w14:textId="77777777" w:rsidR="0019409A" w:rsidRPr="00805F18" w:rsidRDefault="0019409A" w:rsidP="002F15D2"/>
        </w:tc>
        <w:tc>
          <w:tcPr>
            <w:tcW w:w="6300" w:type="dxa"/>
            <w:shd w:val="clear" w:color="auto" w:fill="D9E2F3"/>
          </w:tcPr>
          <w:p w14:paraId="29C9FF2A" w14:textId="46A0217B" w:rsidR="0019409A" w:rsidRDefault="0019409A" w:rsidP="002F15D2">
            <w:pPr>
              <w:cnfStyle w:val="000000100000" w:firstRow="0" w:lastRow="0" w:firstColumn="0" w:lastColumn="0" w:oddVBand="0" w:evenVBand="0" w:oddHBand="1" w:evenHBand="0" w:firstRowFirstColumn="0" w:firstRowLastColumn="0" w:lastRowFirstColumn="0" w:lastRowLastColumn="0"/>
            </w:pPr>
            <w:r>
              <w:t>Everyone's saying, go Open Education Resources</w:t>
            </w:r>
            <w:r w:rsidR="00242557">
              <w:t>.</w:t>
            </w:r>
            <w:r>
              <w:t xml:space="preserve"> </w:t>
            </w:r>
            <w:r w:rsidR="00242557">
              <w:t>Our</w:t>
            </w:r>
            <w:r>
              <w:t xml:space="preserve"> state won't even take partial textbooks, open education resources</w:t>
            </w:r>
            <w:r w:rsidR="00242557">
              <w:t>,</w:t>
            </w:r>
            <w:r>
              <w:t xml:space="preserve"> or teacher</w:t>
            </w:r>
            <w:r w:rsidR="00242557">
              <w:t>-</w:t>
            </w:r>
            <w:r>
              <w:t xml:space="preserve">made materials. So now we've got a system that should be </w:t>
            </w:r>
            <w:proofErr w:type="gramStart"/>
            <w:r>
              <w:t>set</w:t>
            </w:r>
            <w:proofErr w:type="gramEnd"/>
            <w:r>
              <w:t xml:space="preserve"> to help with textbooks</w:t>
            </w:r>
            <w:r w:rsidR="00242557">
              <w:t>,</w:t>
            </w:r>
            <w:r>
              <w:t xml:space="preserve"> and the system itself isn't prepared for that</w:t>
            </w:r>
            <w:r w:rsidR="00242557">
              <w:t>. It’s b</w:t>
            </w:r>
            <w:r>
              <w:t>eing handled</w:t>
            </w:r>
            <w:r w:rsidR="00242557">
              <w:t>,</w:t>
            </w:r>
            <w:r>
              <w:t xml:space="preserve"> at least where I'm at, at the local level. (WI)</w:t>
            </w:r>
          </w:p>
        </w:tc>
      </w:tr>
      <w:tr w:rsidR="0019409A" w:rsidRPr="00475A16" w14:paraId="6D98ED8F" w14:textId="77777777" w:rsidTr="000A142C">
        <w:trPr>
          <w:trHeight w:val="854"/>
        </w:trPr>
        <w:tc>
          <w:tcPr>
            <w:cnfStyle w:val="001000000000" w:firstRow="0" w:lastRow="0" w:firstColumn="1" w:lastColumn="0" w:oddVBand="0" w:evenVBand="0" w:oddHBand="0" w:evenHBand="0" w:firstRowFirstColumn="0" w:firstRowLastColumn="0" w:lastRowFirstColumn="0" w:lastRowLastColumn="0"/>
            <w:tcW w:w="3055" w:type="dxa"/>
          </w:tcPr>
          <w:p w14:paraId="291B5963" w14:textId="5B62FF78" w:rsidR="0019409A" w:rsidRPr="00475A16" w:rsidRDefault="0019409A" w:rsidP="000A142C">
            <w:pPr>
              <w:rPr>
                <w:rFonts w:cstheme="minorHAnsi"/>
              </w:rPr>
            </w:pPr>
            <w:r>
              <w:rPr>
                <w:rFonts w:ascii="Calibri" w:hAnsi="Calibri" w:cs="Calibri"/>
                <w:color w:val="000000"/>
              </w:rPr>
              <w:t>Teacher/district-created curricula are not provided to NIMAC (16)</w:t>
            </w:r>
          </w:p>
        </w:tc>
        <w:tc>
          <w:tcPr>
            <w:tcW w:w="6300" w:type="dxa"/>
          </w:tcPr>
          <w:p w14:paraId="1940FF90" w14:textId="2305B76E" w:rsidR="0019409A" w:rsidRPr="0019409A" w:rsidRDefault="00252850" w:rsidP="00252850">
            <w:pPr>
              <w:cnfStyle w:val="000000000000" w:firstRow="0" w:lastRow="0" w:firstColumn="0" w:lastColumn="0" w:oddVBand="0" w:evenVBand="0" w:oddHBand="0" w:evenHBand="0" w:firstRowFirstColumn="0" w:firstRowLastColumn="0" w:lastRowFirstColumn="0" w:lastRowLastColumn="0"/>
            </w:pPr>
            <w:r w:rsidRPr="0019409A">
              <w:t>I know our state has funds and a production center for textbooks, but I worry that this doesn't include worksheets or handouts that a teacher may prepare at any time.</w:t>
            </w:r>
            <w:r>
              <w:t xml:space="preserve"> (OH)</w:t>
            </w:r>
          </w:p>
        </w:tc>
      </w:tr>
      <w:tr w:rsidR="0019409A" w:rsidRPr="00475A16" w14:paraId="2C867F08"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shd w:val="clear" w:color="auto" w:fill="D9E2F3"/>
          </w:tcPr>
          <w:p w14:paraId="28F6A621" w14:textId="77777777" w:rsidR="0019409A" w:rsidRPr="00805F18" w:rsidRDefault="0019409A" w:rsidP="002F15D2"/>
        </w:tc>
        <w:tc>
          <w:tcPr>
            <w:tcW w:w="6300" w:type="dxa"/>
            <w:shd w:val="clear" w:color="auto" w:fill="D9E2F3"/>
          </w:tcPr>
          <w:p w14:paraId="194FFC15" w14:textId="4621B0F8" w:rsidR="0019409A" w:rsidRPr="00475A16" w:rsidRDefault="00252850" w:rsidP="002F15D2">
            <w:pPr>
              <w:cnfStyle w:val="000000100000" w:firstRow="0" w:lastRow="0" w:firstColumn="0" w:lastColumn="0" w:oddVBand="0" w:evenVBand="0" w:oddHBand="1" w:evenHBand="0" w:firstRowFirstColumn="0" w:firstRowLastColumn="0" w:lastRowFirstColumn="0" w:lastRowLastColumn="0"/>
            </w:pPr>
            <w:r w:rsidRPr="0019409A">
              <w:t>District</w:t>
            </w:r>
            <w:r>
              <w:t>-</w:t>
            </w:r>
            <w:r w:rsidRPr="0019409A">
              <w:t xml:space="preserve">based curriculum </w:t>
            </w:r>
            <w:r>
              <w:t>is</w:t>
            </w:r>
            <w:r w:rsidRPr="0019409A">
              <w:t xml:space="preserve"> not </w:t>
            </w:r>
            <w:r>
              <w:t xml:space="preserve">always </w:t>
            </w:r>
            <w:r w:rsidRPr="0019409A">
              <w:t>made readily available to transcribe</w:t>
            </w:r>
            <w:r>
              <w:t>. (OH)</w:t>
            </w:r>
          </w:p>
        </w:tc>
      </w:tr>
      <w:tr w:rsidR="0019409A" w:rsidRPr="00475A16" w14:paraId="10F0B659" w14:textId="77777777" w:rsidTr="00B97982">
        <w:tc>
          <w:tcPr>
            <w:cnfStyle w:val="001000000000" w:firstRow="0" w:lastRow="0" w:firstColumn="1" w:lastColumn="0" w:oddVBand="0" w:evenVBand="0" w:oddHBand="0" w:evenHBand="0" w:firstRowFirstColumn="0" w:firstRowLastColumn="0" w:lastRowFirstColumn="0" w:lastRowLastColumn="0"/>
            <w:tcW w:w="3055" w:type="dxa"/>
          </w:tcPr>
          <w:p w14:paraId="06FFE9F4" w14:textId="77777777" w:rsidR="0019409A" w:rsidRPr="00805F18" w:rsidRDefault="0019409A" w:rsidP="002F15D2"/>
        </w:tc>
        <w:tc>
          <w:tcPr>
            <w:tcW w:w="6300" w:type="dxa"/>
          </w:tcPr>
          <w:p w14:paraId="22BEE8AB" w14:textId="333B6D1D" w:rsidR="0019409A" w:rsidRPr="00475A16" w:rsidRDefault="0019409A" w:rsidP="002F15D2">
            <w:pPr>
              <w:cnfStyle w:val="000000000000" w:firstRow="0" w:lastRow="0" w:firstColumn="0" w:lastColumn="0" w:oddVBand="0" w:evenVBand="0" w:oddHBand="0" w:evenHBand="0" w:firstRowFirstColumn="0" w:firstRowLastColumn="0" w:lastRowFirstColumn="0" w:lastRowLastColumn="0"/>
            </w:pPr>
            <w:r w:rsidRPr="0019409A">
              <w:t xml:space="preserve">I'm thinking of </w:t>
            </w:r>
            <w:r>
              <w:t>SEA</w:t>
            </w:r>
            <w:r w:rsidR="00252850">
              <w:t>-</w:t>
            </w:r>
            <w:r w:rsidRPr="0019409A">
              <w:t>created materials</w:t>
            </w:r>
            <w:r w:rsidR="00252850">
              <w:t>,</w:t>
            </w:r>
            <w:r w:rsidRPr="0019409A">
              <w:t xml:space="preserve"> and we want to make them accessible but are </w:t>
            </w:r>
            <w:r w:rsidR="00252850">
              <w:t xml:space="preserve">not </w:t>
            </w:r>
            <w:r w:rsidRPr="0019409A">
              <w:t xml:space="preserve">really sure </w:t>
            </w:r>
            <w:r w:rsidR="00252850">
              <w:t>of the process</w:t>
            </w:r>
            <w:r w:rsidRPr="0019409A">
              <w:t xml:space="preserve">. </w:t>
            </w:r>
            <w:r w:rsidR="00252850">
              <w:t>I</w:t>
            </w:r>
            <w:r w:rsidRPr="0019409A">
              <w:t xml:space="preserve"> think districts go through th</w:t>
            </w:r>
            <w:r w:rsidR="00252850">
              <w:t>is</w:t>
            </w:r>
            <w:r w:rsidRPr="0019409A">
              <w:t xml:space="preserve"> too. Sometimes districts create materials</w:t>
            </w:r>
            <w:r w:rsidR="00252850">
              <w:t>,</w:t>
            </w:r>
            <w:r w:rsidRPr="0019409A">
              <w:t xml:space="preserve"> and as part of our independent adoption requirement, they need to be accessible, but districts aren't really sure about how to </w:t>
            </w:r>
            <w:r w:rsidR="00252850">
              <w:t>do this</w:t>
            </w:r>
            <w:r w:rsidRPr="0019409A">
              <w:t>.</w:t>
            </w:r>
            <w:r>
              <w:t xml:space="preserve"> (OR)</w:t>
            </w:r>
          </w:p>
        </w:tc>
      </w:tr>
      <w:tr w:rsidR="0019409A" w:rsidRPr="00475A16" w14:paraId="2E16223A"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shd w:val="clear" w:color="auto" w:fill="D9E2F3"/>
          </w:tcPr>
          <w:p w14:paraId="660B824D" w14:textId="77777777" w:rsidR="0019409A" w:rsidRPr="00805F18" w:rsidRDefault="0019409A" w:rsidP="002F15D2"/>
        </w:tc>
        <w:tc>
          <w:tcPr>
            <w:tcW w:w="6300" w:type="dxa"/>
            <w:shd w:val="clear" w:color="auto" w:fill="D9E2F3"/>
          </w:tcPr>
          <w:p w14:paraId="6292A022" w14:textId="3BB9ADF3" w:rsidR="0019409A" w:rsidRPr="00475A16" w:rsidRDefault="00CF60D4" w:rsidP="002F15D2">
            <w:pPr>
              <w:cnfStyle w:val="000000100000" w:firstRow="0" w:lastRow="0" w:firstColumn="0" w:lastColumn="0" w:oddVBand="0" w:evenVBand="0" w:oddHBand="1" w:evenHBand="0" w:firstRowFirstColumn="0" w:firstRowLastColumn="0" w:lastRowFirstColumn="0" w:lastRowLastColumn="0"/>
            </w:pPr>
            <w:r w:rsidRPr="00CF60D4">
              <w:t>Teacher</w:t>
            </w:r>
            <w:r>
              <w:t>-</w:t>
            </w:r>
            <w:r w:rsidRPr="00CF60D4">
              <w:t xml:space="preserve">made materials, worksheets, etc. that are not accessible and </w:t>
            </w:r>
            <w:r w:rsidR="00252850">
              <w:t>are</w:t>
            </w:r>
            <w:r w:rsidRPr="00CF60D4">
              <w:t xml:space="preserve"> not provided with enough time to transcribe.</w:t>
            </w:r>
            <w:r>
              <w:t xml:space="preserve"> (OR)</w:t>
            </w:r>
          </w:p>
        </w:tc>
      </w:tr>
      <w:tr w:rsidR="0019409A" w:rsidRPr="00475A16" w14:paraId="6548CB04" w14:textId="77777777" w:rsidTr="00B97982">
        <w:tc>
          <w:tcPr>
            <w:cnfStyle w:val="001000000000" w:firstRow="0" w:lastRow="0" w:firstColumn="1" w:lastColumn="0" w:oddVBand="0" w:evenVBand="0" w:oddHBand="0" w:evenHBand="0" w:firstRowFirstColumn="0" w:firstRowLastColumn="0" w:lastRowFirstColumn="0" w:lastRowLastColumn="0"/>
            <w:tcW w:w="3055" w:type="dxa"/>
          </w:tcPr>
          <w:p w14:paraId="1544EF60" w14:textId="77777777" w:rsidR="0019409A" w:rsidRPr="00805F18" w:rsidRDefault="0019409A" w:rsidP="002F15D2"/>
        </w:tc>
        <w:tc>
          <w:tcPr>
            <w:tcW w:w="6300" w:type="dxa"/>
          </w:tcPr>
          <w:p w14:paraId="10A000BB" w14:textId="5B277001" w:rsidR="0019409A" w:rsidRPr="00475A16" w:rsidRDefault="00CF60D4" w:rsidP="002F15D2">
            <w:pPr>
              <w:cnfStyle w:val="000000000000" w:firstRow="0" w:lastRow="0" w:firstColumn="0" w:lastColumn="0" w:oddVBand="0" w:evenVBand="0" w:oddHBand="0" w:evenHBand="0" w:firstRowFirstColumn="0" w:firstRowLastColumn="0" w:lastRowFirstColumn="0" w:lastRowLastColumn="0"/>
            </w:pPr>
            <w:r w:rsidRPr="00CF60D4">
              <w:t>Teacher generated materials and/or a use of a wide variety of non-NIMAC materials make it hard for us to keep with production, particularly with the inadequate number of transcribers available around the state.</w:t>
            </w:r>
            <w:r>
              <w:t xml:space="preserve"> (OR)</w:t>
            </w:r>
          </w:p>
        </w:tc>
      </w:tr>
      <w:tr w:rsidR="0019409A" w:rsidRPr="00475A16" w14:paraId="6E911201"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shd w:val="clear" w:color="auto" w:fill="D9E2F3"/>
          </w:tcPr>
          <w:p w14:paraId="20A88A89" w14:textId="77777777" w:rsidR="0019409A" w:rsidRPr="00805F18" w:rsidRDefault="0019409A" w:rsidP="002F15D2"/>
        </w:tc>
        <w:tc>
          <w:tcPr>
            <w:tcW w:w="6300" w:type="dxa"/>
            <w:shd w:val="clear" w:color="auto" w:fill="D9E2F3"/>
          </w:tcPr>
          <w:p w14:paraId="7CD766D6" w14:textId="75C14DE6" w:rsidR="0019409A" w:rsidRPr="00475A16" w:rsidRDefault="00CF60D4" w:rsidP="002F15D2">
            <w:pPr>
              <w:cnfStyle w:val="000000100000" w:firstRow="0" w:lastRow="0" w:firstColumn="0" w:lastColumn="0" w:oddVBand="0" w:evenVBand="0" w:oddHBand="1" w:evenHBand="0" w:firstRowFirstColumn="0" w:firstRowLastColumn="0" w:lastRowFirstColumn="0" w:lastRowLastColumn="0"/>
            </w:pPr>
            <w:r>
              <w:t>For t</w:t>
            </w:r>
            <w:r w:rsidRPr="00CF60D4">
              <w:t>ea</w:t>
            </w:r>
            <w:r>
              <w:t>cher-</w:t>
            </w:r>
            <w:r w:rsidRPr="00CF60D4">
              <w:t xml:space="preserve">created material, you get nothing. There's no help. It's just a bunch of </w:t>
            </w:r>
            <w:r w:rsidR="00CF15E6" w:rsidRPr="00CF60D4">
              <w:t>files that</w:t>
            </w:r>
            <w:r w:rsidRPr="00CF60D4">
              <w:t xml:space="preserve"> </w:t>
            </w:r>
            <w:r w:rsidR="00CF15E6">
              <w:t xml:space="preserve">are </w:t>
            </w:r>
            <w:r w:rsidRPr="00CF60D4">
              <w:t xml:space="preserve">put together poorly. There's no consistency </w:t>
            </w:r>
            <w:r>
              <w:t xml:space="preserve">with </w:t>
            </w:r>
            <w:r w:rsidRPr="00CF60D4">
              <w:t xml:space="preserve">formatting, </w:t>
            </w:r>
            <w:r w:rsidR="00252850">
              <w:t xml:space="preserve">and </w:t>
            </w:r>
            <w:r w:rsidRPr="00CF60D4">
              <w:t>there's practically nothing we can do to make th</w:t>
            </w:r>
            <w:r w:rsidR="00252850">
              <w:t>em</w:t>
            </w:r>
            <w:r w:rsidRPr="00CF60D4">
              <w:t xml:space="preserve"> any faster.</w:t>
            </w:r>
            <w:r>
              <w:t xml:space="preserve"> (UT)</w:t>
            </w:r>
          </w:p>
        </w:tc>
      </w:tr>
      <w:tr w:rsidR="0019409A" w:rsidRPr="00475A16" w14:paraId="6C6480B5" w14:textId="77777777" w:rsidTr="00B97982">
        <w:tc>
          <w:tcPr>
            <w:cnfStyle w:val="001000000000" w:firstRow="0" w:lastRow="0" w:firstColumn="1" w:lastColumn="0" w:oddVBand="0" w:evenVBand="0" w:oddHBand="0" w:evenHBand="0" w:firstRowFirstColumn="0" w:firstRowLastColumn="0" w:lastRowFirstColumn="0" w:lastRowLastColumn="0"/>
            <w:tcW w:w="3055" w:type="dxa"/>
          </w:tcPr>
          <w:p w14:paraId="3E01E8DA" w14:textId="77777777" w:rsidR="0019409A" w:rsidRPr="00805F18" w:rsidRDefault="0019409A" w:rsidP="002F15D2"/>
        </w:tc>
        <w:tc>
          <w:tcPr>
            <w:tcW w:w="6300" w:type="dxa"/>
          </w:tcPr>
          <w:p w14:paraId="6A4ECEE8" w14:textId="0D2E3C2B" w:rsidR="0019409A" w:rsidRPr="00475A16" w:rsidRDefault="00CF60D4" w:rsidP="002F15D2">
            <w:pPr>
              <w:cnfStyle w:val="000000000000" w:firstRow="0" w:lastRow="0" w:firstColumn="0" w:lastColumn="0" w:oddVBand="0" w:evenVBand="0" w:oddHBand="0" w:evenHBand="0" w:firstRowFirstColumn="0" w:firstRowLastColumn="0" w:lastRowFirstColumn="0" w:lastRowLastColumn="0"/>
            </w:pPr>
            <w:r>
              <w:t>S</w:t>
            </w:r>
            <w:r w:rsidRPr="00CF60D4">
              <w:t>chool curricul</w:t>
            </w:r>
            <w:r w:rsidR="00CF15E6">
              <w:t>a</w:t>
            </w:r>
            <w:r w:rsidRPr="00CF60D4">
              <w:t xml:space="preserve"> </w:t>
            </w:r>
            <w:r w:rsidR="00CF15E6">
              <w:t xml:space="preserve">are </w:t>
            </w:r>
            <w:r w:rsidRPr="00CF60D4">
              <w:t>getting away from using a textbook from start to finish</w:t>
            </w:r>
            <w:r w:rsidR="00CF15E6">
              <w:t>, and this</w:t>
            </w:r>
            <w:r w:rsidRPr="00CF60D4">
              <w:t xml:space="preserve"> has become an issue. Teachers are grabbing materials from the web and asking for those to be transcribed instead of ordering a textbook from NIMAC.</w:t>
            </w:r>
            <w:r>
              <w:t xml:space="preserve"> (NC)</w:t>
            </w:r>
          </w:p>
        </w:tc>
      </w:tr>
      <w:tr w:rsidR="008C34EB" w:rsidRPr="00475A16" w14:paraId="71AFC237"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shd w:val="clear" w:color="auto" w:fill="D9E2F3"/>
          </w:tcPr>
          <w:p w14:paraId="4201013A" w14:textId="776DCFFF" w:rsidR="008C34EB" w:rsidRPr="00805F18" w:rsidRDefault="008C34EB" w:rsidP="008C34EB">
            <w:r w:rsidRPr="00805F18">
              <w:t>Lack of understanding/awareness of NIMAC and NIMAS files</w:t>
            </w:r>
            <w:r>
              <w:t xml:space="preserve"> (12)</w:t>
            </w:r>
          </w:p>
        </w:tc>
        <w:tc>
          <w:tcPr>
            <w:tcW w:w="6300" w:type="dxa"/>
            <w:shd w:val="clear" w:color="auto" w:fill="D9E2F3"/>
          </w:tcPr>
          <w:p w14:paraId="3B98D853" w14:textId="6B8B7695" w:rsidR="008C34EB" w:rsidRDefault="008C34EB" w:rsidP="008C34EB">
            <w:pPr>
              <w:cnfStyle w:val="000000100000" w:firstRow="0" w:lastRow="0" w:firstColumn="0" w:lastColumn="0" w:oddVBand="0" w:evenVBand="0" w:oddHBand="1" w:evenHBand="0" w:firstRowFirstColumn="0" w:firstRowLastColumn="0" w:lastRowFirstColumn="0" w:lastRowLastColumn="0"/>
            </w:pPr>
            <w:r w:rsidRPr="00322544">
              <w:t>I don't think our districts understand the importance of and the reason for</w:t>
            </w:r>
            <w:r>
              <w:t xml:space="preserve"> the NIMAC</w:t>
            </w:r>
            <w:r w:rsidRPr="00322544">
              <w:t xml:space="preserve">. They all think, </w:t>
            </w:r>
            <w:r>
              <w:t>“</w:t>
            </w:r>
            <w:r w:rsidRPr="00322544">
              <w:t>I don't have a student who would use this.</w:t>
            </w:r>
            <w:r>
              <w:t>”</w:t>
            </w:r>
            <w:r w:rsidRPr="00322544">
              <w:t xml:space="preserve"> </w:t>
            </w:r>
            <w:r>
              <w:t>I</w:t>
            </w:r>
            <w:r w:rsidRPr="00322544">
              <w:t>n reality</w:t>
            </w:r>
            <w:r>
              <w:t>,</w:t>
            </w:r>
            <w:r w:rsidRPr="00322544">
              <w:t xml:space="preserve"> they could have a student tomorrow because students </w:t>
            </w:r>
            <w:r>
              <w:t xml:space="preserve">who need accessible formats </w:t>
            </w:r>
            <w:r w:rsidRPr="00322544">
              <w:t>can pop up</w:t>
            </w:r>
            <w:r>
              <w:t>. (OH)</w:t>
            </w:r>
          </w:p>
        </w:tc>
      </w:tr>
      <w:tr w:rsidR="008C34EB" w:rsidRPr="00475A16" w14:paraId="4B9DCE7B" w14:textId="77777777" w:rsidTr="00B97982">
        <w:tc>
          <w:tcPr>
            <w:cnfStyle w:val="001000000000" w:firstRow="0" w:lastRow="0" w:firstColumn="1" w:lastColumn="0" w:oddVBand="0" w:evenVBand="0" w:oddHBand="0" w:evenHBand="0" w:firstRowFirstColumn="0" w:firstRowLastColumn="0" w:lastRowFirstColumn="0" w:lastRowLastColumn="0"/>
            <w:tcW w:w="3055" w:type="dxa"/>
          </w:tcPr>
          <w:p w14:paraId="25589425" w14:textId="77777777" w:rsidR="008C34EB" w:rsidRPr="00805F18" w:rsidRDefault="008C34EB" w:rsidP="008C34EB"/>
        </w:tc>
        <w:tc>
          <w:tcPr>
            <w:tcW w:w="6300" w:type="dxa"/>
          </w:tcPr>
          <w:p w14:paraId="52380ED4" w14:textId="6051231E" w:rsidR="008C34EB" w:rsidRDefault="008C34EB" w:rsidP="008C34EB">
            <w:pPr>
              <w:cnfStyle w:val="000000000000" w:firstRow="0" w:lastRow="0" w:firstColumn="0" w:lastColumn="0" w:oddVBand="0" w:evenVBand="0" w:oddHBand="0" w:evenHBand="0" w:firstRowFirstColumn="0" w:firstRowLastColumn="0" w:lastRowFirstColumn="0" w:lastRowLastColumn="0"/>
            </w:pPr>
            <w:r w:rsidRPr="00322544">
              <w:t xml:space="preserve">I think there's a real lack of awareness about NIMAC in the state. Our teachers are generally aware of resources like Bookshare, but I don't think </w:t>
            </w:r>
            <w:r>
              <w:t xml:space="preserve">the </w:t>
            </w:r>
            <w:r w:rsidRPr="00322544">
              <w:t>NIMAC is on their radar.</w:t>
            </w:r>
            <w:r>
              <w:t xml:space="preserve"> (OR)</w:t>
            </w:r>
          </w:p>
        </w:tc>
      </w:tr>
      <w:tr w:rsidR="008C34EB" w:rsidRPr="00475A16" w14:paraId="5A502162"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shd w:val="clear" w:color="auto" w:fill="D9E2F3"/>
          </w:tcPr>
          <w:p w14:paraId="32AE24EC" w14:textId="77777777" w:rsidR="008C34EB" w:rsidRPr="00805F18" w:rsidRDefault="008C34EB" w:rsidP="008C34EB"/>
        </w:tc>
        <w:tc>
          <w:tcPr>
            <w:tcW w:w="6300" w:type="dxa"/>
            <w:shd w:val="clear" w:color="auto" w:fill="D9E2F3"/>
          </w:tcPr>
          <w:p w14:paraId="5DCB462D" w14:textId="50D3EB43" w:rsidR="008C34EB" w:rsidRDefault="008C34EB" w:rsidP="008C34EB">
            <w:pPr>
              <w:cnfStyle w:val="000000100000" w:firstRow="0" w:lastRow="0" w:firstColumn="0" w:lastColumn="0" w:oddVBand="0" w:evenVBand="0" w:oddHBand="1" w:evenHBand="0" w:firstRowFirstColumn="0" w:firstRowLastColumn="0" w:lastRowFirstColumn="0" w:lastRowLastColumn="0"/>
            </w:pPr>
            <w:r w:rsidRPr="00EB7746">
              <w:t>There never seems to be any discussion with publisher</w:t>
            </w:r>
            <w:r>
              <w:t>s</w:t>
            </w:r>
            <w:r w:rsidRPr="00EB7746">
              <w:t xml:space="preserve"> and school</w:t>
            </w:r>
            <w:r>
              <w:t>s</w:t>
            </w:r>
            <w:r w:rsidRPr="00EB7746">
              <w:t xml:space="preserve"> regarding 504 students</w:t>
            </w:r>
            <w:r>
              <w:t>,</w:t>
            </w:r>
            <w:r w:rsidRPr="00EB7746">
              <w:t xml:space="preserve"> so when </w:t>
            </w:r>
            <w:r>
              <w:t xml:space="preserve">a </w:t>
            </w:r>
            <w:r w:rsidRPr="00EB7746">
              <w:t xml:space="preserve">school reaches out to request </w:t>
            </w:r>
            <w:r>
              <w:t>large print</w:t>
            </w:r>
            <w:r w:rsidRPr="00EB7746">
              <w:t>, it's news to them that their 504 student is not eligible for NIMAC</w:t>
            </w:r>
            <w:r>
              <w:t>-</w:t>
            </w:r>
            <w:r w:rsidRPr="00EB7746">
              <w:t>derived materials.</w:t>
            </w:r>
            <w:r>
              <w:t xml:space="preserve"> (MA)</w:t>
            </w:r>
          </w:p>
        </w:tc>
      </w:tr>
      <w:tr w:rsidR="008C34EB" w:rsidRPr="00475A16" w14:paraId="0B968541" w14:textId="77777777" w:rsidTr="00B97982">
        <w:tc>
          <w:tcPr>
            <w:cnfStyle w:val="001000000000" w:firstRow="0" w:lastRow="0" w:firstColumn="1" w:lastColumn="0" w:oddVBand="0" w:evenVBand="0" w:oddHBand="0" w:evenHBand="0" w:firstRowFirstColumn="0" w:firstRowLastColumn="0" w:lastRowFirstColumn="0" w:lastRowLastColumn="0"/>
            <w:tcW w:w="3055" w:type="dxa"/>
          </w:tcPr>
          <w:p w14:paraId="2DF44DED" w14:textId="77777777" w:rsidR="008C34EB" w:rsidRPr="00805F18" w:rsidRDefault="008C34EB" w:rsidP="002F15D2"/>
        </w:tc>
        <w:tc>
          <w:tcPr>
            <w:tcW w:w="6300" w:type="dxa"/>
          </w:tcPr>
          <w:p w14:paraId="105E4555" w14:textId="0D81A9D6" w:rsidR="008C34EB" w:rsidRDefault="008C34EB" w:rsidP="002F15D2">
            <w:pPr>
              <w:cnfStyle w:val="000000000000" w:firstRow="0" w:lastRow="0" w:firstColumn="0" w:lastColumn="0" w:oddVBand="0" w:evenVBand="0" w:oddHBand="0" w:evenHBand="0" w:firstRowFirstColumn="0" w:firstRowLastColumn="0" w:lastRowFirstColumn="0" w:lastRowLastColumn="0"/>
            </w:pPr>
            <w:r>
              <w:t>Educators</w:t>
            </w:r>
            <w:r w:rsidRPr="00EB7746">
              <w:t xml:space="preserve"> think a NIMAS file is a</w:t>
            </w:r>
            <w:r>
              <w:t>n “</w:t>
            </w:r>
            <w:r w:rsidRPr="00EB7746">
              <w:t>emboss or print and go</w:t>
            </w:r>
            <w:r>
              <w:t>”</w:t>
            </w:r>
            <w:r w:rsidRPr="00EB7746">
              <w:t xml:space="preserve"> file, so they wait till the last minute </w:t>
            </w:r>
            <w:r>
              <w:t xml:space="preserve">thinking </w:t>
            </w:r>
            <w:r w:rsidRPr="00EB7746">
              <w:t>it’s all they need, as it is.</w:t>
            </w:r>
            <w:r>
              <w:t xml:space="preserve"> (MI)</w:t>
            </w:r>
          </w:p>
        </w:tc>
      </w:tr>
      <w:tr w:rsidR="008C34EB" w:rsidRPr="00475A16" w14:paraId="10CC2EE7"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shd w:val="clear" w:color="auto" w:fill="D9E2F3"/>
          </w:tcPr>
          <w:p w14:paraId="0512EC0A" w14:textId="77777777" w:rsidR="008C34EB" w:rsidRPr="00805F18" w:rsidRDefault="008C34EB" w:rsidP="008C34EB"/>
        </w:tc>
        <w:tc>
          <w:tcPr>
            <w:tcW w:w="6300" w:type="dxa"/>
            <w:shd w:val="clear" w:color="auto" w:fill="D9E2F3"/>
          </w:tcPr>
          <w:p w14:paraId="41F5E12C" w14:textId="03F9D846" w:rsidR="008C34EB" w:rsidRDefault="008C34EB" w:rsidP="008C34EB">
            <w:pPr>
              <w:cnfStyle w:val="000000100000" w:firstRow="0" w:lastRow="0" w:firstColumn="0" w:lastColumn="0" w:oddVBand="0" w:evenVBand="0" w:oddHBand="1" w:evenHBand="0" w:firstRowFirstColumn="0" w:firstRowLastColumn="0" w:lastRowFirstColumn="0" w:lastRowLastColumn="0"/>
            </w:pPr>
            <w:r w:rsidRPr="00E51A92">
              <w:t xml:space="preserve">I think </w:t>
            </w:r>
            <w:r>
              <w:t xml:space="preserve">it’s </w:t>
            </w:r>
            <w:r w:rsidRPr="00E51A92">
              <w:t>of our mindset</w:t>
            </w:r>
            <w:r>
              <w:t xml:space="preserve"> to expect that when </w:t>
            </w:r>
            <w:r w:rsidRPr="00E51A92">
              <w:t xml:space="preserve">we open </w:t>
            </w:r>
            <w:r>
              <w:t>a NIMAS file</w:t>
            </w:r>
            <w:r w:rsidRPr="00E51A92">
              <w:t>, it's going to look like a PDF of the book</w:t>
            </w:r>
            <w:r>
              <w:t>. (NC)</w:t>
            </w:r>
          </w:p>
        </w:tc>
      </w:tr>
      <w:tr w:rsidR="008C34EB" w:rsidRPr="00475A16" w14:paraId="71E495B8" w14:textId="77777777" w:rsidTr="00B97982">
        <w:tc>
          <w:tcPr>
            <w:cnfStyle w:val="001000000000" w:firstRow="0" w:lastRow="0" w:firstColumn="1" w:lastColumn="0" w:oddVBand="0" w:evenVBand="0" w:oddHBand="0" w:evenHBand="0" w:firstRowFirstColumn="0" w:firstRowLastColumn="0" w:lastRowFirstColumn="0" w:lastRowLastColumn="0"/>
            <w:tcW w:w="3055" w:type="dxa"/>
          </w:tcPr>
          <w:p w14:paraId="267F41DC" w14:textId="77777777" w:rsidR="008C34EB" w:rsidRPr="00805F18" w:rsidRDefault="008C34EB" w:rsidP="008C34EB"/>
        </w:tc>
        <w:tc>
          <w:tcPr>
            <w:tcW w:w="6300" w:type="dxa"/>
          </w:tcPr>
          <w:p w14:paraId="7B0E6278" w14:textId="22EAA756" w:rsidR="008C34EB" w:rsidRDefault="008C34EB" w:rsidP="008C34EB">
            <w:pPr>
              <w:cnfStyle w:val="000000000000" w:firstRow="0" w:lastRow="0" w:firstColumn="0" w:lastColumn="0" w:oddVBand="0" w:evenVBand="0" w:oddHBand="0" w:evenHBand="0" w:firstRowFirstColumn="0" w:firstRowLastColumn="0" w:lastRowFirstColumn="0" w:lastRowLastColumn="0"/>
            </w:pPr>
            <w:r w:rsidRPr="00322544">
              <w:t xml:space="preserve">The greatest barrier is knowledge and understanding of </w:t>
            </w:r>
            <w:r>
              <w:t xml:space="preserve">the </w:t>
            </w:r>
            <w:r w:rsidRPr="00322544">
              <w:t>NIMAC</w:t>
            </w:r>
            <w:r>
              <w:t>. (NC)</w:t>
            </w:r>
          </w:p>
        </w:tc>
      </w:tr>
      <w:tr w:rsidR="008C34EB" w:rsidRPr="00475A16" w14:paraId="241D6FAA"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shd w:val="clear" w:color="auto" w:fill="D9E2F3"/>
          </w:tcPr>
          <w:p w14:paraId="15A5C0A5" w14:textId="1152F328" w:rsidR="008C34EB" w:rsidRPr="00805F18" w:rsidRDefault="008C34EB" w:rsidP="008C34EB">
            <w:r w:rsidRPr="00805F18">
              <w:t xml:space="preserve">NIMAS files </w:t>
            </w:r>
            <w:r>
              <w:t>are</w:t>
            </w:r>
            <w:r w:rsidRPr="00805F18">
              <w:t xml:space="preserve"> not in the NIMAC system</w:t>
            </w:r>
            <w:r>
              <w:t xml:space="preserve"> (10)</w:t>
            </w:r>
          </w:p>
        </w:tc>
        <w:tc>
          <w:tcPr>
            <w:tcW w:w="6300" w:type="dxa"/>
            <w:shd w:val="clear" w:color="auto" w:fill="D9E2F3"/>
          </w:tcPr>
          <w:p w14:paraId="12DC2FAB" w14:textId="1F1E9866" w:rsidR="008C34EB" w:rsidRPr="00475A16" w:rsidRDefault="008C34EB" w:rsidP="008C34EB">
            <w:pPr>
              <w:cnfStyle w:val="000000100000" w:firstRow="0" w:lastRow="0" w:firstColumn="0" w:lastColumn="0" w:oddVBand="0" w:evenVBand="0" w:oddHBand="1" w:evenHBand="0" w:firstRowFirstColumn="0" w:firstRowLastColumn="0" w:lastRowFirstColumn="0" w:lastRowLastColumn="0"/>
            </w:pPr>
            <w:r>
              <w:t>W</w:t>
            </w:r>
            <w:r w:rsidRPr="00CF60D4">
              <w:t>e have r</w:t>
            </w:r>
            <w:r>
              <w:t>un</w:t>
            </w:r>
            <w:r w:rsidRPr="00CF60D4">
              <w:t xml:space="preserve"> into some publishers </w:t>
            </w:r>
            <w:r>
              <w:t xml:space="preserve">who are </w:t>
            </w:r>
            <w:r w:rsidRPr="00CF60D4">
              <w:t xml:space="preserve">not willing to deposit textbooks into the </w:t>
            </w:r>
            <w:r>
              <w:t>NIMAC.</w:t>
            </w:r>
            <w:r w:rsidRPr="00CF60D4">
              <w:t xml:space="preserve"> So, now we're waiting. </w:t>
            </w:r>
            <w:r>
              <w:t>(OH)</w:t>
            </w:r>
          </w:p>
        </w:tc>
      </w:tr>
      <w:tr w:rsidR="008C34EB" w:rsidRPr="00475A16" w14:paraId="40A10EF7" w14:textId="77777777" w:rsidTr="00B97982">
        <w:tc>
          <w:tcPr>
            <w:cnfStyle w:val="001000000000" w:firstRow="0" w:lastRow="0" w:firstColumn="1" w:lastColumn="0" w:oddVBand="0" w:evenVBand="0" w:oddHBand="0" w:evenHBand="0" w:firstRowFirstColumn="0" w:firstRowLastColumn="0" w:lastRowFirstColumn="0" w:lastRowLastColumn="0"/>
            <w:tcW w:w="3055" w:type="dxa"/>
          </w:tcPr>
          <w:p w14:paraId="65EB9F23" w14:textId="77777777" w:rsidR="008C34EB" w:rsidRPr="00805F18" w:rsidRDefault="008C34EB" w:rsidP="008C34EB"/>
        </w:tc>
        <w:tc>
          <w:tcPr>
            <w:tcW w:w="6300" w:type="dxa"/>
          </w:tcPr>
          <w:p w14:paraId="1B44FCC0" w14:textId="37C77B4F" w:rsidR="008C34EB" w:rsidRPr="00475A16" w:rsidRDefault="008C34EB" w:rsidP="008C34EB">
            <w:pPr>
              <w:cnfStyle w:val="000000000000" w:firstRow="0" w:lastRow="0" w:firstColumn="0" w:lastColumn="0" w:oddVBand="0" w:evenVBand="0" w:oddHBand="0" w:evenHBand="0" w:firstRowFirstColumn="0" w:firstRowLastColumn="0" w:lastRowFirstColumn="0" w:lastRowLastColumn="0"/>
            </w:pPr>
            <w:r w:rsidRPr="00331F17">
              <w:t>When we don't have a NIMAS file, it can add several months to our already long turnaround times</w:t>
            </w:r>
            <w:r>
              <w:t>. T</w:t>
            </w:r>
            <w:r w:rsidRPr="00331F17">
              <w:t>his also cause</w:t>
            </w:r>
            <w:r>
              <w:t>s</w:t>
            </w:r>
            <w:r w:rsidRPr="00331F17">
              <w:t xml:space="preserve"> us to fall behind on timely delivery</w:t>
            </w:r>
            <w:r>
              <w:t>. (UT)</w:t>
            </w:r>
          </w:p>
        </w:tc>
      </w:tr>
      <w:tr w:rsidR="008C34EB" w:rsidRPr="00475A16" w14:paraId="6BE7A74C"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shd w:val="clear" w:color="auto" w:fill="D9E2F3"/>
          </w:tcPr>
          <w:p w14:paraId="18F6602C" w14:textId="77777777" w:rsidR="008C34EB" w:rsidRPr="00805F18" w:rsidRDefault="008C34EB" w:rsidP="008C34EB"/>
        </w:tc>
        <w:tc>
          <w:tcPr>
            <w:tcW w:w="6300" w:type="dxa"/>
            <w:shd w:val="clear" w:color="auto" w:fill="D9E2F3"/>
          </w:tcPr>
          <w:p w14:paraId="3ED426F7" w14:textId="6DAE7646" w:rsidR="008C34EB" w:rsidRPr="00475A16" w:rsidRDefault="008C34EB" w:rsidP="008C34EB">
            <w:pPr>
              <w:cnfStyle w:val="000000100000" w:firstRow="0" w:lastRow="0" w:firstColumn="0" w:lastColumn="0" w:oddVBand="0" w:evenVBand="0" w:oddHBand="1" w:evenHBand="0" w:firstRowFirstColumn="0" w:firstRowLastColumn="0" w:lastRowFirstColumn="0" w:lastRowLastColumn="0"/>
            </w:pPr>
            <w:r>
              <w:t>I</w:t>
            </w:r>
            <w:r w:rsidRPr="00914CDD">
              <w:t xml:space="preserve">t's going to take a little longer if I look </w:t>
            </w:r>
            <w:r>
              <w:t xml:space="preserve">for a NIMAS file </w:t>
            </w:r>
            <w:r w:rsidRPr="00914CDD">
              <w:t>and it's not available</w:t>
            </w:r>
            <w:r>
              <w:t xml:space="preserve"> in the NIMAC repository. (IA)</w:t>
            </w:r>
          </w:p>
        </w:tc>
      </w:tr>
      <w:tr w:rsidR="008C34EB" w:rsidRPr="00475A16" w14:paraId="0D798DB7" w14:textId="77777777" w:rsidTr="00B97982">
        <w:tc>
          <w:tcPr>
            <w:cnfStyle w:val="001000000000" w:firstRow="0" w:lastRow="0" w:firstColumn="1" w:lastColumn="0" w:oddVBand="0" w:evenVBand="0" w:oddHBand="0" w:evenHBand="0" w:firstRowFirstColumn="0" w:firstRowLastColumn="0" w:lastRowFirstColumn="0" w:lastRowLastColumn="0"/>
            <w:tcW w:w="3055" w:type="dxa"/>
          </w:tcPr>
          <w:p w14:paraId="689A071C" w14:textId="5D9D3E72" w:rsidR="008C34EB" w:rsidRPr="00475A16" w:rsidRDefault="008C34EB" w:rsidP="008C34EB">
            <w:pPr>
              <w:rPr>
                <w:rFonts w:cstheme="minorHAnsi"/>
              </w:rPr>
            </w:pPr>
            <w:r w:rsidRPr="00805F18">
              <w:t>Differences between NIMAS files and textbooks in classroom (same ISBN)</w:t>
            </w:r>
            <w:r>
              <w:t xml:space="preserve"> (5)</w:t>
            </w:r>
          </w:p>
        </w:tc>
        <w:tc>
          <w:tcPr>
            <w:tcW w:w="6300" w:type="dxa"/>
          </w:tcPr>
          <w:p w14:paraId="780FB401" w14:textId="020E6D13" w:rsidR="008C34EB" w:rsidRPr="00475A16" w:rsidRDefault="008C34EB" w:rsidP="008C34EB">
            <w:pPr>
              <w:cnfStyle w:val="000000000000" w:firstRow="0" w:lastRow="0" w:firstColumn="0" w:lastColumn="0" w:oddVBand="0" w:evenVBand="0" w:oddHBand="0" w:evenHBand="0" w:firstRowFirstColumn="0" w:firstRowLastColumn="0" w:lastRowFirstColumn="0" w:lastRowLastColumn="0"/>
            </w:pPr>
            <w:r w:rsidRPr="00EB7746">
              <w:t>Publishers put out the original NIMA</w:t>
            </w:r>
            <w:r>
              <w:t>S</w:t>
            </w:r>
            <w:r w:rsidRPr="00EB7746">
              <w:t xml:space="preserve"> file that they never update</w:t>
            </w:r>
            <w:r>
              <w:t>; this leads to current editions of the textbook not matching the NIMAS file. (Prison Braille Forum)</w:t>
            </w:r>
          </w:p>
        </w:tc>
      </w:tr>
      <w:tr w:rsidR="008C34EB" w:rsidRPr="00475A16" w14:paraId="081CCAD8"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shd w:val="clear" w:color="auto" w:fill="D9E2F3"/>
          </w:tcPr>
          <w:p w14:paraId="0B3E68FF" w14:textId="4F7AB7B5" w:rsidR="008C34EB" w:rsidRPr="00211E32" w:rsidRDefault="008C34EB" w:rsidP="008C34EB">
            <w:pPr>
              <w:rPr>
                <w:rFonts w:cstheme="minorHAnsi"/>
                <w:b w:val="0"/>
                <w:bCs w:val="0"/>
              </w:rPr>
            </w:pPr>
          </w:p>
        </w:tc>
        <w:tc>
          <w:tcPr>
            <w:tcW w:w="6300" w:type="dxa"/>
            <w:shd w:val="clear" w:color="auto" w:fill="D9E2F3"/>
          </w:tcPr>
          <w:p w14:paraId="744EA4FF" w14:textId="1D4187D0" w:rsidR="008C34EB" w:rsidRPr="00475A16" w:rsidRDefault="008C34EB" w:rsidP="008C34EB">
            <w:pPr>
              <w:cnfStyle w:val="000000100000" w:firstRow="0" w:lastRow="0" w:firstColumn="0" w:lastColumn="0" w:oddVBand="0" w:evenVBand="0" w:oddHBand="1" w:evenHBand="0" w:firstRowFirstColumn="0" w:firstRowLastColumn="0" w:lastRowFirstColumn="0" w:lastRowLastColumn="0"/>
            </w:pPr>
            <w:r w:rsidRPr="00EB7746">
              <w:t>One of the biggest things is NIMAS files not matching books</w:t>
            </w:r>
            <w:r>
              <w:t>, because publishers do not add updated files to the NIMAC repository when there are new editions. (Prison Braille Forum)</w:t>
            </w:r>
          </w:p>
        </w:tc>
      </w:tr>
      <w:tr w:rsidR="008C34EB" w:rsidRPr="00475A16" w14:paraId="0C300CC6" w14:textId="77777777" w:rsidTr="00B97982">
        <w:tc>
          <w:tcPr>
            <w:cnfStyle w:val="001000000000" w:firstRow="0" w:lastRow="0" w:firstColumn="1" w:lastColumn="0" w:oddVBand="0" w:evenVBand="0" w:oddHBand="0" w:evenHBand="0" w:firstRowFirstColumn="0" w:firstRowLastColumn="0" w:lastRowFirstColumn="0" w:lastRowLastColumn="0"/>
            <w:tcW w:w="3055" w:type="dxa"/>
          </w:tcPr>
          <w:p w14:paraId="07AEC856" w14:textId="74718BBB" w:rsidR="008C34EB" w:rsidRPr="00475A16" w:rsidRDefault="008C34EB" w:rsidP="008C34EB">
            <w:pPr>
              <w:rPr>
                <w:rFonts w:cstheme="minorHAnsi"/>
              </w:rPr>
            </w:pPr>
            <w:r>
              <w:rPr>
                <w:rFonts w:cstheme="minorHAnsi"/>
              </w:rPr>
              <w:t xml:space="preserve">Waiting for publishers to submit files to NIMAC Watchlist (5) </w:t>
            </w:r>
          </w:p>
        </w:tc>
        <w:tc>
          <w:tcPr>
            <w:tcW w:w="6300" w:type="dxa"/>
          </w:tcPr>
          <w:p w14:paraId="57484FF3" w14:textId="0BA2EA7D" w:rsidR="008C34EB" w:rsidRPr="00475A16" w:rsidRDefault="008C34EB" w:rsidP="008C34EB">
            <w:pPr>
              <w:cnfStyle w:val="000000000000" w:firstRow="0" w:lastRow="0" w:firstColumn="0" w:lastColumn="0" w:oddVBand="0" w:evenVBand="0" w:oddHBand="0" w:evenHBand="0" w:firstRowFirstColumn="0" w:firstRowLastColumn="0" w:lastRowFirstColumn="0" w:lastRowLastColumn="0"/>
            </w:pPr>
            <w:r>
              <w:t>P</w:t>
            </w:r>
            <w:r w:rsidRPr="008E6AEA">
              <w:t xml:space="preserve">utting items on the </w:t>
            </w:r>
            <w:r>
              <w:t>Watchlist</w:t>
            </w:r>
            <w:r w:rsidRPr="008E6AEA">
              <w:t xml:space="preserve"> can take up to 60 days for </w:t>
            </w:r>
            <w:r>
              <w:t>a</w:t>
            </w:r>
            <w:r w:rsidRPr="008E6AEA">
              <w:t xml:space="preserve"> publisher to get the file into the </w:t>
            </w:r>
            <w:r>
              <w:t>NIMAC</w:t>
            </w:r>
            <w:r w:rsidRPr="008E6AEA">
              <w:t>. So, there's a lot of waiting time.</w:t>
            </w:r>
            <w:r>
              <w:t xml:space="preserve"> (OH)</w:t>
            </w:r>
          </w:p>
        </w:tc>
      </w:tr>
      <w:tr w:rsidR="008C34EB" w:rsidRPr="00475A16" w14:paraId="5B0D09C9"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shd w:val="clear" w:color="auto" w:fill="D9E2F3"/>
          </w:tcPr>
          <w:p w14:paraId="2A66C632" w14:textId="77777777" w:rsidR="008C34EB" w:rsidRPr="00475A16" w:rsidRDefault="008C34EB" w:rsidP="008C34EB">
            <w:pPr>
              <w:rPr>
                <w:rFonts w:cstheme="minorHAnsi"/>
              </w:rPr>
            </w:pPr>
          </w:p>
        </w:tc>
        <w:tc>
          <w:tcPr>
            <w:tcW w:w="6300" w:type="dxa"/>
            <w:shd w:val="clear" w:color="auto" w:fill="D9E2F3"/>
          </w:tcPr>
          <w:p w14:paraId="43CE43D5" w14:textId="206E3C92" w:rsidR="008C34EB" w:rsidRPr="00475A16" w:rsidRDefault="008C34EB" w:rsidP="008C34EB">
            <w:pPr>
              <w:cnfStyle w:val="000000100000" w:firstRow="0" w:lastRow="0" w:firstColumn="0" w:lastColumn="0" w:oddVBand="0" w:evenVBand="0" w:oddHBand="1" w:evenHBand="0" w:firstRowFirstColumn="0" w:firstRowLastColumn="0" w:lastRowFirstColumn="0" w:lastRowLastColumn="0"/>
            </w:pPr>
            <w:r w:rsidRPr="008E6AEA">
              <w:t xml:space="preserve">Unfortunately for large print, because we move faster than braille, 9 times out of 10 we’ve got it done before it shows </w:t>
            </w:r>
            <w:r>
              <w:t>up in the NIMAC system after being added to the Watchlist. (Prison Braille Forum)</w:t>
            </w:r>
          </w:p>
        </w:tc>
      </w:tr>
      <w:tr w:rsidR="008C34EB" w:rsidRPr="00475A16" w14:paraId="124D76D1" w14:textId="77777777" w:rsidTr="00B97982">
        <w:tc>
          <w:tcPr>
            <w:cnfStyle w:val="001000000000" w:firstRow="0" w:lastRow="0" w:firstColumn="1" w:lastColumn="0" w:oddVBand="0" w:evenVBand="0" w:oddHBand="0" w:evenHBand="0" w:firstRowFirstColumn="0" w:firstRowLastColumn="0" w:lastRowFirstColumn="0" w:lastRowLastColumn="0"/>
            <w:tcW w:w="3055" w:type="dxa"/>
          </w:tcPr>
          <w:p w14:paraId="1E3D41D5" w14:textId="77777777" w:rsidR="008C34EB" w:rsidRPr="00475A16" w:rsidRDefault="008C34EB" w:rsidP="008C34EB">
            <w:pPr>
              <w:rPr>
                <w:rFonts w:cstheme="minorHAnsi"/>
              </w:rPr>
            </w:pPr>
          </w:p>
        </w:tc>
        <w:tc>
          <w:tcPr>
            <w:tcW w:w="6300" w:type="dxa"/>
          </w:tcPr>
          <w:p w14:paraId="2F134BBE" w14:textId="2E1A5948" w:rsidR="008C34EB" w:rsidRPr="00475A16" w:rsidRDefault="008C34EB" w:rsidP="008C34EB">
            <w:pPr>
              <w:cnfStyle w:val="000000000000" w:firstRow="0" w:lastRow="0" w:firstColumn="0" w:lastColumn="0" w:oddVBand="0" w:evenVBand="0" w:oddHBand="0" w:evenHBand="0" w:firstRowFirstColumn="0" w:firstRowLastColumn="0" w:lastRowFirstColumn="0" w:lastRowLastColumn="0"/>
            </w:pPr>
            <w:r w:rsidRPr="008E6AEA">
              <w:t xml:space="preserve">Sometimes we cannot wait </w:t>
            </w:r>
            <w:proofErr w:type="gramStart"/>
            <w:r w:rsidRPr="008E6AEA">
              <w:t>on</w:t>
            </w:r>
            <w:proofErr w:type="gramEnd"/>
            <w:r w:rsidRPr="008E6AEA">
              <w:t xml:space="preserve"> materials to be added to the NIMAC from the </w:t>
            </w:r>
            <w:r>
              <w:t>W</w:t>
            </w:r>
            <w:r w:rsidRPr="008E6AEA">
              <w:t xml:space="preserve">atchlist because </w:t>
            </w:r>
            <w:r>
              <w:t xml:space="preserve">they may </w:t>
            </w:r>
            <w:r w:rsidRPr="008E6AEA">
              <w:t>never show up.</w:t>
            </w:r>
            <w:r>
              <w:t xml:space="preserve"> (KY)</w:t>
            </w:r>
          </w:p>
        </w:tc>
      </w:tr>
      <w:bookmarkEnd w:id="68"/>
      <w:bookmarkEnd w:id="69"/>
    </w:tbl>
    <w:p w14:paraId="40DD9E90" w14:textId="77777777" w:rsidR="00177916" w:rsidRDefault="00177916" w:rsidP="00475A16">
      <w:pPr>
        <w:spacing w:after="0" w:line="276" w:lineRule="auto"/>
        <w:rPr>
          <w:rFonts w:ascii="Calibri" w:hAnsi="Calibri" w:cs="Calibri"/>
          <w:bCs/>
          <w:sz w:val="24"/>
          <w:szCs w:val="24"/>
        </w:rPr>
      </w:pPr>
    </w:p>
    <w:p w14:paraId="13FB86C9" w14:textId="77777777" w:rsidR="004668F3" w:rsidRDefault="004668F3" w:rsidP="00475A16">
      <w:pPr>
        <w:spacing w:after="0" w:line="276" w:lineRule="auto"/>
        <w:rPr>
          <w:rFonts w:ascii="Calibri" w:hAnsi="Calibri" w:cs="Calibri"/>
          <w:bCs/>
          <w:sz w:val="24"/>
          <w:szCs w:val="24"/>
        </w:rPr>
      </w:pPr>
    </w:p>
    <w:p w14:paraId="0B0703EF" w14:textId="7E1AFC67" w:rsidR="006F301F" w:rsidRDefault="00B55C67" w:rsidP="00F95B49">
      <w:pPr>
        <w:spacing w:after="0" w:line="276" w:lineRule="auto"/>
        <w:rPr>
          <w:rFonts w:ascii="Calibri" w:hAnsi="Calibri" w:cs="Calibri"/>
          <w:bCs/>
          <w:sz w:val="24"/>
          <w:szCs w:val="24"/>
        </w:rPr>
      </w:pPr>
      <w:r>
        <w:rPr>
          <w:rFonts w:ascii="ZWAdobeF" w:hAnsi="ZWAdobeF" w:cs="ZWAdobeF"/>
          <w:bCs/>
          <w:sz w:val="2"/>
          <w:szCs w:val="2"/>
        </w:rPr>
        <w:t>192B</w:t>
      </w:r>
      <w:r w:rsidR="00CD732D">
        <w:rPr>
          <w:rFonts w:ascii="Calibri" w:hAnsi="Calibri" w:cs="Calibri"/>
          <w:bCs/>
          <w:sz w:val="24"/>
          <w:szCs w:val="24"/>
        </w:rPr>
        <w:t>P</w:t>
      </w:r>
      <w:r w:rsidR="00DF35A4">
        <w:rPr>
          <w:rFonts w:ascii="Calibri" w:hAnsi="Calibri" w:cs="Calibri"/>
          <w:bCs/>
          <w:sz w:val="24"/>
          <w:szCs w:val="24"/>
        </w:rPr>
        <w:t xml:space="preserve">articipants offered potential strategies to </w:t>
      </w:r>
      <w:r w:rsidR="00560C1C">
        <w:rPr>
          <w:rFonts w:ascii="Calibri" w:hAnsi="Calibri" w:cs="Calibri"/>
          <w:bCs/>
          <w:sz w:val="24"/>
          <w:szCs w:val="24"/>
        </w:rPr>
        <w:t>address</w:t>
      </w:r>
      <w:r w:rsidR="00DF35A4">
        <w:rPr>
          <w:rFonts w:ascii="Calibri" w:hAnsi="Calibri" w:cs="Calibri"/>
          <w:bCs/>
          <w:sz w:val="24"/>
          <w:szCs w:val="24"/>
        </w:rPr>
        <w:t xml:space="preserve"> </w:t>
      </w:r>
      <w:r w:rsidR="00CD732D">
        <w:rPr>
          <w:rFonts w:ascii="Calibri" w:hAnsi="Calibri" w:cs="Calibri"/>
          <w:bCs/>
          <w:sz w:val="24"/>
          <w:szCs w:val="24"/>
        </w:rPr>
        <w:t xml:space="preserve">NIMAC-related </w:t>
      </w:r>
      <w:r w:rsidR="009918D3">
        <w:rPr>
          <w:rFonts w:ascii="Calibri" w:hAnsi="Calibri" w:cs="Calibri"/>
          <w:bCs/>
          <w:sz w:val="24"/>
          <w:szCs w:val="24"/>
        </w:rPr>
        <w:t>challenges</w:t>
      </w:r>
      <w:r w:rsidR="00DF35A4">
        <w:rPr>
          <w:rFonts w:ascii="Calibri" w:hAnsi="Calibri" w:cs="Calibri"/>
          <w:bCs/>
          <w:sz w:val="24"/>
          <w:szCs w:val="24"/>
        </w:rPr>
        <w:t xml:space="preserve"> </w:t>
      </w:r>
      <w:r w:rsidR="00CD732D">
        <w:rPr>
          <w:rFonts w:ascii="Calibri" w:hAnsi="Calibri" w:cs="Calibri"/>
          <w:bCs/>
          <w:sz w:val="24"/>
          <w:szCs w:val="24"/>
        </w:rPr>
        <w:t>to</w:t>
      </w:r>
      <w:r w:rsidR="00CD732D" w:rsidRPr="00CD732D">
        <w:rPr>
          <w:rFonts w:ascii="Calibri" w:hAnsi="Calibri" w:cs="Calibri"/>
          <w:bCs/>
          <w:sz w:val="24"/>
          <w:szCs w:val="24"/>
        </w:rPr>
        <w:t xml:space="preserve"> </w:t>
      </w:r>
      <w:r w:rsidR="00CD732D">
        <w:rPr>
          <w:rFonts w:ascii="Calibri" w:hAnsi="Calibri" w:cs="Calibri"/>
          <w:bCs/>
          <w:sz w:val="24"/>
          <w:szCs w:val="24"/>
        </w:rPr>
        <w:t>t</w:t>
      </w:r>
      <w:r w:rsidR="00CD732D" w:rsidRPr="00CD732D">
        <w:rPr>
          <w:rFonts w:ascii="Calibri" w:hAnsi="Calibri" w:cs="Calibri"/>
          <w:bCs/>
          <w:sz w:val="24"/>
          <w:szCs w:val="24"/>
        </w:rPr>
        <w:t xml:space="preserve">imely </w:t>
      </w:r>
      <w:r w:rsidR="00CD732D">
        <w:rPr>
          <w:rFonts w:ascii="Calibri" w:hAnsi="Calibri" w:cs="Calibri"/>
          <w:bCs/>
          <w:sz w:val="24"/>
          <w:szCs w:val="24"/>
        </w:rPr>
        <w:t>d</w:t>
      </w:r>
      <w:r w:rsidR="00CD732D" w:rsidRPr="00CD732D">
        <w:rPr>
          <w:rFonts w:ascii="Calibri" w:hAnsi="Calibri" w:cs="Calibri"/>
          <w:bCs/>
          <w:sz w:val="24"/>
          <w:szCs w:val="24"/>
        </w:rPr>
        <w:t xml:space="preserve">elivery </w:t>
      </w:r>
      <w:r w:rsidR="00DF35A4">
        <w:rPr>
          <w:rFonts w:ascii="Calibri" w:hAnsi="Calibri" w:cs="Calibri"/>
          <w:bCs/>
          <w:sz w:val="24"/>
          <w:szCs w:val="24"/>
        </w:rPr>
        <w:t xml:space="preserve">(across </w:t>
      </w:r>
      <w:r w:rsidR="009918D3">
        <w:rPr>
          <w:rFonts w:ascii="Calibri" w:hAnsi="Calibri" w:cs="Calibri"/>
          <w:bCs/>
          <w:sz w:val="24"/>
          <w:szCs w:val="24"/>
        </w:rPr>
        <w:t>6</w:t>
      </w:r>
      <w:r w:rsidR="00DF35A4">
        <w:rPr>
          <w:rFonts w:ascii="Calibri" w:hAnsi="Calibri" w:cs="Calibri"/>
          <w:bCs/>
          <w:sz w:val="24"/>
          <w:szCs w:val="24"/>
        </w:rPr>
        <w:t xml:space="preserve"> excerpts)</w:t>
      </w:r>
      <w:r w:rsidR="00CD732D">
        <w:rPr>
          <w:rFonts w:ascii="Calibri" w:hAnsi="Calibri" w:cs="Calibri"/>
          <w:bCs/>
          <w:sz w:val="24"/>
          <w:szCs w:val="24"/>
        </w:rPr>
        <w:t>. These included</w:t>
      </w:r>
      <w:r w:rsidR="00DF35A4">
        <w:rPr>
          <w:rFonts w:ascii="Calibri" w:hAnsi="Calibri" w:cs="Calibri"/>
          <w:bCs/>
          <w:sz w:val="24"/>
          <w:szCs w:val="24"/>
        </w:rPr>
        <w:t xml:space="preserve"> NIMAC-sponsored courses to</w:t>
      </w:r>
      <w:r w:rsidR="00177916">
        <w:rPr>
          <w:rFonts w:ascii="Calibri" w:hAnsi="Calibri" w:cs="Calibri"/>
          <w:bCs/>
          <w:sz w:val="24"/>
          <w:szCs w:val="24"/>
        </w:rPr>
        <w:t xml:space="preserve"> learn how to</w:t>
      </w:r>
      <w:r w:rsidR="00DF35A4">
        <w:rPr>
          <w:rFonts w:ascii="Calibri" w:hAnsi="Calibri" w:cs="Calibri"/>
          <w:bCs/>
          <w:sz w:val="24"/>
          <w:szCs w:val="24"/>
        </w:rPr>
        <w:t xml:space="preserve"> “utilize the NIMAS file better for large print” and </w:t>
      </w:r>
      <w:r w:rsidR="009918D3">
        <w:rPr>
          <w:rFonts w:ascii="Calibri" w:hAnsi="Calibri" w:cs="Calibri"/>
          <w:bCs/>
          <w:sz w:val="24"/>
          <w:szCs w:val="24"/>
        </w:rPr>
        <w:t xml:space="preserve">to </w:t>
      </w:r>
      <w:r w:rsidR="00DF35A4">
        <w:rPr>
          <w:rFonts w:ascii="Calibri" w:hAnsi="Calibri" w:cs="Calibri"/>
          <w:bCs/>
          <w:sz w:val="24"/>
          <w:szCs w:val="24"/>
        </w:rPr>
        <w:t>teach the “ins and outs of everyday work with a NIMAS file.” One participant noted that NIMAC-cr</w:t>
      </w:r>
      <w:r w:rsidR="009918D3">
        <w:rPr>
          <w:rFonts w:ascii="Calibri" w:hAnsi="Calibri" w:cs="Calibri"/>
          <w:bCs/>
          <w:sz w:val="24"/>
          <w:szCs w:val="24"/>
        </w:rPr>
        <w:t>e</w:t>
      </w:r>
      <w:r w:rsidR="00DF35A4">
        <w:rPr>
          <w:rFonts w:ascii="Calibri" w:hAnsi="Calibri" w:cs="Calibri"/>
          <w:bCs/>
          <w:sz w:val="24"/>
          <w:szCs w:val="24"/>
        </w:rPr>
        <w:t xml:space="preserve">ated </w:t>
      </w:r>
      <w:r w:rsidR="009918D3">
        <w:rPr>
          <w:rFonts w:ascii="Calibri" w:hAnsi="Calibri" w:cs="Calibri"/>
          <w:bCs/>
          <w:sz w:val="24"/>
          <w:szCs w:val="24"/>
        </w:rPr>
        <w:t xml:space="preserve">online </w:t>
      </w:r>
      <w:r w:rsidR="00DF35A4">
        <w:rPr>
          <w:rFonts w:ascii="Calibri" w:hAnsi="Calibri" w:cs="Calibri"/>
          <w:bCs/>
          <w:sz w:val="24"/>
          <w:szCs w:val="24"/>
        </w:rPr>
        <w:t>videos have been helpful, and they would benefit from trainings that were</w:t>
      </w:r>
      <w:r w:rsidR="009918D3">
        <w:rPr>
          <w:rFonts w:ascii="Calibri" w:hAnsi="Calibri" w:cs="Calibri"/>
          <w:bCs/>
          <w:sz w:val="24"/>
          <w:szCs w:val="24"/>
        </w:rPr>
        <w:t xml:space="preserve"> even</w:t>
      </w:r>
      <w:r w:rsidR="00DF35A4">
        <w:rPr>
          <w:rFonts w:ascii="Calibri" w:hAnsi="Calibri" w:cs="Calibri"/>
          <w:bCs/>
          <w:sz w:val="24"/>
          <w:szCs w:val="24"/>
        </w:rPr>
        <w:t xml:space="preserve"> “more comprehensive.” </w:t>
      </w:r>
    </w:p>
    <w:p w14:paraId="117C44B1" w14:textId="77777777" w:rsidR="002D1DC5" w:rsidRDefault="002D1DC5" w:rsidP="00E91F41">
      <w:pPr>
        <w:spacing w:after="0" w:line="276" w:lineRule="auto"/>
        <w:rPr>
          <w:rFonts w:ascii="Calibri" w:hAnsi="Calibri" w:cs="Calibri"/>
          <w:bCs/>
          <w:sz w:val="24"/>
          <w:szCs w:val="24"/>
        </w:rPr>
      </w:pPr>
    </w:p>
    <w:p w14:paraId="25E9C64B" w14:textId="2EBEF12D" w:rsidR="00C14BBB" w:rsidRDefault="00B55C67" w:rsidP="00E91F41">
      <w:pPr>
        <w:spacing w:after="0" w:line="276" w:lineRule="auto"/>
        <w:rPr>
          <w:rFonts w:ascii="Calibri" w:hAnsi="Calibri" w:cs="Calibri"/>
          <w:bCs/>
          <w:sz w:val="24"/>
          <w:szCs w:val="24"/>
        </w:rPr>
      </w:pPr>
      <w:r>
        <w:rPr>
          <w:rFonts w:ascii="ZWAdobeF" w:hAnsi="ZWAdobeF" w:cs="ZWAdobeF"/>
          <w:bCs/>
          <w:sz w:val="2"/>
          <w:szCs w:val="2"/>
        </w:rPr>
        <w:lastRenderedPageBreak/>
        <w:t>193B</w:t>
      </w:r>
      <w:r w:rsidR="002A105E" w:rsidRPr="002A105E">
        <w:rPr>
          <w:rFonts w:ascii="Calibri" w:hAnsi="Calibri" w:cs="Calibri"/>
          <w:bCs/>
          <w:sz w:val="24"/>
          <w:szCs w:val="24"/>
        </w:rPr>
        <w:t xml:space="preserve">To explore </w:t>
      </w:r>
      <w:r w:rsidR="006404A8">
        <w:rPr>
          <w:rFonts w:ascii="Calibri" w:hAnsi="Calibri" w:cs="Calibri"/>
          <w:bCs/>
          <w:sz w:val="24"/>
          <w:szCs w:val="24"/>
        </w:rPr>
        <w:t xml:space="preserve">the third domain of </w:t>
      </w:r>
      <w:r w:rsidR="002A105E" w:rsidRPr="002A105E">
        <w:rPr>
          <w:rFonts w:ascii="Calibri" w:hAnsi="Calibri" w:cs="Calibri"/>
          <w:bCs/>
          <w:sz w:val="24"/>
          <w:szCs w:val="24"/>
        </w:rPr>
        <w:t xml:space="preserve">factors that hinder timely delivery of accessible formats, survey respondents were presented with a list of </w:t>
      </w:r>
      <w:r w:rsidR="006404A8">
        <w:rPr>
          <w:rFonts w:ascii="Calibri" w:hAnsi="Calibri" w:cs="Calibri"/>
          <w:bCs/>
          <w:sz w:val="24"/>
          <w:szCs w:val="24"/>
        </w:rPr>
        <w:t xml:space="preserve">production-related </w:t>
      </w:r>
      <w:r w:rsidR="002A105E" w:rsidRPr="002A105E">
        <w:rPr>
          <w:rFonts w:ascii="Calibri" w:hAnsi="Calibri" w:cs="Calibri"/>
          <w:bCs/>
          <w:sz w:val="24"/>
          <w:szCs w:val="24"/>
        </w:rPr>
        <w:t xml:space="preserve">practices (all of which are included in Figure </w:t>
      </w:r>
      <w:r w:rsidR="00C14BBB">
        <w:rPr>
          <w:rFonts w:ascii="Calibri" w:hAnsi="Calibri" w:cs="Calibri"/>
          <w:bCs/>
          <w:sz w:val="24"/>
          <w:szCs w:val="24"/>
        </w:rPr>
        <w:t>2</w:t>
      </w:r>
      <w:r w:rsidR="00EE4A78">
        <w:rPr>
          <w:rFonts w:ascii="Calibri" w:hAnsi="Calibri" w:cs="Calibri"/>
          <w:bCs/>
          <w:sz w:val="24"/>
          <w:szCs w:val="24"/>
        </w:rPr>
        <w:t>6</w:t>
      </w:r>
      <w:r w:rsidR="002A105E" w:rsidRPr="002A105E">
        <w:rPr>
          <w:rFonts w:ascii="Calibri" w:hAnsi="Calibri" w:cs="Calibri"/>
          <w:bCs/>
          <w:sz w:val="24"/>
          <w:szCs w:val="24"/>
        </w:rPr>
        <w:t>)</w:t>
      </w:r>
      <w:r w:rsidR="002D1DC5">
        <w:rPr>
          <w:rFonts w:ascii="Calibri" w:hAnsi="Calibri" w:cs="Calibri"/>
          <w:bCs/>
          <w:sz w:val="24"/>
          <w:szCs w:val="24"/>
        </w:rPr>
        <w:t xml:space="preserve"> and asked to select the factors that hinder timely delivery</w:t>
      </w:r>
      <w:r w:rsidR="002A105E" w:rsidRPr="002A105E">
        <w:rPr>
          <w:rFonts w:ascii="Calibri" w:hAnsi="Calibri" w:cs="Calibri"/>
          <w:bCs/>
          <w:sz w:val="24"/>
          <w:szCs w:val="24"/>
        </w:rPr>
        <w:t>.</w:t>
      </w:r>
      <w:r>
        <w:rPr>
          <w:rFonts w:ascii="ZWAdobeF" w:hAnsi="ZWAdobeF" w:cs="ZWAdobeF"/>
          <w:bCs/>
          <w:sz w:val="2"/>
          <w:szCs w:val="2"/>
        </w:rPr>
        <w:t>54F</w:t>
      </w:r>
      <w:r w:rsidR="00BB4D0B">
        <w:rPr>
          <w:rStyle w:val="FootnoteReference"/>
          <w:rFonts w:ascii="Calibri" w:hAnsi="Calibri" w:cs="Calibri"/>
          <w:bCs/>
          <w:sz w:val="24"/>
          <w:szCs w:val="24"/>
        </w:rPr>
        <w:footnoteReference w:id="56"/>
      </w:r>
      <w:r w:rsidR="00B45749">
        <w:rPr>
          <w:rFonts w:ascii="Calibri" w:hAnsi="Calibri" w:cs="Calibri"/>
          <w:bCs/>
          <w:sz w:val="24"/>
          <w:szCs w:val="24"/>
        </w:rPr>
        <w:t xml:space="preserve"> </w:t>
      </w:r>
      <w:r w:rsidR="006404A8">
        <w:rPr>
          <w:rFonts w:ascii="Calibri" w:hAnsi="Calibri" w:cs="Calibri"/>
          <w:bCs/>
          <w:sz w:val="24"/>
          <w:szCs w:val="24"/>
        </w:rPr>
        <w:t>Nearly three-quarters of survey respondents indicated timely delivery is hindered by</w:t>
      </w:r>
      <w:r w:rsidR="00B45749">
        <w:rPr>
          <w:rFonts w:ascii="Calibri" w:hAnsi="Calibri" w:cs="Calibri"/>
          <w:bCs/>
          <w:sz w:val="24"/>
          <w:szCs w:val="24"/>
        </w:rPr>
        <w:t xml:space="preserve"> “</w:t>
      </w:r>
      <w:r w:rsidR="00B45749" w:rsidRPr="00B45749">
        <w:rPr>
          <w:rFonts w:ascii="Calibri" w:hAnsi="Calibri" w:cs="Calibri"/>
          <w:bCs/>
          <w:sz w:val="24"/>
          <w:szCs w:val="24"/>
        </w:rPr>
        <w:t>Delays associated with obtaining a physical copy of the instructional material before the accessible format can be created</w:t>
      </w:r>
      <w:r w:rsidR="00B45749">
        <w:rPr>
          <w:rFonts w:ascii="Calibri" w:hAnsi="Calibri" w:cs="Calibri"/>
          <w:bCs/>
          <w:sz w:val="24"/>
          <w:szCs w:val="24"/>
        </w:rPr>
        <w:t xml:space="preserve">” </w:t>
      </w:r>
      <w:r w:rsidR="006404A8">
        <w:rPr>
          <w:rFonts w:ascii="Calibri" w:hAnsi="Calibri" w:cs="Calibri"/>
          <w:bCs/>
          <w:sz w:val="24"/>
          <w:szCs w:val="24"/>
        </w:rPr>
        <w:t xml:space="preserve">(72%) </w:t>
      </w:r>
      <w:r w:rsidR="00B45749">
        <w:rPr>
          <w:rFonts w:ascii="Calibri" w:hAnsi="Calibri" w:cs="Calibri"/>
          <w:bCs/>
          <w:sz w:val="24"/>
          <w:szCs w:val="24"/>
        </w:rPr>
        <w:t>and “</w:t>
      </w:r>
      <w:r w:rsidR="00B45749" w:rsidRPr="00B45749">
        <w:rPr>
          <w:rFonts w:ascii="Calibri" w:hAnsi="Calibri" w:cs="Calibri"/>
          <w:bCs/>
          <w:sz w:val="24"/>
          <w:szCs w:val="24"/>
        </w:rPr>
        <w:t>Timelines for instructional materials adoptions (e.g., not enough lead time to produce accessible formats)</w:t>
      </w:r>
      <w:r w:rsidR="00B45749">
        <w:rPr>
          <w:rFonts w:ascii="Calibri" w:hAnsi="Calibri" w:cs="Calibri"/>
          <w:bCs/>
          <w:sz w:val="24"/>
          <w:szCs w:val="24"/>
        </w:rPr>
        <w:t xml:space="preserve">” </w:t>
      </w:r>
      <w:r w:rsidR="006404A8">
        <w:rPr>
          <w:rFonts w:ascii="Calibri" w:hAnsi="Calibri" w:cs="Calibri"/>
          <w:bCs/>
          <w:sz w:val="24"/>
          <w:szCs w:val="24"/>
        </w:rPr>
        <w:t>(71%)</w:t>
      </w:r>
      <w:r w:rsidR="00B45749">
        <w:rPr>
          <w:rFonts w:ascii="Calibri" w:hAnsi="Calibri" w:cs="Calibri"/>
          <w:bCs/>
          <w:sz w:val="24"/>
          <w:szCs w:val="24"/>
        </w:rPr>
        <w:t xml:space="preserve">. </w:t>
      </w:r>
      <w:r w:rsidR="006404A8">
        <w:rPr>
          <w:rFonts w:ascii="Calibri" w:hAnsi="Calibri" w:cs="Calibri"/>
          <w:bCs/>
          <w:sz w:val="24"/>
          <w:szCs w:val="24"/>
        </w:rPr>
        <w:t xml:space="preserve">Approximately two-thirds of survey respondents selected the following hindrances: </w:t>
      </w:r>
      <w:r w:rsidR="00B9671B">
        <w:rPr>
          <w:rFonts w:ascii="Calibri" w:hAnsi="Calibri" w:cs="Calibri"/>
          <w:bCs/>
          <w:sz w:val="24"/>
          <w:szCs w:val="24"/>
        </w:rPr>
        <w:t>“</w:t>
      </w:r>
      <w:r w:rsidR="00B9671B" w:rsidRPr="00B9671B">
        <w:rPr>
          <w:rFonts w:ascii="Calibri" w:hAnsi="Calibri" w:cs="Calibri"/>
          <w:bCs/>
          <w:sz w:val="24"/>
          <w:szCs w:val="24"/>
        </w:rPr>
        <w:t>Lack of communication between those making curriculum decisions and publishers</w:t>
      </w:r>
      <w:r w:rsidR="00B9671B">
        <w:rPr>
          <w:rFonts w:ascii="Calibri" w:hAnsi="Calibri" w:cs="Calibri"/>
          <w:bCs/>
          <w:sz w:val="24"/>
          <w:szCs w:val="24"/>
        </w:rPr>
        <w:t>”</w:t>
      </w:r>
      <w:r w:rsidR="006404A8">
        <w:rPr>
          <w:rFonts w:ascii="Calibri" w:hAnsi="Calibri" w:cs="Calibri"/>
          <w:bCs/>
          <w:sz w:val="24"/>
          <w:szCs w:val="24"/>
        </w:rPr>
        <w:t xml:space="preserve"> (64%),</w:t>
      </w:r>
      <w:r w:rsidR="00B9671B">
        <w:rPr>
          <w:rFonts w:ascii="Calibri" w:hAnsi="Calibri" w:cs="Calibri"/>
          <w:bCs/>
          <w:sz w:val="24"/>
          <w:szCs w:val="24"/>
        </w:rPr>
        <w:t xml:space="preserve"> “</w:t>
      </w:r>
      <w:r w:rsidR="00B9671B" w:rsidRPr="00B9671B">
        <w:rPr>
          <w:rFonts w:ascii="Calibri" w:hAnsi="Calibri" w:cs="Calibri"/>
          <w:bCs/>
          <w:sz w:val="24"/>
          <w:szCs w:val="24"/>
        </w:rPr>
        <w:t>Staffing challenges that impact the capability of AMPs to produce accessible formats</w:t>
      </w:r>
      <w:r w:rsidR="00B9671B">
        <w:rPr>
          <w:rFonts w:ascii="Calibri" w:hAnsi="Calibri" w:cs="Calibri"/>
          <w:bCs/>
          <w:sz w:val="24"/>
          <w:szCs w:val="24"/>
        </w:rPr>
        <w:t>”</w:t>
      </w:r>
      <w:r w:rsidR="006404A8">
        <w:rPr>
          <w:rFonts w:ascii="Calibri" w:hAnsi="Calibri" w:cs="Calibri"/>
          <w:bCs/>
          <w:sz w:val="24"/>
          <w:szCs w:val="24"/>
        </w:rPr>
        <w:t xml:space="preserve"> (63%),</w:t>
      </w:r>
      <w:r w:rsidR="00B9671B">
        <w:rPr>
          <w:rFonts w:ascii="Calibri" w:hAnsi="Calibri" w:cs="Calibri"/>
          <w:bCs/>
          <w:sz w:val="24"/>
          <w:szCs w:val="24"/>
        </w:rPr>
        <w:t xml:space="preserve"> and “</w:t>
      </w:r>
      <w:r w:rsidR="00B9671B" w:rsidRPr="00B9671B">
        <w:rPr>
          <w:rFonts w:ascii="Calibri" w:hAnsi="Calibri" w:cs="Calibri"/>
          <w:bCs/>
          <w:sz w:val="24"/>
          <w:szCs w:val="24"/>
        </w:rPr>
        <w:t>Limited capability of AMPs (e.g., lack of staff) to produce some accessible formats</w:t>
      </w:r>
      <w:r w:rsidR="00B9671B">
        <w:rPr>
          <w:rFonts w:ascii="Calibri" w:hAnsi="Calibri" w:cs="Calibri"/>
          <w:bCs/>
          <w:sz w:val="24"/>
          <w:szCs w:val="24"/>
        </w:rPr>
        <w:t xml:space="preserve">” </w:t>
      </w:r>
      <w:r w:rsidR="006404A8">
        <w:rPr>
          <w:rFonts w:ascii="Calibri" w:hAnsi="Calibri" w:cs="Calibri"/>
          <w:bCs/>
          <w:sz w:val="24"/>
          <w:szCs w:val="24"/>
        </w:rPr>
        <w:t>(61%).</w:t>
      </w:r>
      <w:r w:rsidR="00B9671B">
        <w:rPr>
          <w:rFonts w:ascii="Calibri" w:hAnsi="Calibri" w:cs="Calibri"/>
          <w:bCs/>
          <w:sz w:val="24"/>
          <w:szCs w:val="24"/>
        </w:rPr>
        <w:t xml:space="preserve"> </w:t>
      </w:r>
    </w:p>
    <w:p w14:paraId="746CC28F" w14:textId="77777777" w:rsidR="00EC725D" w:rsidRDefault="00EC725D" w:rsidP="00E91F41">
      <w:pPr>
        <w:spacing w:after="0" w:line="276" w:lineRule="auto"/>
        <w:rPr>
          <w:rFonts w:ascii="Calibri" w:hAnsi="Calibri" w:cs="Calibri"/>
          <w:bCs/>
          <w:sz w:val="24"/>
          <w:szCs w:val="24"/>
        </w:rPr>
      </w:pPr>
    </w:p>
    <w:p w14:paraId="3E106CBD" w14:textId="6E370E2E" w:rsidR="002A105E" w:rsidRPr="002A105E" w:rsidRDefault="002A105E" w:rsidP="004946C3">
      <w:pPr>
        <w:pStyle w:val="Heading4"/>
      </w:pPr>
      <w:bookmarkStart w:id="70" w:name="_Toc222904024"/>
      <w:r w:rsidRPr="002A105E">
        <w:t xml:space="preserve">Figure </w:t>
      </w:r>
      <w:r w:rsidR="00C14BBB">
        <w:t>2</w:t>
      </w:r>
      <w:r w:rsidR="00EE4A78">
        <w:t>6</w:t>
      </w:r>
      <w:r w:rsidRPr="002A105E">
        <w:t>. Production-Related Factors that Hinder Timely Delivery of Accessible Formats</w:t>
      </w:r>
      <w:r w:rsidR="00B55C67">
        <w:rPr>
          <w:rFonts w:ascii="ZWAdobeF" w:hAnsi="ZWAdobeF" w:cs="ZWAdobeF"/>
          <w:i w:val="0"/>
          <w:color w:val="auto"/>
          <w:sz w:val="2"/>
          <w:szCs w:val="2"/>
        </w:rPr>
        <w:t>55F</w:t>
      </w:r>
      <w:r w:rsidRPr="002A105E">
        <w:rPr>
          <w:rStyle w:val="FootnoteReference"/>
          <w:rFonts w:cs="Calibri"/>
          <w:smallCaps/>
          <w:color w:val="44546A" w:themeColor="text2"/>
        </w:rPr>
        <w:footnoteReference w:id="57"/>
      </w:r>
      <w:bookmarkEnd w:id="70"/>
      <w:r w:rsidRPr="002A105E">
        <w:t xml:space="preserve"> </w:t>
      </w:r>
    </w:p>
    <w:p w14:paraId="02F616EB" w14:textId="7B4F8EE5" w:rsidR="002A105E" w:rsidRPr="00D52428" w:rsidRDefault="00EC725D" w:rsidP="00E91F41">
      <w:pPr>
        <w:jc w:val="center"/>
        <w:rPr>
          <w:color w:val="000000" w:themeColor="text1"/>
        </w:rPr>
      </w:pPr>
      <w:r w:rsidRPr="002A105E">
        <w:rPr>
          <w:rFonts w:ascii="Times New Roman" w:hAnsi="Times New Roman" w:cs="Times New Roman"/>
          <w:noProof/>
          <w:sz w:val="24"/>
          <w:szCs w:val="24"/>
          <w:highlight w:val="cyan"/>
        </w:rPr>
        <w:drawing>
          <wp:anchor distT="0" distB="0" distL="114300" distR="114300" simplePos="0" relativeHeight="251680768" behindDoc="0" locked="0" layoutInCell="1" allowOverlap="1" wp14:anchorId="075FE987" wp14:editId="3A1596EB">
            <wp:simplePos x="0" y="0"/>
            <wp:positionH relativeFrom="column">
              <wp:posOffset>40640</wp:posOffset>
            </wp:positionH>
            <wp:positionV relativeFrom="paragraph">
              <wp:posOffset>292540</wp:posOffset>
            </wp:positionV>
            <wp:extent cx="6007735" cy="4191000"/>
            <wp:effectExtent l="0" t="0" r="0" b="0"/>
            <wp:wrapTopAndBottom/>
            <wp:docPr id="697896853" name="Chart 697896853" descr="Figure 26 is a horizontal bar chart showing production-related factors that hinder timely delivery of accessible formats (n = 149). Respondents reported delays associated with obtaining a physical copy of instructional materials before an accessible format can be created (72%). Insufficient lead time for producing accessible formats due to instructional materials adoption timelines was reported by 71%. Lack of communication between those making curriculum decisions and publishers was reported by 64%. Staffing challenges that impact the capacity of AMPs to produce accessible formats were reported by 63%. Limited capacity of AMPs, such as lack of staff, to produce some accessible formats was reported by 61%. Accessible format requests that do not include sufficient information and therefore lead to delays were reported by 46%. Other factors were reported by 4%."/>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14:sizeRelH relativeFrom="margin">
              <wp14:pctWidth>0</wp14:pctWidth>
            </wp14:sizeRelH>
            <wp14:sizeRelV relativeFrom="margin">
              <wp14:pctHeight>0</wp14:pctHeight>
            </wp14:sizeRelV>
          </wp:anchor>
        </w:drawing>
      </w:r>
      <w:r w:rsidR="00B55C67">
        <w:rPr>
          <w:rFonts w:ascii="ZWAdobeF" w:hAnsi="ZWAdobeF" w:cs="ZWAdobeF"/>
          <w:sz w:val="2"/>
          <w:szCs w:val="2"/>
        </w:rPr>
        <w:t>194</w:t>
      </w:r>
      <w:proofErr w:type="gramStart"/>
      <w:r w:rsidR="00B55C67">
        <w:rPr>
          <w:rFonts w:ascii="ZWAdobeF" w:hAnsi="ZWAdobeF" w:cs="ZWAdobeF"/>
          <w:sz w:val="2"/>
          <w:szCs w:val="2"/>
        </w:rPr>
        <w:t>B</w:t>
      </w:r>
      <w:r w:rsidR="002A105E" w:rsidRPr="002A105E">
        <w:rPr>
          <w:color w:val="000000" w:themeColor="text1"/>
        </w:rPr>
        <w:t>(</w:t>
      </w:r>
      <w:proofErr w:type="gramEnd"/>
      <w:r w:rsidR="002A105E" w:rsidRPr="002A105E">
        <w:rPr>
          <w:i/>
          <w:iCs/>
          <w:color w:val="000000" w:themeColor="text1"/>
        </w:rPr>
        <w:t>n</w:t>
      </w:r>
      <w:r w:rsidR="002A105E" w:rsidRPr="002A105E">
        <w:rPr>
          <w:color w:val="000000" w:themeColor="text1"/>
        </w:rPr>
        <w:t xml:space="preserve"> = 149)</w:t>
      </w:r>
    </w:p>
    <w:p w14:paraId="1DFCA6AE" w14:textId="697CFF00" w:rsidR="00957D9B" w:rsidRDefault="00B55C67" w:rsidP="008A0B5B">
      <w:pPr>
        <w:spacing w:after="0" w:line="276" w:lineRule="auto"/>
        <w:rPr>
          <w:rFonts w:cstheme="minorHAnsi"/>
          <w:sz w:val="24"/>
          <w:szCs w:val="24"/>
        </w:rPr>
      </w:pPr>
      <w:r>
        <w:rPr>
          <w:rFonts w:ascii="ZWAdobeF" w:hAnsi="ZWAdobeF" w:cs="ZWAdobeF"/>
          <w:sz w:val="2"/>
          <w:szCs w:val="2"/>
        </w:rPr>
        <w:lastRenderedPageBreak/>
        <w:t>195B</w:t>
      </w:r>
      <w:r w:rsidR="002A105E" w:rsidRPr="00B346E7">
        <w:rPr>
          <w:rFonts w:cstheme="minorHAnsi"/>
          <w:sz w:val="24"/>
          <w:szCs w:val="24"/>
        </w:rPr>
        <w:t xml:space="preserve">When comparing the pattern of responses displayed in Figure </w:t>
      </w:r>
      <w:r w:rsidR="00C14BBB">
        <w:rPr>
          <w:rFonts w:cstheme="minorHAnsi"/>
          <w:sz w:val="24"/>
          <w:szCs w:val="24"/>
        </w:rPr>
        <w:t>2</w:t>
      </w:r>
      <w:r w:rsidR="00EE4A78">
        <w:rPr>
          <w:rFonts w:cstheme="minorHAnsi"/>
          <w:sz w:val="24"/>
          <w:szCs w:val="24"/>
        </w:rPr>
        <w:t>6</w:t>
      </w:r>
      <w:r w:rsidR="002A105E" w:rsidRPr="00B346E7">
        <w:rPr>
          <w:rFonts w:cstheme="minorHAnsi"/>
          <w:sz w:val="24"/>
          <w:szCs w:val="24"/>
        </w:rPr>
        <w:t xml:space="preserve"> across the three case study states as well as the national </w:t>
      </w:r>
      <w:r w:rsidR="002A105E" w:rsidRPr="00957D9B">
        <w:rPr>
          <w:rFonts w:cstheme="minorHAnsi"/>
          <w:sz w:val="24"/>
          <w:szCs w:val="24"/>
        </w:rPr>
        <w:t xml:space="preserve">survey, there </w:t>
      </w:r>
      <w:r w:rsidR="008A0B5B" w:rsidRPr="00957D9B">
        <w:rPr>
          <w:rFonts w:cstheme="minorHAnsi"/>
          <w:sz w:val="24"/>
          <w:szCs w:val="24"/>
        </w:rPr>
        <w:t xml:space="preserve">was </w:t>
      </w:r>
      <w:r w:rsidR="008A0B5B" w:rsidRPr="00145913">
        <w:rPr>
          <w:rFonts w:cstheme="minorHAnsi"/>
          <w:i/>
          <w:iCs/>
          <w:color w:val="DC2328"/>
          <w:sz w:val="24"/>
          <w:szCs w:val="24"/>
        </w:rPr>
        <w:t>one statistically significant finding</w:t>
      </w:r>
      <w:r w:rsidR="008A0B5B" w:rsidRPr="00B7706B">
        <w:rPr>
          <w:rFonts w:cstheme="minorHAnsi"/>
          <w:color w:val="EE0000"/>
          <w:sz w:val="24"/>
          <w:szCs w:val="24"/>
        </w:rPr>
        <w:t>.</w:t>
      </w:r>
      <w:r w:rsidR="008A0B5B" w:rsidRPr="00957D9B">
        <w:rPr>
          <w:rFonts w:cstheme="minorHAnsi"/>
          <w:sz w:val="24"/>
          <w:szCs w:val="24"/>
        </w:rPr>
        <w:t xml:space="preserve"> Specifically, respondents to the </w:t>
      </w:r>
      <w:r w:rsidR="0030099F">
        <w:rPr>
          <w:rFonts w:cstheme="minorHAnsi"/>
          <w:sz w:val="24"/>
          <w:szCs w:val="24"/>
        </w:rPr>
        <w:t>national survey</w:t>
      </w:r>
      <w:r w:rsidR="008A0B5B" w:rsidRPr="00957D9B">
        <w:rPr>
          <w:rFonts w:cstheme="minorHAnsi"/>
          <w:sz w:val="24"/>
          <w:szCs w:val="24"/>
        </w:rPr>
        <w:t xml:space="preserve"> were less likely to endorse “Staffing challenges that impact the capability of AMPs to produce accessible formats” compared to other respondents (</w:t>
      </w:r>
      <w:r w:rsidR="008A0B5B" w:rsidRPr="00957D9B">
        <w:rPr>
          <w:rFonts w:cstheme="minorHAnsi"/>
          <w:sz w:val="24"/>
          <w:szCs w:val="24"/>
        </w:rPr>
        <w:sym w:font="Symbol" w:char="F063"/>
      </w:r>
      <w:r w:rsidR="008A0B5B" w:rsidRPr="00957D9B">
        <w:rPr>
          <w:rFonts w:cstheme="minorHAnsi"/>
          <w:sz w:val="24"/>
          <w:szCs w:val="24"/>
          <w:vertAlign w:val="superscript"/>
        </w:rPr>
        <w:t>2</w:t>
      </w:r>
      <w:r w:rsidR="008A0B5B" w:rsidRPr="00957D9B">
        <w:rPr>
          <w:rFonts w:cstheme="minorHAnsi"/>
          <w:sz w:val="24"/>
          <w:szCs w:val="24"/>
        </w:rPr>
        <w:t xml:space="preserve">(1) = </w:t>
      </w:r>
      <w:r w:rsidR="00957D9B" w:rsidRPr="00957D9B">
        <w:rPr>
          <w:rFonts w:cstheme="minorHAnsi"/>
          <w:sz w:val="24"/>
          <w:szCs w:val="24"/>
        </w:rPr>
        <w:t>6.99</w:t>
      </w:r>
      <w:r w:rsidR="008A0B5B" w:rsidRPr="00957D9B">
        <w:rPr>
          <w:rFonts w:cstheme="minorHAnsi"/>
          <w:sz w:val="24"/>
          <w:szCs w:val="24"/>
        </w:rPr>
        <w:t xml:space="preserve">, </w:t>
      </w:r>
      <w:r w:rsidR="008A0B5B" w:rsidRPr="00957D9B">
        <w:rPr>
          <w:rFonts w:cstheme="minorHAnsi"/>
          <w:i/>
          <w:iCs/>
          <w:sz w:val="24"/>
          <w:szCs w:val="24"/>
        </w:rPr>
        <w:t>p</w:t>
      </w:r>
      <w:r w:rsidR="008A0B5B" w:rsidRPr="00957D9B">
        <w:rPr>
          <w:rFonts w:cstheme="minorHAnsi"/>
          <w:sz w:val="24"/>
          <w:szCs w:val="24"/>
        </w:rPr>
        <w:t xml:space="preserve"> &lt; .05; see Figure </w:t>
      </w:r>
      <w:r w:rsidR="00C14BBB">
        <w:rPr>
          <w:rFonts w:cstheme="minorHAnsi"/>
          <w:sz w:val="24"/>
          <w:szCs w:val="24"/>
        </w:rPr>
        <w:t>2</w:t>
      </w:r>
      <w:r w:rsidR="00EE4A78">
        <w:rPr>
          <w:rFonts w:cstheme="minorHAnsi"/>
          <w:sz w:val="24"/>
          <w:szCs w:val="24"/>
        </w:rPr>
        <w:t>7</w:t>
      </w:r>
      <w:r w:rsidR="008A0B5B" w:rsidRPr="00957D9B">
        <w:rPr>
          <w:rFonts w:cstheme="minorHAnsi"/>
          <w:sz w:val="24"/>
          <w:szCs w:val="24"/>
        </w:rPr>
        <w:t xml:space="preserve">). This finding suggests that </w:t>
      </w:r>
      <w:r w:rsidR="00957D9B" w:rsidRPr="00957D9B">
        <w:rPr>
          <w:rFonts w:cstheme="minorHAnsi"/>
          <w:sz w:val="24"/>
          <w:szCs w:val="24"/>
        </w:rPr>
        <w:t xml:space="preserve">the degree to which staffing challenges impact AMP capability likely differs across states. </w:t>
      </w:r>
    </w:p>
    <w:p w14:paraId="318396F7" w14:textId="77777777" w:rsidR="004668F3" w:rsidRPr="009A1CF7" w:rsidRDefault="004668F3" w:rsidP="008A0B5B">
      <w:pPr>
        <w:spacing w:after="0" w:line="276" w:lineRule="auto"/>
        <w:rPr>
          <w:rFonts w:ascii="Times New Roman" w:hAnsi="Times New Roman" w:cs="Times New Roman"/>
          <w:sz w:val="24"/>
          <w:szCs w:val="24"/>
          <w:highlight w:val="yellow"/>
        </w:rPr>
      </w:pPr>
    </w:p>
    <w:p w14:paraId="20DD30D5" w14:textId="5127FBD0" w:rsidR="008A0B5B" w:rsidRPr="00EB51C8" w:rsidRDefault="008A0B5B" w:rsidP="004946C3">
      <w:pPr>
        <w:pStyle w:val="Heading4"/>
      </w:pPr>
      <w:bookmarkStart w:id="71" w:name="_Toc222904025"/>
      <w:r w:rsidRPr="00E05A9A">
        <w:t xml:space="preserve">Figure </w:t>
      </w:r>
      <w:r w:rsidR="00C14BBB">
        <w:t>2</w:t>
      </w:r>
      <w:r w:rsidR="00EE4A78">
        <w:t>7</w:t>
      </w:r>
      <w:r w:rsidRPr="00E05A9A">
        <w:t xml:space="preserve">. </w:t>
      </w:r>
      <w:r>
        <w:t>Production-Related Factors that Hinder Timely Delivery</w:t>
      </w:r>
      <w:r w:rsidRPr="00E05A9A">
        <w:t xml:space="preserve">: </w:t>
      </w:r>
      <w:r w:rsidRPr="00EB51C8">
        <w:t>Difference by Location</w:t>
      </w:r>
      <w:r w:rsidR="00B55C67">
        <w:rPr>
          <w:rFonts w:ascii="ZWAdobeF" w:hAnsi="ZWAdobeF" w:cs="ZWAdobeF"/>
          <w:i w:val="0"/>
          <w:color w:val="auto"/>
          <w:sz w:val="2"/>
          <w:szCs w:val="2"/>
        </w:rPr>
        <w:t>56F</w:t>
      </w:r>
      <w:r w:rsidRPr="00EB51C8">
        <w:rPr>
          <w:rStyle w:val="FootnoteReference"/>
          <w:rFonts w:cs="Calibri"/>
          <w:smallCaps/>
          <w:color w:val="44546A" w:themeColor="text2"/>
        </w:rPr>
        <w:footnoteReference w:id="58"/>
      </w:r>
      <w:bookmarkEnd w:id="71"/>
    </w:p>
    <w:p w14:paraId="60A71FF0" w14:textId="68C85BF7" w:rsidR="008A0B5B" w:rsidRPr="00EB51C8" w:rsidRDefault="00B55C67" w:rsidP="00E91F41">
      <w:pPr>
        <w:jc w:val="center"/>
      </w:pPr>
      <w:r>
        <w:rPr>
          <w:rFonts w:ascii="ZWAdobeF" w:hAnsi="ZWAdobeF" w:cs="ZWAdobeF"/>
          <w:sz w:val="2"/>
          <w:szCs w:val="2"/>
        </w:rPr>
        <w:t>196</w:t>
      </w:r>
      <w:proofErr w:type="gramStart"/>
      <w:r>
        <w:rPr>
          <w:rFonts w:ascii="ZWAdobeF" w:hAnsi="ZWAdobeF" w:cs="ZWAdobeF"/>
          <w:sz w:val="2"/>
          <w:szCs w:val="2"/>
        </w:rPr>
        <w:t>B</w:t>
      </w:r>
      <w:r w:rsidR="008A0B5B" w:rsidRPr="00EB51C8">
        <w:t>(</w:t>
      </w:r>
      <w:proofErr w:type="gramEnd"/>
      <w:r w:rsidR="008A0B5B" w:rsidRPr="00EB51C8">
        <w:rPr>
          <w:i/>
          <w:iCs/>
        </w:rPr>
        <w:t>n</w:t>
      </w:r>
      <w:r w:rsidR="008A0B5B" w:rsidRPr="00EB51C8">
        <w:t xml:space="preserve"> = 149)</w:t>
      </w:r>
    </w:p>
    <w:p w14:paraId="06811BBF" w14:textId="45124405" w:rsidR="008A0B5B" w:rsidRPr="00EB51C8" w:rsidRDefault="00B55C67" w:rsidP="008A0B5B">
      <w:pPr>
        <w:spacing w:after="0" w:line="276" w:lineRule="auto"/>
        <w:jc w:val="center"/>
        <w:rPr>
          <w:rFonts w:ascii="Times New Roman" w:hAnsi="Times New Roman" w:cs="Times New Roman"/>
          <w:sz w:val="24"/>
          <w:szCs w:val="24"/>
        </w:rPr>
      </w:pPr>
      <w:r>
        <w:rPr>
          <w:rFonts w:ascii="ZWAdobeF" w:hAnsi="ZWAdobeF" w:cs="ZWAdobeF"/>
          <w:sz w:val="2"/>
          <w:szCs w:val="2"/>
        </w:rPr>
        <w:t>197B</w:t>
      </w:r>
      <w:r w:rsidR="008A0B5B" w:rsidRPr="00EB51C8">
        <w:rPr>
          <w:rFonts w:ascii="Times New Roman" w:hAnsi="Times New Roman" w:cs="Times New Roman"/>
          <w:b/>
          <w:noProof/>
          <w:color w:val="0070C0"/>
        </w:rPr>
        <w:drawing>
          <wp:inline distT="0" distB="0" distL="0" distR="0" wp14:anchorId="2F840C1C" wp14:editId="15EBE38B">
            <wp:extent cx="4368297" cy="3867150"/>
            <wp:effectExtent l="0" t="0" r="0" b="0"/>
            <wp:docPr id="49997450" name="Chart 3" descr="Figure 27 is a vertical bar chart showing differences by location in the percentage of respondents who reported staffing challenges that impact the capacity of AMPs to produce accessible formats as a barrier to timely delivery (n = 149). National survey respondents reported 50% (n = 58), Ohio respondents reported 70% (n = 47), Oregon respondents reported 79% (n = 28), and Utah respondents reported 63% (n = 16). An asterisk indicates a statistically significant difference for the national survey results."/>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221234E5" w14:textId="77777777" w:rsidR="008A0B5B" w:rsidRPr="00EB51C8" w:rsidRDefault="008A0B5B" w:rsidP="008A0B5B">
      <w:pPr>
        <w:spacing w:after="0" w:line="276" w:lineRule="auto"/>
        <w:jc w:val="center"/>
        <w:rPr>
          <w:rFonts w:ascii="Times New Roman" w:hAnsi="Times New Roman" w:cs="Times New Roman"/>
          <w:sz w:val="24"/>
          <w:szCs w:val="24"/>
        </w:rPr>
      </w:pPr>
    </w:p>
    <w:p w14:paraId="698FDB5E" w14:textId="556CAC13" w:rsidR="00CE16C4" w:rsidRPr="00CE16C4" w:rsidRDefault="00B55C67" w:rsidP="00CE16C4">
      <w:pPr>
        <w:spacing w:after="0" w:line="276" w:lineRule="auto"/>
        <w:rPr>
          <w:rFonts w:cstheme="minorHAnsi"/>
          <w:sz w:val="24"/>
          <w:szCs w:val="24"/>
        </w:rPr>
      </w:pPr>
      <w:r>
        <w:rPr>
          <w:rFonts w:ascii="ZWAdobeF" w:hAnsi="ZWAdobeF" w:cs="ZWAdobeF"/>
          <w:sz w:val="2"/>
          <w:szCs w:val="2"/>
        </w:rPr>
        <w:t>198B</w:t>
      </w:r>
      <w:r w:rsidR="000A2C75" w:rsidRPr="00EB51C8">
        <w:rPr>
          <w:rFonts w:cstheme="minorHAnsi"/>
          <w:sz w:val="24"/>
          <w:szCs w:val="24"/>
        </w:rPr>
        <w:t xml:space="preserve">When examining production-related factors that hinder timely delivery across roles, there </w:t>
      </w:r>
      <w:r w:rsidR="00CE16C4" w:rsidRPr="00EB51C8">
        <w:rPr>
          <w:rFonts w:cstheme="minorHAnsi"/>
          <w:sz w:val="24"/>
          <w:szCs w:val="24"/>
        </w:rPr>
        <w:t xml:space="preserve">was </w:t>
      </w:r>
      <w:r w:rsidR="00CE16C4" w:rsidRPr="00F53B0B">
        <w:rPr>
          <w:rFonts w:cstheme="minorHAnsi"/>
          <w:i/>
          <w:iCs/>
          <w:color w:val="EE0000"/>
          <w:sz w:val="24"/>
          <w:szCs w:val="24"/>
        </w:rPr>
        <w:t>one</w:t>
      </w:r>
      <w:r w:rsidR="000A2C75" w:rsidRPr="00F53B0B">
        <w:rPr>
          <w:rFonts w:cstheme="minorHAnsi"/>
          <w:i/>
          <w:iCs/>
          <w:color w:val="EE0000"/>
          <w:sz w:val="24"/>
          <w:szCs w:val="24"/>
        </w:rPr>
        <w:t xml:space="preserve"> statistically significant finding</w:t>
      </w:r>
      <w:r w:rsidR="000A2C75" w:rsidRPr="00B7706B">
        <w:rPr>
          <w:rFonts w:cstheme="minorHAnsi"/>
          <w:color w:val="EE0000"/>
          <w:sz w:val="24"/>
          <w:szCs w:val="24"/>
        </w:rPr>
        <w:t>.</w:t>
      </w:r>
      <w:r w:rsidR="00CE16C4" w:rsidRPr="00EB51C8">
        <w:rPr>
          <w:rFonts w:cstheme="minorHAnsi"/>
          <w:sz w:val="24"/>
          <w:szCs w:val="24"/>
        </w:rPr>
        <w:t xml:space="preserve"> NIMAC Users were more likely to endorse </w:t>
      </w:r>
      <w:r w:rsidR="00CE16C4" w:rsidRPr="00EB51C8">
        <w:rPr>
          <w:rFonts w:ascii="Calibri" w:hAnsi="Calibri" w:cs="Calibri"/>
          <w:bCs/>
          <w:sz w:val="24"/>
          <w:szCs w:val="24"/>
        </w:rPr>
        <w:t>“Timelines for</w:t>
      </w:r>
      <w:r w:rsidR="00CE16C4" w:rsidRPr="00B45749">
        <w:rPr>
          <w:rFonts w:ascii="Calibri" w:hAnsi="Calibri" w:cs="Calibri"/>
          <w:bCs/>
          <w:sz w:val="24"/>
          <w:szCs w:val="24"/>
        </w:rPr>
        <w:t xml:space="preserve"> instructional materials adoptions (e.g., not enough lead time to produce accessible formats)</w:t>
      </w:r>
      <w:r w:rsidR="00CE16C4">
        <w:rPr>
          <w:rFonts w:ascii="Calibri" w:hAnsi="Calibri" w:cs="Calibri"/>
          <w:bCs/>
          <w:sz w:val="24"/>
          <w:szCs w:val="24"/>
        </w:rPr>
        <w:t xml:space="preserve">” (85%; </w:t>
      </w:r>
      <w:r w:rsidR="00CE16C4">
        <w:rPr>
          <w:rFonts w:ascii="Calibri" w:hAnsi="Calibri" w:cs="Calibri"/>
          <w:bCs/>
          <w:i/>
          <w:iCs/>
          <w:sz w:val="24"/>
          <w:szCs w:val="24"/>
        </w:rPr>
        <w:t>n</w:t>
      </w:r>
      <w:r w:rsidR="00CE16C4">
        <w:rPr>
          <w:rFonts w:ascii="Calibri" w:hAnsi="Calibri" w:cs="Calibri"/>
          <w:bCs/>
          <w:sz w:val="24"/>
          <w:szCs w:val="24"/>
        </w:rPr>
        <w:t xml:space="preserve"> = </w:t>
      </w:r>
      <w:r w:rsidR="005637E5">
        <w:rPr>
          <w:rFonts w:ascii="Calibri" w:hAnsi="Calibri" w:cs="Calibri"/>
          <w:bCs/>
          <w:sz w:val="24"/>
          <w:szCs w:val="24"/>
        </w:rPr>
        <w:t>40</w:t>
      </w:r>
      <w:r w:rsidR="00CE16C4">
        <w:rPr>
          <w:rFonts w:ascii="Calibri" w:hAnsi="Calibri" w:cs="Calibri"/>
          <w:bCs/>
          <w:sz w:val="24"/>
          <w:szCs w:val="24"/>
        </w:rPr>
        <w:t xml:space="preserve">) compared to respondents who were not NIMAC Users (66%; </w:t>
      </w:r>
      <w:r w:rsidR="00CE16C4">
        <w:rPr>
          <w:rFonts w:ascii="Calibri" w:hAnsi="Calibri" w:cs="Calibri"/>
          <w:bCs/>
          <w:i/>
          <w:iCs/>
          <w:sz w:val="24"/>
          <w:szCs w:val="24"/>
        </w:rPr>
        <w:t>n</w:t>
      </w:r>
      <w:r w:rsidR="00CE16C4">
        <w:rPr>
          <w:rFonts w:ascii="Calibri" w:hAnsi="Calibri" w:cs="Calibri"/>
          <w:bCs/>
          <w:sz w:val="24"/>
          <w:szCs w:val="24"/>
        </w:rPr>
        <w:t xml:space="preserve"> = 109; </w:t>
      </w:r>
      <w:r w:rsidR="00CE16C4" w:rsidRPr="00CE16C4">
        <w:rPr>
          <w:rFonts w:cstheme="minorHAnsi"/>
          <w:sz w:val="24"/>
          <w:szCs w:val="24"/>
        </w:rPr>
        <w:sym w:font="Symbol" w:char="F063"/>
      </w:r>
      <w:r w:rsidR="00CE16C4" w:rsidRPr="00CE16C4">
        <w:rPr>
          <w:rFonts w:cstheme="minorHAnsi"/>
          <w:sz w:val="24"/>
          <w:szCs w:val="24"/>
          <w:vertAlign w:val="superscript"/>
        </w:rPr>
        <w:t>2</w:t>
      </w:r>
      <w:r w:rsidR="00CE16C4" w:rsidRPr="00CE16C4">
        <w:rPr>
          <w:rFonts w:cstheme="minorHAnsi"/>
          <w:sz w:val="24"/>
          <w:szCs w:val="24"/>
        </w:rPr>
        <w:t>(1) = 5.1</w:t>
      </w:r>
      <w:r w:rsidR="00CE16C4">
        <w:rPr>
          <w:rFonts w:cstheme="minorHAnsi"/>
          <w:sz w:val="24"/>
          <w:szCs w:val="24"/>
        </w:rPr>
        <w:t>2</w:t>
      </w:r>
      <w:r w:rsidR="00CE16C4" w:rsidRPr="00CE16C4">
        <w:rPr>
          <w:rFonts w:cstheme="minorHAnsi"/>
          <w:sz w:val="24"/>
          <w:szCs w:val="24"/>
        </w:rPr>
        <w:t xml:space="preserve">, </w:t>
      </w:r>
      <w:r w:rsidR="00CE16C4" w:rsidRPr="00CE16C4">
        <w:rPr>
          <w:rFonts w:cstheme="minorHAnsi"/>
          <w:i/>
          <w:iCs/>
          <w:sz w:val="24"/>
          <w:szCs w:val="24"/>
        </w:rPr>
        <w:t>p</w:t>
      </w:r>
      <w:r w:rsidR="00CE16C4" w:rsidRPr="00CE16C4">
        <w:rPr>
          <w:rFonts w:cstheme="minorHAnsi"/>
          <w:sz w:val="24"/>
          <w:szCs w:val="24"/>
        </w:rPr>
        <w:t xml:space="preserve"> &lt; .05)</w:t>
      </w:r>
      <w:r w:rsidR="00CE16C4">
        <w:rPr>
          <w:rFonts w:cstheme="minorHAnsi"/>
          <w:sz w:val="24"/>
          <w:szCs w:val="24"/>
        </w:rPr>
        <w:t xml:space="preserve">. </w:t>
      </w:r>
      <w:r w:rsidR="00B97F3E">
        <w:rPr>
          <w:rFonts w:cstheme="minorHAnsi"/>
          <w:sz w:val="24"/>
          <w:szCs w:val="24"/>
        </w:rPr>
        <w:t xml:space="preserve">This indicates that NIMAC Users are particularly aware of the negative impact of delayed timelines for instructional materials adoptions. </w:t>
      </w:r>
    </w:p>
    <w:p w14:paraId="22A2ACD6" w14:textId="4C50DE4A" w:rsidR="00E91F41" w:rsidRDefault="00B55C67" w:rsidP="00E91F41">
      <w:pPr>
        <w:spacing w:after="0" w:line="276" w:lineRule="auto"/>
        <w:rPr>
          <w:rFonts w:cstheme="minorHAnsi"/>
          <w:sz w:val="24"/>
          <w:szCs w:val="24"/>
        </w:rPr>
      </w:pPr>
      <w:r>
        <w:rPr>
          <w:rFonts w:ascii="ZWAdobeF" w:hAnsi="ZWAdobeF" w:cs="ZWAdobeF"/>
          <w:sz w:val="2"/>
          <w:szCs w:val="2"/>
        </w:rPr>
        <w:lastRenderedPageBreak/>
        <w:t>199B</w:t>
      </w:r>
      <w:r w:rsidR="00B346E7" w:rsidRPr="00B346E7">
        <w:rPr>
          <w:rFonts w:cstheme="minorHAnsi"/>
          <w:sz w:val="24"/>
          <w:szCs w:val="24"/>
        </w:rPr>
        <w:t xml:space="preserve">Survey respondents who </w:t>
      </w:r>
      <w:r w:rsidR="00360199">
        <w:rPr>
          <w:rFonts w:cstheme="minorHAnsi"/>
          <w:sz w:val="24"/>
          <w:szCs w:val="24"/>
        </w:rPr>
        <w:t>were</w:t>
      </w:r>
      <w:r w:rsidR="00360199" w:rsidRPr="00B346E7">
        <w:rPr>
          <w:rFonts w:cstheme="minorHAnsi"/>
          <w:sz w:val="24"/>
          <w:szCs w:val="24"/>
        </w:rPr>
        <w:t xml:space="preserve"> </w:t>
      </w:r>
      <w:r w:rsidR="00B346E7" w:rsidRPr="00B346E7">
        <w:rPr>
          <w:rFonts w:cstheme="minorHAnsi"/>
          <w:sz w:val="24"/>
          <w:szCs w:val="24"/>
        </w:rPr>
        <w:t xml:space="preserve">NIMAC Users, AMPs, and </w:t>
      </w:r>
      <w:r w:rsidR="00C14BBB">
        <w:rPr>
          <w:rFonts w:cstheme="minorHAnsi"/>
          <w:sz w:val="24"/>
          <w:szCs w:val="24"/>
        </w:rPr>
        <w:t>IRC</w:t>
      </w:r>
      <w:r w:rsidR="00B346E7" w:rsidRPr="00B346E7">
        <w:rPr>
          <w:rFonts w:cstheme="minorHAnsi"/>
          <w:sz w:val="24"/>
          <w:szCs w:val="24"/>
        </w:rPr>
        <w:t xml:space="preserve"> staff were asked to indicate their level of agreement with the following statement: “The capacity of AMPs is generally sufficient to produce all accessible format production requests in a timely manner</w:t>
      </w:r>
      <w:r w:rsidR="00B346E7">
        <w:rPr>
          <w:rFonts w:cstheme="minorHAnsi"/>
          <w:sz w:val="24"/>
          <w:szCs w:val="24"/>
        </w:rPr>
        <w:t xml:space="preserve">.” Figure </w:t>
      </w:r>
      <w:r w:rsidR="00C14BBB">
        <w:rPr>
          <w:rFonts w:cstheme="minorHAnsi"/>
          <w:sz w:val="24"/>
          <w:szCs w:val="24"/>
        </w:rPr>
        <w:t>2</w:t>
      </w:r>
      <w:r w:rsidR="00EE4A78">
        <w:rPr>
          <w:rFonts w:cstheme="minorHAnsi"/>
          <w:sz w:val="24"/>
          <w:szCs w:val="24"/>
        </w:rPr>
        <w:t>8</w:t>
      </w:r>
      <w:r w:rsidR="00B346E7">
        <w:rPr>
          <w:rFonts w:cstheme="minorHAnsi"/>
          <w:sz w:val="24"/>
          <w:szCs w:val="24"/>
        </w:rPr>
        <w:t xml:space="preserve"> shows that </w:t>
      </w:r>
      <w:r w:rsidR="004E3AB5">
        <w:rPr>
          <w:rFonts w:cstheme="minorHAnsi"/>
          <w:sz w:val="24"/>
          <w:szCs w:val="24"/>
        </w:rPr>
        <w:t xml:space="preserve">approximately half of respondents (47%) disagreed </w:t>
      </w:r>
      <w:r w:rsidR="00360199">
        <w:rPr>
          <w:rFonts w:cstheme="minorHAnsi"/>
          <w:sz w:val="24"/>
          <w:szCs w:val="24"/>
        </w:rPr>
        <w:t xml:space="preserve">and half (53%) agreed with </w:t>
      </w:r>
      <w:r w:rsidR="004C2D65">
        <w:rPr>
          <w:rFonts w:cstheme="minorHAnsi"/>
          <w:sz w:val="24"/>
          <w:szCs w:val="24"/>
        </w:rPr>
        <w:t>the statement</w:t>
      </w:r>
      <w:r w:rsidR="004E3AB5">
        <w:rPr>
          <w:rFonts w:cstheme="minorHAnsi"/>
          <w:sz w:val="24"/>
          <w:szCs w:val="24"/>
        </w:rPr>
        <w:t xml:space="preserve">, </w:t>
      </w:r>
      <w:r w:rsidR="00183F13">
        <w:rPr>
          <w:rFonts w:cstheme="minorHAnsi"/>
          <w:sz w:val="24"/>
          <w:szCs w:val="24"/>
        </w:rPr>
        <w:t>indicat</w:t>
      </w:r>
      <w:r w:rsidR="00360199">
        <w:rPr>
          <w:rFonts w:cstheme="minorHAnsi"/>
          <w:sz w:val="24"/>
          <w:szCs w:val="24"/>
        </w:rPr>
        <w:t>ing</w:t>
      </w:r>
      <w:r w:rsidR="00183F13">
        <w:rPr>
          <w:rFonts w:cstheme="minorHAnsi"/>
          <w:sz w:val="24"/>
          <w:szCs w:val="24"/>
        </w:rPr>
        <w:t xml:space="preserve"> variability in the capacity of AMPs. </w:t>
      </w:r>
    </w:p>
    <w:p w14:paraId="25C63033" w14:textId="77777777" w:rsidR="00E91F41" w:rsidRPr="00E91F41" w:rsidRDefault="00E91F41" w:rsidP="00E91F41">
      <w:pPr>
        <w:spacing w:after="0" w:line="276" w:lineRule="auto"/>
        <w:rPr>
          <w:rFonts w:cstheme="minorHAnsi"/>
          <w:sz w:val="24"/>
          <w:szCs w:val="24"/>
          <w:highlight w:val="cyan"/>
        </w:rPr>
      </w:pPr>
    </w:p>
    <w:p w14:paraId="0AD3E582" w14:textId="05F43335" w:rsidR="006948AB" w:rsidRDefault="006948AB" w:rsidP="004946C3">
      <w:pPr>
        <w:pStyle w:val="Heading4"/>
      </w:pPr>
      <w:bookmarkStart w:id="72" w:name="_Toc222904026"/>
      <w:r w:rsidRPr="005919AC">
        <w:t xml:space="preserve">Figure </w:t>
      </w:r>
      <w:r w:rsidR="00C14BBB">
        <w:t>2</w:t>
      </w:r>
      <w:r w:rsidR="00EE4A78">
        <w:t>8</w:t>
      </w:r>
      <w:r w:rsidRPr="005919AC">
        <w:t xml:space="preserve">. </w:t>
      </w:r>
      <w:r>
        <w:t>Agreement that the Capacity of AMPs is Generally Sufficient</w:t>
      </w:r>
      <w:r w:rsidR="00B55C67">
        <w:rPr>
          <w:rFonts w:ascii="ZWAdobeF" w:hAnsi="ZWAdobeF" w:cs="ZWAdobeF"/>
          <w:i w:val="0"/>
          <w:color w:val="auto"/>
          <w:sz w:val="2"/>
          <w:szCs w:val="2"/>
        </w:rPr>
        <w:t>57F</w:t>
      </w:r>
      <w:r>
        <w:rPr>
          <w:rStyle w:val="FootnoteReference"/>
          <w:rFonts w:cs="Calibri"/>
          <w:smallCaps/>
          <w:color w:val="44546A" w:themeColor="text2"/>
        </w:rPr>
        <w:footnoteReference w:id="59"/>
      </w:r>
      <w:bookmarkEnd w:id="72"/>
    </w:p>
    <w:p w14:paraId="7E185489" w14:textId="2E8F58DD" w:rsidR="006948AB" w:rsidRPr="007921A0" w:rsidRDefault="00B55C67" w:rsidP="006948AB">
      <w:pPr>
        <w:jc w:val="center"/>
      </w:pPr>
      <w:r>
        <w:rPr>
          <w:rFonts w:ascii="ZWAdobeF" w:hAnsi="ZWAdobeF" w:cs="ZWAdobeF"/>
          <w:sz w:val="2"/>
          <w:szCs w:val="2"/>
        </w:rPr>
        <w:t>200</w:t>
      </w:r>
      <w:proofErr w:type="gramStart"/>
      <w:r>
        <w:rPr>
          <w:rFonts w:ascii="ZWAdobeF" w:hAnsi="ZWAdobeF" w:cs="ZWAdobeF"/>
          <w:sz w:val="2"/>
          <w:szCs w:val="2"/>
        </w:rPr>
        <w:t>B</w:t>
      </w:r>
      <w:r w:rsidR="006948AB">
        <w:t>(</w:t>
      </w:r>
      <w:proofErr w:type="gramEnd"/>
      <w:r w:rsidR="006948AB" w:rsidRPr="009F1957">
        <w:rPr>
          <w:i/>
          <w:iCs/>
        </w:rPr>
        <w:t>n</w:t>
      </w:r>
      <w:r w:rsidR="006948AB">
        <w:t xml:space="preserve"> = 34</w:t>
      </w:r>
      <w:r w:rsidR="00993194">
        <w:t>)</w:t>
      </w:r>
    </w:p>
    <w:p w14:paraId="7967FBFC" w14:textId="31AF5652" w:rsidR="00514479" w:rsidRPr="00D52428" w:rsidRDefault="00B55C67" w:rsidP="00D52428">
      <w:pPr>
        <w:spacing w:after="0" w:line="276" w:lineRule="auto"/>
        <w:jc w:val="center"/>
        <w:rPr>
          <w:rFonts w:ascii="Calibri" w:hAnsi="Calibri" w:cs="Calibri"/>
          <w:sz w:val="24"/>
          <w:szCs w:val="24"/>
        </w:rPr>
      </w:pPr>
      <w:r>
        <w:rPr>
          <w:rFonts w:ascii="ZWAdobeF" w:hAnsi="ZWAdobeF" w:cs="ZWAdobeF"/>
          <w:sz w:val="2"/>
          <w:szCs w:val="2"/>
        </w:rPr>
        <w:t>201B</w:t>
      </w:r>
      <w:r w:rsidR="006948AB" w:rsidRPr="00FD0A0B">
        <w:rPr>
          <w:rFonts w:ascii="Calibri" w:hAnsi="Calibri" w:cs="Calibri"/>
          <w:noProof/>
        </w:rPr>
        <w:drawing>
          <wp:inline distT="0" distB="0" distL="0" distR="0" wp14:anchorId="3D5FEBC6" wp14:editId="689FF089">
            <wp:extent cx="5016137" cy="2221230"/>
            <wp:effectExtent l="0" t="0" r="0" b="7620"/>
            <wp:docPr id="1587843534" name="Chart 1587843534" descr="Figure 28 is a pie chart showing agreement with the statement that the capacity of AMPs is generally sufficient (n = 34). Forty-four percent of respondents agree, 38% disagree, 9% strongly disagree, and 9% strongly agree."/>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56830324" w14:textId="77777777" w:rsidR="004E3AB5" w:rsidRDefault="004E3AB5" w:rsidP="002A105E">
      <w:pPr>
        <w:spacing w:after="0" w:line="276" w:lineRule="auto"/>
        <w:rPr>
          <w:rFonts w:cstheme="minorHAnsi"/>
          <w:sz w:val="24"/>
          <w:szCs w:val="24"/>
          <w:highlight w:val="cyan"/>
        </w:rPr>
      </w:pPr>
    </w:p>
    <w:p w14:paraId="4A9C157C" w14:textId="1EC2C940" w:rsidR="002A105E" w:rsidRPr="00183F13" w:rsidRDefault="00B55C67" w:rsidP="002A105E">
      <w:pPr>
        <w:spacing w:after="0" w:line="276" w:lineRule="auto"/>
        <w:rPr>
          <w:rFonts w:cstheme="minorHAnsi"/>
          <w:sz w:val="24"/>
          <w:szCs w:val="24"/>
        </w:rPr>
      </w:pPr>
      <w:r>
        <w:rPr>
          <w:rFonts w:ascii="ZWAdobeF" w:hAnsi="ZWAdobeF" w:cs="ZWAdobeF"/>
          <w:sz w:val="2"/>
          <w:szCs w:val="2"/>
        </w:rPr>
        <w:t>202B</w:t>
      </w:r>
      <w:r w:rsidR="002A105E" w:rsidRPr="00183F13">
        <w:rPr>
          <w:rFonts w:cstheme="minorHAnsi"/>
          <w:sz w:val="24"/>
          <w:szCs w:val="24"/>
        </w:rPr>
        <w:t xml:space="preserve">To further explore </w:t>
      </w:r>
      <w:r w:rsidR="00183F13" w:rsidRPr="00183F13">
        <w:rPr>
          <w:rFonts w:cstheme="minorHAnsi"/>
          <w:sz w:val="24"/>
          <w:szCs w:val="24"/>
        </w:rPr>
        <w:t>production-related factors</w:t>
      </w:r>
      <w:r w:rsidR="002A105E" w:rsidRPr="00183F13">
        <w:rPr>
          <w:rFonts w:cstheme="minorHAnsi"/>
          <w:sz w:val="24"/>
          <w:szCs w:val="24"/>
        </w:rPr>
        <w:t xml:space="preserve"> that </w:t>
      </w:r>
      <w:r w:rsidR="00183F13" w:rsidRPr="00183F13">
        <w:rPr>
          <w:rFonts w:cstheme="minorHAnsi"/>
          <w:sz w:val="24"/>
          <w:szCs w:val="24"/>
        </w:rPr>
        <w:t>hinder</w:t>
      </w:r>
      <w:r w:rsidR="002A105E" w:rsidRPr="00183F13">
        <w:rPr>
          <w:rFonts w:cstheme="minorHAnsi"/>
          <w:sz w:val="24"/>
          <w:szCs w:val="24"/>
        </w:rPr>
        <w:t xml:space="preserve"> timely delivery, we obtained qualitative responses from interview participants and survey respondents. Interview participants were asked to describe factors that </w:t>
      </w:r>
      <w:r w:rsidR="00183F13" w:rsidRPr="00183F13">
        <w:rPr>
          <w:rFonts w:cstheme="minorHAnsi"/>
          <w:sz w:val="24"/>
          <w:szCs w:val="24"/>
        </w:rPr>
        <w:t>hinder</w:t>
      </w:r>
      <w:r w:rsidR="002A105E" w:rsidRPr="00183F13">
        <w:rPr>
          <w:rFonts w:cstheme="minorHAnsi"/>
          <w:sz w:val="24"/>
          <w:szCs w:val="24"/>
        </w:rPr>
        <w:t xml:space="preserve"> timely delivery of accessible materials. Survey respondents were given the opportunity to </w:t>
      </w:r>
      <w:r w:rsidR="00D17723">
        <w:rPr>
          <w:rFonts w:cstheme="minorHAnsi"/>
          <w:sz w:val="24"/>
          <w:szCs w:val="24"/>
        </w:rPr>
        <w:t>suggest other</w:t>
      </w:r>
      <w:r w:rsidR="002A105E" w:rsidRPr="00183F13">
        <w:rPr>
          <w:rFonts w:cstheme="minorHAnsi"/>
          <w:sz w:val="24"/>
          <w:szCs w:val="24"/>
        </w:rPr>
        <w:t xml:space="preserve"> factors </w:t>
      </w:r>
      <w:r w:rsidR="00D17723">
        <w:rPr>
          <w:rFonts w:cstheme="minorHAnsi"/>
          <w:sz w:val="24"/>
          <w:szCs w:val="24"/>
        </w:rPr>
        <w:t>and</w:t>
      </w:r>
      <w:r w:rsidR="002A105E" w:rsidRPr="00183F13">
        <w:rPr>
          <w:rFonts w:cstheme="minorHAnsi"/>
          <w:sz w:val="24"/>
          <w:szCs w:val="24"/>
        </w:rPr>
        <w:t xml:space="preserve"> to explain their selections. </w:t>
      </w:r>
    </w:p>
    <w:p w14:paraId="60F11B20" w14:textId="77777777" w:rsidR="002A105E" w:rsidRPr="002A105E" w:rsidRDefault="002A105E" w:rsidP="002A105E">
      <w:pPr>
        <w:spacing w:after="0" w:line="276" w:lineRule="auto"/>
        <w:rPr>
          <w:rFonts w:cstheme="minorHAnsi"/>
          <w:sz w:val="24"/>
          <w:szCs w:val="24"/>
          <w:highlight w:val="cyan"/>
        </w:rPr>
      </w:pPr>
    </w:p>
    <w:p w14:paraId="1CAA75BE" w14:textId="367CBB04" w:rsidR="002A105E" w:rsidRDefault="00B55C67" w:rsidP="002A105E">
      <w:pPr>
        <w:spacing w:after="0" w:line="276" w:lineRule="auto"/>
        <w:rPr>
          <w:rFonts w:cstheme="minorHAnsi"/>
          <w:sz w:val="24"/>
          <w:szCs w:val="24"/>
        </w:rPr>
      </w:pPr>
      <w:r>
        <w:rPr>
          <w:rFonts w:ascii="ZWAdobeF" w:hAnsi="ZWAdobeF" w:cs="ZWAdobeF"/>
          <w:sz w:val="2"/>
          <w:szCs w:val="2"/>
        </w:rPr>
        <w:t>203B</w:t>
      </w:r>
      <w:r w:rsidR="002A105E" w:rsidRPr="000114A2">
        <w:rPr>
          <w:rFonts w:cstheme="minorHAnsi"/>
          <w:sz w:val="24"/>
          <w:szCs w:val="24"/>
        </w:rPr>
        <w:t xml:space="preserve">Participants’ descriptions of </w:t>
      </w:r>
      <w:r w:rsidR="000114A2" w:rsidRPr="000114A2">
        <w:rPr>
          <w:rFonts w:cstheme="minorHAnsi"/>
          <w:sz w:val="24"/>
          <w:szCs w:val="24"/>
        </w:rPr>
        <w:t xml:space="preserve">production-related factors that hinder timely delivery are presented by theme in Table </w:t>
      </w:r>
      <w:r w:rsidR="00C14BBB">
        <w:rPr>
          <w:rFonts w:cstheme="minorHAnsi"/>
          <w:sz w:val="24"/>
          <w:szCs w:val="24"/>
        </w:rPr>
        <w:t>1</w:t>
      </w:r>
      <w:r w:rsidR="006A6885">
        <w:rPr>
          <w:rFonts w:cstheme="minorHAnsi"/>
          <w:sz w:val="24"/>
          <w:szCs w:val="24"/>
        </w:rPr>
        <w:t>4</w:t>
      </w:r>
      <w:r w:rsidR="000114A2" w:rsidRPr="000114A2">
        <w:rPr>
          <w:rFonts w:cstheme="minorHAnsi"/>
          <w:sz w:val="24"/>
          <w:szCs w:val="24"/>
        </w:rPr>
        <w:t xml:space="preserve">. </w:t>
      </w:r>
      <w:r w:rsidR="00C14BBB">
        <w:rPr>
          <w:rFonts w:cstheme="minorHAnsi"/>
          <w:sz w:val="24"/>
          <w:szCs w:val="24"/>
        </w:rPr>
        <w:t xml:space="preserve">Many factors </w:t>
      </w:r>
      <w:r w:rsidR="00094BA6">
        <w:rPr>
          <w:rFonts w:cstheme="minorHAnsi"/>
          <w:sz w:val="24"/>
          <w:szCs w:val="24"/>
        </w:rPr>
        <w:t xml:space="preserve">described by participants were consistent with those </w:t>
      </w:r>
      <w:r w:rsidR="00C14BBB">
        <w:rPr>
          <w:rFonts w:cstheme="minorHAnsi"/>
          <w:sz w:val="24"/>
          <w:szCs w:val="24"/>
        </w:rPr>
        <w:t>presented in the survey</w:t>
      </w:r>
      <w:r w:rsidR="00094BA6">
        <w:rPr>
          <w:rFonts w:cstheme="minorHAnsi"/>
          <w:sz w:val="24"/>
          <w:szCs w:val="24"/>
        </w:rPr>
        <w:t xml:space="preserve">, including </w:t>
      </w:r>
      <w:r w:rsidR="000114A2">
        <w:rPr>
          <w:rFonts w:cstheme="minorHAnsi"/>
          <w:sz w:val="24"/>
          <w:szCs w:val="24"/>
        </w:rPr>
        <w:t xml:space="preserve">timelines for instructional materials adoption (61 excerpts), limited capability of AMPs (46 excerpts), delays associated with obtaining physical copies of materials (19 excerpts), and staffing challenges that impact capability of AMPs (4 excerpts). </w:t>
      </w:r>
      <w:r w:rsidR="007108DB">
        <w:rPr>
          <w:rFonts w:cstheme="minorHAnsi"/>
          <w:sz w:val="24"/>
          <w:szCs w:val="24"/>
        </w:rPr>
        <w:t>T</w:t>
      </w:r>
      <w:r w:rsidR="000114A2">
        <w:rPr>
          <w:rFonts w:cstheme="minorHAnsi"/>
          <w:sz w:val="24"/>
          <w:szCs w:val="24"/>
        </w:rPr>
        <w:t>wo themes emerged from the qualitative data</w:t>
      </w:r>
      <w:r w:rsidR="007108DB">
        <w:rPr>
          <w:rFonts w:cstheme="minorHAnsi"/>
          <w:sz w:val="24"/>
          <w:szCs w:val="24"/>
        </w:rPr>
        <w:t xml:space="preserve"> that were not presented in the survey</w:t>
      </w:r>
      <w:r w:rsidR="000114A2">
        <w:rPr>
          <w:rFonts w:cstheme="minorHAnsi"/>
          <w:sz w:val="24"/>
          <w:szCs w:val="24"/>
        </w:rPr>
        <w:t xml:space="preserve">: </w:t>
      </w:r>
      <w:r w:rsidR="007108DB">
        <w:rPr>
          <w:rFonts w:cstheme="minorHAnsi"/>
          <w:sz w:val="24"/>
          <w:szCs w:val="24"/>
        </w:rPr>
        <w:t>S</w:t>
      </w:r>
      <w:r w:rsidR="000114A2">
        <w:rPr>
          <w:rFonts w:cstheme="minorHAnsi"/>
          <w:sz w:val="24"/>
          <w:szCs w:val="24"/>
        </w:rPr>
        <w:t xml:space="preserve">hipping delays (5 excerpts) and lack of certification and training programs for AMPs (5 excerpts). </w:t>
      </w:r>
      <w:r w:rsidR="008E5593" w:rsidRPr="008E5593">
        <w:rPr>
          <w:rFonts w:cstheme="minorHAnsi"/>
          <w:sz w:val="24"/>
          <w:szCs w:val="24"/>
        </w:rPr>
        <w:t xml:space="preserve">In addition, </w:t>
      </w:r>
      <w:r w:rsidR="007108DB">
        <w:rPr>
          <w:rFonts w:cstheme="minorHAnsi"/>
          <w:sz w:val="24"/>
          <w:szCs w:val="24"/>
        </w:rPr>
        <w:t xml:space="preserve">interview </w:t>
      </w:r>
      <w:r w:rsidR="008E5593" w:rsidRPr="008E5593">
        <w:rPr>
          <w:rFonts w:cstheme="minorHAnsi"/>
          <w:sz w:val="24"/>
          <w:szCs w:val="24"/>
        </w:rPr>
        <w:t xml:space="preserve">participants </w:t>
      </w:r>
      <w:r w:rsidR="007108DB">
        <w:rPr>
          <w:rFonts w:cstheme="minorHAnsi"/>
          <w:sz w:val="24"/>
          <w:szCs w:val="24"/>
        </w:rPr>
        <w:t>at the APH Annual Meeting</w:t>
      </w:r>
      <w:r w:rsidR="007108DB" w:rsidRPr="008E5593">
        <w:rPr>
          <w:rFonts w:cstheme="minorHAnsi"/>
          <w:sz w:val="24"/>
          <w:szCs w:val="24"/>
        </w:rPr>
        <w:t xml:space="preserve"> </w:t>
      </w:r>
      <w:r w:rsidR="008E5593" w:rsidRPr="008E5593">
        <w:rPr>
          <w:rFonts w:cstheme="minorHAnsi"/>
          <w:sz w:val="24"/>
          <w:szCs w:val="24"/>
        </w:rPr>
        <w:t xml:space="preserve">Prison Braille Forum described logistical challenges within Prison Braille Programs, including </w:t>
      </w:r>
      <w:r w:rsidR="008E5593">
        <w:rPr>
          <w:rFonts w:cstheme="minorHAnsi"/>
          <w:sz w:val="24"/>
          <w:szCs w:val="24"/>
        </w:rPr>
        <w:t xml:space="preserve">“lockdowns” that prevent prisoners from working, lack of internet access, </w:t>
      </w:r>
      <w:r w:rsidR="0039303C">
        <w:rPr>
          <w:rFonts w:cstheme="minorHAnsi"/>
          <w:sz w:val="24"/>
          <w:szCs w:val="24"/>
        </w:rPr>
        <w:t xml:space="preserve">and limited work hours. </w:t>
      </w:r>
    </w:p>
    <w:p w14:paraId="3A1BE173" w14:textId="4F52DCB4" w:rsidR="002A105E" w:rsidRPr="002A105E" w:rsidRDefault="002A105E" w:rsidP="004946C3">
      <w:pPr>
        <w:pStyle w:val="Heading4"/>
        <w:rPr>
          <w:highlight w:val="cyan"/>
        </w:rPr>
      </w:pPr>
      <w:bookmarkStart w:id="73" w:name="_Toc222904027"/>
      <w:r w:rsidRPr="00183F13">
        <w:lastRenderedPageBreak/>
        <w:t xml:space="preserve">Table </w:t>
      </w:r>
      <w:r w:rsidR="00C14BBB">
        <w:t>1</w:t>
      </w:r>
      <w:r w:rsidR="006A6885">
        <w:t>4</w:t>
      </w:r>
      <w:r w:rsidRPr="00183F13">
        <w:t xml:space="preserve">. Qualitative Descriptions of </w:t>
      </w:r>
      <w:r w:rsidR="00183F13" w:rsidRPr="00183F13">
        <w:t>Production-Related Factors</w:t>
      </w:r>
      <w:r w:rsidRPr="00183F13">
        <w:t xml:space="preserve"> that </w:t>
      </w:r>
      <w:r w:rsidR="00183F13" w:rsidRPr="00183F13">
        <w:t>Hinder</w:t>
      </w:r>
      <w:r w:rsidRPr="00183F13">
        <w:t xml:space="preserve"> Timely Delivery</w:t>
      </w:r>
      <w:bookmarkEnd w:id="73"/>
    </w:p>
    <w:p w14:paraId="5AA4CD5F" w14:textId="39676422" w:rsidR="002A105E" w:rsidRPr="0046416C" w:rsidRDefault="00B55C67" w:rsidP="00993194">
      <w:pPr>
        <w:jc w:val="center"/>
        <w:rPr>
          <w:rFonts w:ascii="Calibri" w:hAnsi="Calibri" w:cs="Calibri"/>
        </w:rPr>
      </w:pPr>
      <w:r>
        <w:rPr>
          <w:rFonts w:ascii="ZWAdobeF" w:hAnsi="ZWAdobeF" w:cs="ZWAdobeF"/>
          <w:sz w:val="2"/>
          <w:szCs w:val="2"/>
        </w:rPr>
        <w:t>204</w:t>
      </w:r>
      <w:proofErr w:type="gramStart"/>
      <w:r>
        <w:rPr>
          <w:rFonts w:ascii="ZWAdobeF" w:hAnsi="ZWAdobeF" w:cs="ZWAdobeF"/>
          <w:sz w:val="2"/>
          <w:szCs w:val="2"/>
        </w:rPr>
        <w:t>B</w:t>
      </w:r>
      <w:r w:rsidR="002A105E" w:rsidRPr="0046416C">
        <w:rPr>
          <w:rFonts w:ascii="Calibri" w:hAnsi="Calibri" w:cs="Calibri"/>
        </w:rPr>
        <w:t>(</w:t>
      </w:r>
      <w:proofErr w:type="gramEnd"/>
      <w:r w:rsidR="0046416C" w:rsidRPr="0046416C">
        <w:rPr>
          <w:rFonts w:ascii="Calibri" w:hAnsi="Calibri" w:cs="Calibri"/>
        </w:rPr>
        <w:t>1</w:t>
      </w:r>
      <w:r w:rsidR="007C7A0A">
        <w:rPr>
          <w:rFonts w:ascii="Calibri" w:hAnsi="Calibri" w:cs="Calibri"/>
        </w:rPr>
        <w:t>36</w:t>
      </w:r>
      <w:r w:rsidR="002A105E" w:rsidRPr="0046416C">
        <w:rPr>
          <w:rFonts w:ascii="Calibri" w:hAnsi="Calibri" w:cs="Calibri"/>
        </w:rPr>
        <w:t xml:space="preserve"> excerpts)</w:t>
      </w:r>
    </w:p>
    <w:tbl>
      <w:tblPr>
        <w:tblStyle w:val="GridTable4"/>
        <w:tblW w:w="9445" w:type="dxa"/>
        <w:tblLook w:val="04A0" w:firstRow="1" w:lastRow="0" w:firstColumn="1" w:lastColumn="0" w:noHBand="0" w:noVBand="1"/>
        <w:tblCaption w:val="Table 13. Qualitative Descriptions of Production-Related Factors that Hinder Timely Delivery"/>
      </w:tblPr>
      <w:tblGrid>
        <w:gridCol w:w="2335"/>
        <w:gridCol w:w="7110"/>
      </w:tblGrid>
      <w:tr w:rsidR="002A105E" w:rsidRPr="002A105E" w14:paraId="794CDA90" w14:textId="77777777" w:rsidTr="00D20B0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335" w:type="dxa"/>
            <w:shd w:val="clear" w:color="auto" w:fill="44546A" w:themeFill="text2"/>
            <w:vAlign w:val="center"/>
          </w:tcPr>
          <w:p w14:paraId="7F67921F" w14:textId="7052C7F3" w:rsidR="002A105E" w:rsidRPr="00183F13" w:rsidRDefault="00183F13" w:rsidP="00CB3913">
            <w:pPr>
              <w:jc w:val="center"/>
              <w:rPr>
                <w:rFonts w:cstheme="minorHAnsi"/>
              </w:rPr>
            </w:pPr>
            <w:bookmarkStart w:id="74" w:name="_Hlk216013096"/>
            <w:r>
              <w:rPr>
                <w:rFonts w:cstheme="minorHAnsi"/>
              </w:rPr>
              <w:t>Production-Related Factors</w:t>
            </w:r>
            <w:r w:rsidR="002A105E" w:rsidRPr="00183F13">
              <w:rPr>
                <w:rFonts w:cstheme="minorHAnsi"/>
              </w:rPr>
              <w:t xml:space="preserve"> that </w:t>
            </w:r>
            <w:r>
              <w:rPr>
                <w:rFonts w:cstheme="minorHAnsi"/>
              </w:rPr>
              <w:t>Hinder</w:t>
            </w:r>
            <w:r w:rsidR="002A105E" w:rsidRPr="00183F13">
              <w:rPr>
                <w:rFonts w:cstheme="minorHAnsi"/>
              </w:rPr>
              <w:t xml:space="preserve"> Timely Delivery</w:t>
            </w:r>
          </w:p>
        </w:tc>
        <w:tc>
          <w:tcPr>
            <w:tcW w:w="7110" w:type="dxa"/>
            <w:shd w:val="clear" w:color="auto" w:fill="44546A" w:themeFill="text2"/>
            <w:vAlign w:val="center"/>
          </w:tcPr>
          <w:p w14:paraId="435D9C95" w14:textId="77777777" w:rsidR="002A105E" w:rsidRPr="00183F13" w:rsidRDefault="002A105E" w:rsidP="00CB3913">
            <w:pPr>
              <w:jc w:val="center"/>
              <w:cnfStyle w:val="100000000000" w:firstRow="1" w:lastRow="0" w:firstColumn="0" w:lastColumn="0" w:oddVBand="0" w:evenVBand="0" w:oddHBand="0" w:evenHBand="0" w:firstRowFirstColumn="0" w:firstRowLastColumn="0" w:lastRowFirstColumn="0" w:lastRowLastColumn="0"/>
              <w:rPr>
                <w:rFonts w:cstheme="minorHAnsi"/>
              </w:rPr>
            </w:pPr>
            <w:r w:rsidRPr="00183F13">
              <w:rPr>
                <w:rFonts w:cstheme="minorHAnsi"/>
              </w:rPr>
              <w:t>Representative Quotations</w:t>
            </w:r>
          </w:p>
        </w:tc>
      </w:tr>
      <w:tr w:rsidR="00FD3F9B" w:rsidRPr="002A105E" w14:paraId="20C77ECF" w14:textId="77777777" w:rsidTr="00D20B00">
        <w:trPr>
          <w:cnfStyle w:val="000000100000" w:firstRow="0" w:lastRow="0" w:firstColumn="0" w:lastColumn="0" w:oddVBand="0" w:evenVBand="0" w:oddHBand="1" w:evenHBand="0" w:firstRowFirstColumn="0" w:firstRowLastColumn="0" w:lastRowFirstColumn="0" w:lastRowLastColumn="0"/>
          <w:trHeight w:val="674"/>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1469CFBC" w14:textId="72FB1CCF" w:rsidR="00FD3F9B" w:rsidRPr="00183F13" w:rsidRDefault="00FD3F9B" w:rsidP="00CB3913">
            <w:pPr>
              <w:rPr>
                <w:rFonts w:cstheme="minorHAnsi"/>
              </w:rPr>
            </w:pPr>
            <w:r>
              <w:rPr>
                <w:rFonts w:ascii="Calibri" w:hAnsi="Calibri" w:cs="Calibri"/>
                <w:color w:val="000000"/>
              </w:rPr>
              <w:t>Timelines for instructional materials adoption (61)</w:t>
            </w:r>
          </w:p>
        </w:tc>
        <w:tc>
          <w:tcPr>
            <w:tcW w:w="7110" w:type="dxa"/>
            <w:shd w:val="clear" w:color="auto" w:fill="D9E2F3"/>
          </w:tcPr>
          <w:p w14:paraId="3A5317DE" w14:textId="12F9A4AA" w:rsidR="00FD3F9B" w:rsidRPr="00183F13" w:rsidRDefault="00FD3F9B" w:rsidP="00CB3913">
            <w:pPr>
              <w:cnfStyle w:val="000000100000" w:firstRow="0" w:lastRow="0" w:firstColumn="0" w:lastColumn="0" w:oddVBand="0" w:evenVBand="0" w:oddHBand="1" w:evenHBand="0" w:firstRowFirstColumn="0" w:firstRowLastColumn="0" w:lastRowFirstColumn="0" w:lastRowLastColumn="0"/>
            </w:pPr>
            <w:r w:rsidRPr="00FD3F9B">
              <w:t>Teachers often don’t provide materials to be brailled in a timely fashion.</w:t>
            </w:r>
            <w:r w:rsidR="00B15D22">
              <w:t xml:space="preserve"> </w:t>
            </w:r>
            <w:r w:rsidRPr="00FD3F9B">
              <w:t>School</w:t>
            </w:r>
            <w:r w:rsidR="00CF03AA">
              <w:t>s</w:t>
            </w:r>
            <w:r w:rsidRPr="00FD3F9B">
              <w:t xml:space="preserve"> often wait until late summer before deciding on new math textbooks</w:t>
            </w:r>
            <w:r w:rsidR="00CF03AA">
              <w:t>,</w:t>
            </w:r>
            <w:r w:rsidRPr="00FD3F9B">
              <w:t xml:space="preserve"> making getting a braille </w:t>
            </w:r>
            <w:r w:rsidR="007A46F5">
              <w:t xml:space="preserve">textbook </w:t>
            </w:r>
            <w:r w:rsidRPr="00FD3F9B">
              <w:t>in time almost impossible</w:t>
            </w:r>
            <w:r>
              <w:t>. (OH)</w:t>
            </w:r>
          </w:p>
        </w:tc>
      </w:tr>
      <w:tr w:rsidR="00FD3F9B" w:rsidRPr="002A105E" w14:paraId="3DCBAA17" w14:textId="77777777" w:rsidTr="00D20B00">
        <w:trPr>
          <w:trHeight w:val="179"/>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4BED283C" w14:textId="77777777" w:rsidR="00FD3F9B" w:rsidRDefault="00FD3F9B" w:rsidP="00CB3913">
            <w:pPr>
              <w:rPr>
                <w:rFonts w:ascii="Calibri" w:hAnsi="Calibri" w:cs="Calibri"/>
                <w:color w:val="000000"/>
              </w:rPr>
            </w:pPr>
          </w:p>
        </w:tc>
        <w:tc>
          <w:tcPr>
            <w:tcW w:w="7110" w:type="dxa"/>
          </w:tcPr>
          <w:p w14:paraId="642D6D6C" w14:textId="6EE044F1" w:rsidR="00FD3F9B" w:rsidRPr="00183F13" w:rsidRDefault="009A6D2F" w:rsidP="00CB3913">
            <w:pPr>
              <w:cnfStyle w:val="000000000000" w:firstRow="0" w:lastRow="0" w:firstColumn="0" w:lastColumn="0" w:oddVBand="0" w:evenVBand="0" w:oddHBand="0" w:evenHBand="0" w:firstRowFirstColumn="0" w:firstRowLastColumn="0" w:lastRowFirstColumn="0" w:lastRowLastColumn="0"/>
            </w:pPr>
            <w:r w:rsidRPr="009A6D2F">
              <w:t xml:space="preserve">Many </w:t>
            </w:r>
            <w:r w:rsidR="00FC26AD" w:rsidRPr="009A6D2F">
              <w:t>times,</w:t>
            </w:r>
            <w:r w:rsidRPr="009A6D2F">
              <w:t xml:space="preserve"> general educators do not communicate the need for materials, us</w:t>
            </w:r>
            <w:r w:rsidR="00FC26AD">
              <w:t>e</w:t>
            </w:r>
            <w:r w:rsidRPr="009A6D2F">
              <w:t xml:space="preserve"> online platforms they thin</w:t>
            </w:r>
            <w:r>
              <w:t>k</w:t>
            </w:r>
            <w:r w:rsidRPr="009A6D2F">
              <w:t xml:space="preserve"> are accessible but are not</w:t>
            </w:r>
            <w:r>
              <w:t>,</w:t>
            </w:r>
            <w:r w:rsidRPr="009A6D2F">
              <w:t xml:space="preserve"> or </w:t>
            </w:r>
            <w:r w:rsidR="00FC26AD">
              <w:t xml:space="preserve">do </w:t>
            </w:r>
            <w:r w:rsidRPr="009A6D2F">
              <w:t>not effectively plan lessons in a timely manner</w:t>
            </w:r>
            <w:r w:rsidR="00FC26AD">
              <w:t xml:space="preserve">. These practices </w:t>
            </w:r>
            <w:r w:rsidRPr="009A6D2F">
              <w:t>do</w:t>
            </w:r>
            <w:r w:rsidR="00FC26AD">
              <w:t xml:space="preserve">n’t </w:t>
            </w:r>
            <w:r w:rsidRPr="009A6D2F">
              <w:t>allow materials to be prepared for students with print disabilities ahead of time.</w:t>
            </w:r>
            <w:r>
              <w:t xml:space="preserve"> (OH)</w:t>
            </w:r>
          </w:p>
        </w:tc>
      </w:tr>
      <w:tr w:rsidR="00FD3F9B" w:rsidRPr="002A105E" w14:paraId="3F9C3B66" w14:textId="77777777" w:rsidTr="00D20B00">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0C0AFBCD" w14:textId="77777777" w:rsidR="00FD3F9B" w:rsidRDefault="00FD3F9B" w:rsidP="00CB3913">
            <w:pPr>
              <w:rPr>
                <w:rFonts w:ascii="Calibri" w:hAnsi="Calibri" w:cs="Calibri"/>
                <w:color w:val="000000"/>
              </w:rPr>
            </w:pPr>
          </w:p>
        </w:tc>
        <w:tc>
          <w:tcPr>
            <w:tcW w:w="7110" w:type="dxa"/>
            <w:shd w:val="clear" w:color="auto" w:fill="D9E2F3"/>
          </w:tcPr>
          <w:p w14:paraId="1C6A9329" w14:textId="577F9C92" w:rsidR="00FD3F9B" w:rsidRPr="00183F13" w:rsidRDefault="009A6D2F" w:rsidP="00CB3913">
            <w:pPr>
              <w:cnfStyle w:val="000000100000" w:firstRow="0" w:lastRow="0" w:firstColumn="0" w:lastColumn="0" w:oddVBand="0" w:evenVBand="0" w:oddHBand="1" w:evenHBand="0" w:firstRowFirstColumn="0" w:firstRowLastColumn="0" w:lastRowFirstColumn="0" w:lastRowLastColumn="0"/>
            </w:pPr>
            <w:r w:rsidRPr="009A6D2F">
              <w:t>I help facilitate</w:t>
            </w:r>
            <w:r>
              <w:t xml:space="preserve"> </w:t>
            </w:r>
            <w:r w:rsidRPr="009A6D2F">
              <w:t xml:space="preserve">getting everyone their materials at the start of the year. </w:t>
            </w:r>
            <w:r w:rsidR="009458D8">
              <w:t>U</w:t>
            </w:r>
            <w:r w:rsidRPr="009A6D2F">
              <w:t>sually</w:t>
            </w:r>
            <w:r w:rsidR="009458D8">
              <w:t>,</w:t>
            </w:r>
            <w:r w:rsidRPr="009A6D2F">
              <w:t xml:space="preserve"> I'm asking for orders in</w:t>
            </w:r>
            <w:r>
              <w:t xml:space="preserve"> </w:t>
            </w:r>
            <w:r w:rsidRPr="009A6D2F">
              <w:t>February or April</w:t>
            </w:r>
            <w:r w:rsidR="00FC26AD">
              <w:t xml:space="preserve">, which </w:t>
            </w:r>
            <w:r w:rsidRPr="009A6D2F">
              <w:t>gives us all summer when the teachers are out to really bust through everything</w:t>
            </w:r>
            <w:r w:rsidR="00FC26AD">
              <w:t>.</w:t>
            </w:r>
            <w:r>
              <w:t xml:space="preserve"> B</w:t>
            </w:r>
            <w:r w:rsidRPr="009A6D2F">
              <w:t>ut the problem with that is that a lot of teachers, when they</w:t>
            </w:r>
            <w:r>
              <w:t xml:space="preserve"> </w:t>
            </w:r>
            <w:r w:rsidRPr="009A6D2F">
              <w:t>are aske</w:t>
            </w:r>
            <w:r>
              <w:t xml:space="preserve">d </w:t>
            </w:r>
            <w:r w:rsidRPr="009A6D2F">
              <w:t xml:space="preserve">what their curriculum is, </w:t>
            </w:r>
            <w:r w:rsidR="00FC26AD">
              <w:t xml:space="preserve">will say, </w:t>
            </w:r>
            <w:r w:rsidRPr="009A6D2F">
              <w:t>"I don't know</w:t>
            </w:r>
            <w:r w:rsidR="009458D8">
              <w:t>,</w:t>
            </w:r>
            <w:r w:rsidRPr="009A6D2F">
              <w:t xml:space="preserve">" </w:t>
            </w:r>
            <w:r w:rsidR="00FC26AD">
              <w:t xml:space="preserve">or </w:t>
            </w:r>
            <w:r w:rsidRPr="009A6D2F">
              <w:t xml:space="preserve">"I'm </w:t>
            </w:r>
            <w:proofErr w:type="spellStart"/>
            <w:r w:rsidRPr="009A6D2F">
              <w:t>gonna</w:t>
            </w:r>
            <w:proofErr w:type="spellEnd"/>
            <w:r w:rsidRPr="009A6D2F">
              <w:t xml:space="preserve"> know two weeks into the school year</w:t>
            </w:r>
            <w:r w:rsidR="00FC26AD">
              <w:t>.</w:t>
            </w:r>
            <w:r w:rsidRPr="009A6D2F">
              <w:t xml:space="preserve">" </w:t>
            </w:r>
            <w:r w:rsidR="00FC26AD">
              <w:t>T</w:t>
            </w:r>
            <w:r w:rsidRPr="009A6D2F">
              <w:t>hen we have that six</w:t>
            </w:r>
            <w:r w:rsidR="00FC26AD">
              <w:t xml:space="preserve"> to</w:t>
            </w:r>
            <w:r w:rsidRPr="009A6D2F">
              <w:t xml:space="preserve"> eight week turnaround time again</w:t>
            </w:r>
            <w:r w:rsidR="00FC26AD">
              <w:t xml:space="preserve">. </w:t>
            </w:r>
            <w:r>
              <w:t>W</w:t>
            </w:r>
            <w:r w:rsidRPr="009A6D2F">
              <w:t xml:space="preserve">e need months of preparation. </w:t>
            </w:r>
            <w:r>
              <w:t>We</w:t>
            </w:r>
            <w:r w:rsidRPr="009A6D2F">
              <w:t xml:space="preserve"> need teachers to know what their curriculum is</w:t>
            </w:r>
            <w:r>
              <w:t xml:space="preserve"> </w:t>
            </w:r>
            <w:r w:rsidRPr="009A6D2F">
              <w:t>by the end of the school year versus the start of the school year.</w:t>
            </w:r>
            <w:r>
              <w:t xml:space="preserve"> (OR)</w:t>
            </w:r>
          </w:p>
        </w:tc>
      </w:tr>
      <w:tr w:rsidR="00FD3F9B" w:rsidRPr="002A105E" w14:paraId="33F569C9" w14:textId="77777777" w:rsidTr="00D20B00">
        <w:trPr>
          <w:trHeight w:val="179"/>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263D15B6" w14:textId="77777777" w:rsidR="00FD3F9B" w:rsidRDefault="00FD3F9B" w:rsidP="00CB3913">
            <w:pPr>
              <w:rPr>
                <w:rFonts w:ascii="Calibri" w:hAnsi="Calibri" w:cs="Calibri"/>
                <w:color w:val="000000"/>
              </w:rPr>
            </w:pPr>
          </w:p>
        </w:tc>
        <w:tc>
          <w:tcPr>
            <w:tcW w:w="7110" w:type="dxa"/>
          </w:tcPr>
          <w:p w14:paraId="1076ADC7" w14:textId="55A66BAC" w:rsidR="00FD3F9B" w:rsidRPr="00183F13" w:rsidRDefault="009A6D2F" w:rsidP="00CB3913">
            <w:pPr>
              <w:cnfStyle w:val="000000000000" w:firstRow="0" w:lastRow="0" w:firstColumn="0" w:lastColumn="0" w:oddVBand="0" w:evenVBand="0" w:oddHBand="0" w:evenHBand="0" w:firstRowFirstColumn="0" w:firstRowLastColumn="0" w:lastRowFirstColumn="0" w:lastRowLastColumn="0"/>
            </w:pPr>
            <w:r>
              <w:t>M</w:t>
            </w:r>
            <w:r w:rsidRPr="009A6D2F">
              <w:t xml:space="preserve">y understanding is that we're trying to collect STEM requests around February/March in order to have the materials ready for August. If we don't get requests early, then we end up with delays and students </w:t>
            </w:r>
            <w:proofErr w:type="gramStart"/>
            <w:r w:rsidRPr="009A6D2F">
              <w:t>getting</w:t>
            </w:r>
            <w:proofErr w:type="gramEnd"/>
            <w:r w:rsidRPr="009A6D2F">
              <w:t xml:space="preserve"> materials in piece meal</w:t>
            </w:r>
            <w:r>
              <w:t>. (OR)</w:t>
            </w:r>
          </w:p>
        </w:tc>
      </w:tr>
      <w:tr w:rsidR="00FD3F9B" w:rsidRPr="002A105E" w14:paraId="2ABBC8A2" w14:textId="77777777" w:rsidTr="00D20B00">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49330B41" w14:textId="77777777" w:rsidR="00FD3F9B" w:rsidRDefault="00FD3F9B" w:rsidP="00CB3913">
            <w:pPr>
              <w:rPr>
                <w:rFonts w:ascii="Calibri" w:hAnsi="Calibri" w:cs="Calibri"/>
                <w:color w:val="000000"/>
              </w:rPr>
            </w:pPr>
          </w:p>
        </w:tc>
        <w:tc>
          <w:tcPr>
            <w:tcW w:w="7110" w:type="dxa"/>
            <w:shd w:val="clear" w:color="auto" w:fill="D9E2F3"/>
          </w:tcPr>
          <w:p w14:paraId="46439BC6" w14:textId="7E621F75" w:rsidR="00FD3F9B" w:rsidRPr="00183F13" w:rsidRDefault="009A6D2F" w:rsidP="00CB3913">
            <w:pPr>
              <w:cnfStyle w:val="000000100000" w:firstRow="0" w:lastRow="0" w:firstColumn="0" w:lastColumn="0" w:oddVBand="0" w:evenVBand="0" w:oddHBand="1" w:evenHBand="0" w:firstRowFirstColumn="0" w:firstRowLastColumn="0" w:lastRowFirstColumn="0" w:lastRowLastColumn="0"/>
            </w:pPr>
            <w:r w:rsidRPr="009A6D2F">
              <w:t>Although digital files for braille may be readily available, they are time-intensive to format for student use. It is difficult to get braille materials in a timely manner, as educational decisions about curriculum are not typically made months in advance, when braille production need</w:t>
            </w:r>
            <w:r w:rsidR="009458D8">
              <w:t>s</w:t>
            </w:r>
            <w:r w:rsidRPr="009A6D2F">
              <w:t xml:space="preserve"> to begin.</w:t>
            </w:r>
            <w:r>
              <w:t xml:space="preserve"> (UT)</w:t>
            </w:r>
          </w:p>
        </w:tc>
      </w:tr>
      <w:tr w:rsidR="00FD3F9B" w:rsidRPr="002A105E" w14:paraId="316810E8" w14:textId="77777777" w:rsidTr="00D20B00">
        <w:trPr>
          <w:trHeight w:val="179"/>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6E268A99" w14:textId="77777777" w:rsidR="00FD3F9B" w:rsidRDefault="00FD3F9B" w:rsidP="00CB3913">
            <w:pPr>
              <w:rPr>
                <w:rFonts w:ascii="Calibri" w:hAnsi="Calibri" w:cs="Calibri"/>
                <w:color w:val="000000"/>
              </w:rPr>
            </w:pPr>
          </w:p>
        </w:tc>
        <w:tc>
          <w:tcPr>
            <w:tcW w:w="7110" w:type="dxa"/>
          </w:tcPr>
          <w:p w14:paraId="57A00837" w14:textId="7CA75D95" w:rsidR="00FD3F9B" w:rsidRPr="00183F13" w:rsidRDefault="009A6D2F" w:rsidP="00CB3913">
            <w:pPr>
              <w:cnfStyle w:val="000000000000" w:firstRow="0" w:lastRow="0" w:firstColumn="0" w:lastColumn="0" w:oddVBand="0" w:evenVBand="0" w:oddHBand="0" w:evenHBand="0" w:firstRowFirstColumn="0" w:firstRowLastColumn="0" w:lastRowFirstColumn="0" w:lastRowLastColumn="0"/>
            </w:pPr>
            <w:r>
              <w:t>S</w:t>
            </w:r>
            <w:r w:rsidRPr="009A6D2F">
              <w:t>ome of my secondary students</w:t>
            </w:r>
            <w:r w:rsidR="009458D8">
              <w:t>’</w:t>
            </w:r>
            <w:r w:rsidRPr="009A6D2F">
              <w:t xml:space="preserve"> class schedules are not finalized until the start of the new school year so I can't request material in advance</w:t>
            </w:r>
            <w:r>
              <w:t>. (UT)</w:t>
            </w:r>
          </w:p>
        </w:tc>
      </w:tr>
      <w:tr w:rsidR="00C83B25" w:rsidRPr="002A105E" w14:paraId="3125B357" w14:textId="77777777" w:rsidTr="00D20B00">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002E11B4" w14:textId="77777777" w:rsidR="00C83B25" w:rsidRDefault="00C83B25" w:rsidP="00CB3913">
            <w:pPr>
              <w:rPr>
                <w:rFonts w:ascii="Calibri" w:hAnsi="Calibri" w:cs="Calibri"/>
                <w:color w:val="000000"/>
              </w:rPr>
            </w:pPr>
          </w:p>
        </w:tc>
        <w:tc>
          <w:tcPr>
            <w:tcW w:w="7110" w:type="dxa"/>
            <w:shd w:val="clear" w:color="auto" w:fill="D9E2F3"/>
          </w:tcPr>
          <w:p w14:paraId="0269D53A" w14:textId="26315CFD" w:rsidR="00C83B25" w:rsidRDefault="00C83B25" w:rsidP="00CB3913">
            <w:pPr>
              <w:cnfStyle w:val="000000100000" w:firstRow="0" w:lastRow="0" w:firstColumn="0" w:lastColumn="0" w:oddVBand="0" w:evenVBand="0" w:oddHBand="1" w:evenHBand="0" w:firstRowFirstColumn="0" w:firstRowLastColumn="0" w:lastRowFirstColumn="0" w:lastRowLastColumn="0"/>
            </w:pPr>
            <w:r>
              <w:t>I</w:t>
            </w:r>
            <w:r w:rsidRPr="00C83B25">
              <w:t>n our district, adoption of new curriculum causes a delay of sometimes months to get the correct material.</w:t>
            </w:r>
            <w:r>
              <w:t xml:space="preserve"> (AL)</w:t>
            </w:r>
          </w:p>
        </w:tc>
      </w:tr>
      <w:tr w:rsidR="00C83B25" w:rsidRPr="002A105E" w14:paraId="2A78C84F" w14:textId="77777777" w:rsidTr="00D20B00">
        <w:trPr>
          <w:trHeight w:val="179"/>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2F1EB8EF" w14:textId="77777777" w:rsidR="00C83B25" w:rsidRDefault="00C83B25" w:rsidP="00CB3913">
            <w:pPr>
              <w:rPr>
                <w:rFonts w:ascii="Calibri" w:hAnsi="Calibri" w:cs="Calibri"/>
                <w:color w:val="000000"/>
              </w:rPr>
            </w:pPr>
          </w:p>
        </w:tc>
        <w:tc>
          <w:tcPr>
            <w:tcW w:w="7110" w:type="dxa"/>
          </w:tcPr>
          <w:p w14:paraId="48A985A4" w14:textId="05B1EC10" w:rsidR="00C83B25" w:rsidRPr="00183F13" w:rsidRDefault="00C83B25" w:rsidP="00CB3913">
            <w:pPr>
              <w:cnfStyle w:val="000000000000" w:firstRow="0" w:lastRow="0" w:firstColumn="0" w:lastColumn="0" w:oddVBand="0" w:evenVBand="0" w:oddHBand="0" w:evenHBand="0" w:firstRowFirstColumn="0" w:firstRowLastColumn="0" w:lastRowFirstColumn="0" w:lastRowLastColumn="0"/>
            </w:pPr>
            <w:r w:rsidRPr="009A6D2F">
              <w:t xml:space="preserve">The </w:t>
            </w:r>
            <w:r>
              <w:t xml:space="preserve">curriculum </w:t>
            </w:r>
            <w:r w:rsidRPr="009A6D2F">
              <w:t>adoption cycle finishes too close to when the book is needed</w:t>
            </w:r>
            <w:r>
              <w:t>. (FL)</w:t>
            </w:r>
          </w:p>
        </w:tc>
      </w:tr>
      <w:tr w:rsidR="00C83B25" w:rsidRPr="002A105E" w14:paraId="35B5BB9B" w14:textId="77777777" w:rsidTr="00D20B00">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28D6E688" w14:textId="77777777" w:rsidR="00C83B25" w:rsidRDefault="00C83B25" w:rsidP="00CB3913">
            <w:pPr>
              <w:rPr>
                <w:rFonts w:ascii="Calibri" w:hAnsi="Calibri" w:cs="Calibri"/>
                <w:color w:val="000000"/>
              </w:rPr>
            </w:pPr>
          </w:p>
        </w:tc>
        <w:tc>
          <w:tcPr>
            <w:tcW w:w="7110" w:type="dxa"/>
            <w:shd w:val="clear" w:color="auto" w:fill="D9E2F3"/>
          </w:tcPr>
          <w:p w14:paraId="5756BDA1" w14:textId="0D7C579A" w:rsidR="00C83B25" w:rsidRPr="00183F13" w:rsidRDefault="00C83B25" w:rsidP="00CB3913">
            <w:pPr>
              <w:cnfStyle w:val="000000100000" w:firstRow="0" w:lastRow="0" w:firstColumn="0" w:lastColumn="0" w:oddVBand="0" w:evenVBand="0" w:oddHBand="1" w:evenHBand="0" w:firstRowFirstColumn="0" w:firstRowLastColumn="0" w:lastRowFirstColumn="0" w:lastRowLastColumn="0"/>
            </w:pPr>
            <w:r w:rsidRPr="009A6D2F">
              <w:t>Sometimes schools don't even decide what textbooks they're going to use until summer, which is very, very late. I had a situation just recently where the school district adopted a textbook. They hired a brand new teacher</w:t>
            </w:r>
            <w:r w:rsidR="009458D8">
              <w:t>,</w:t>
            </w:r>
            <w:r w:rsidRPr="009A6D2F">
              <w:t xml:space="preserve"> and the new teacher didn't want to use it</w:t>
            </w:r>
            <w:r>
              <w:t>. S</w:t>
            </w:r>
            <w:r w:rsidRPr="009A6D2F">
              <w:t>o</w:t>
            </w:r>
            <w:r>
              <w:t>,</w:t>
            </w:r>
            <w:r w:rsidRPr="009A6D2F">
              <w:t xml:space="preserve"> they had ordered the textbook for the student, but then it wasn't going to be used for the student. </w:t>
            </w:r>
            <w:r w:rsidR="009458D8">
              <w:t>T</w:t>
            </w:r>
            <w:r w:rsidRPr="009A6D2F">
              <w:t>he teacher was using her own designed materials</w:t>
            </w:r>
            <w:r w:rsidR="009458D8">
              <w:t>, which still haven’t been</w:t>
            </w:r>
            <w:r w:rsidRPr="009A6D2F">
              <w:t xml:space="preserve"> sent to the department for transcription.</w:t>
            </w:r>
            <w:r>
              <w:t xml:space="preserve"> (IA)</w:t>
            </w:r>
          </w:p>
        </w:tc>
      </w:tr>
      <w:tr w:rsidR="00C83B25" w:rsidRPr="002A105E" w14:paraId="7AAE317C" w14:textId="77777777" w:rsidTr="00D20B00">
        <w:trPr>
          <w:trHeight w:val="179"/>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69754792" w14:textId="77777777" w:rsidR="00C83B25" w:rsidRDefault="00C83B25" w:rsidP="00CB3913">
            <w:pPr>
              <w:rPr>
                <w:rFonts w:ascii="Calibri" w:hAnsi="Calibri" w:cs="Calibri"/>
                <w:color w:val="000000"/>
              </w:rPr>
            </w:pPr>
          </w:p>
        </w:tc>
        <w:tc>
          <w:tcPr>
            <w:tcW w:w="7110" w:type="dxa"/>
          </w:tcPr>
          <w:p w14:paraId="53478B0C" w14:textId="583AD40F" w:rsidR="00C83B25" w:rsidRPr="00183F13" w:rsidRDefault="00C83B25" w:rsidP="00CB3913">
            <w:pPr>
              <w:cnfStyle w:val="000000000000" w:firstRow="0" w:lastRow="0" w:firstColumn="0" w:lastColumn="0" w:oddVBand="0" w:evenVBand="0" w:oddHBand="0" w:evenHBand="0" w:firstRowFirstColumn="0" w:firstRowLastColumn="0" w:lastRowFirstColumn="0" w:lastRowLastColumn="0"/>
            </w:pPr>
            <w:r w:rsidRPr="00C83B25">
              <w:t xml:space="preserve">The biggest roadblock I have is getting classwork/test materials in time for the </w:t>
            </w:r>
            <w:r w:rsidR="00CF03AA">
              <w:t>braillist</w:t>
            </w:r>
            <w:r w:rsidRPr="00C83B25">
              <w:t xml:space="preserve"> to complete before the teacher gives the test/assignment. Teachers sometimes give materials the day they are needed.</w:t>
            </w:r>
            <w:r>
              <w:t xml:space="preserve"> (NC)</w:t>
            </w:r>
          </w:p>
        </w:tc>
      </w:tr>
      <w:tr w:rsidR="00C83B25" w:rsidRPr="002A105E" w14:paraId="77AB565A" w14:textId="77777777" w:rsidTr="00D20B00">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7295EE97" w14:textId="77777777" w:rsidR="00C83B25" w:rsidRDefault="00C83B25" w:rsidP="00CB3913">
            <w:pPr>
              <w:rPr>
                <w:rFonts w:ascii="Calibri" w:hAnsi="Calibri" w:cs="Calibri"/>
                <w:color w:val="000000"/>
              </w:rPr>
            </w:pPr>
          </w:p>
        </w:tc>
        <w:tc>
          <w:tcPr>
            <w:tcW w:w="7110" w:type="dxa"/>
            <w:shd w:val="clear" w:color="auto" w:fill="D9E2F3"/>
          </w:tcPr>
          <w:p w14:paraId="7CEEFEA1" w14:textId="47CB8AB9" w:rsidR="00C83B25" w:rsidRPr="00183F13" w:rsidRDefault="00C83B25" w:rsidP="00CB3913">
            <w:pPr>
              <w:cnfStyle w:val="000000100000" w:firstRow="0" w:lastRow="0" w:firstColumn="0" w:lastColumn="0" w:oddVBand="0" w:evenVBand="0" w:oddHBand="1" w:evenHBand="0" w:firstRowFirstColumn="0" w:firstRowLastColumn="0" w:lastRowFirstColumn="0" w:lastRowLastColumn="0"/>
            </w:pPr>
            <w:r w:rsidRPr="00C83B25">
              <w:t>The time it takes for a student to receive large print materials is very lengthy.</w:t>
            </w:r>
            <w:r w:rsidR="00B15D22">
              <w:t xml:space="preserve"> </w:t>
            </w:r>
            <w:r w:rsidRPr="00C83B25">
              <w:t>APH makes each book by hand, causing the entire process to be slowed.</w:t>
            </w:r>
            <w:r>
              <w:t xml:space="preserve"> (NC)</w:t>
            </w:r>
          </w:p>
        </w:tc>
      </w:tr>
      <w:tr w:rsidR="00C83B25" w:rsidRPr="002A105E" w14:paraId="2A0C6FA0" w14:textId="77777777" w:rsidTr="00D20B00">
        <w:trPr>
          <w:trHeight w:val="179"/>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23F0829F" w14:textId="77777777" w:rsidR="00C83B25" w:rsidRDefault="00C83B25" w:rsidP="00CB3913">
            <w:pPr>
              <w:rPr>
                <w:rFonts w:ascii="Calibri" w:hAnsi="Calibri" w:cs="Calibri"/>
                <w:color w:val="000000"/>
              </w:rPr>
            </w:pPr>
          </w:p>
        </w:tc>
        <w:tc>
          <w:tcPr>
            <w:tcW w:w="7110" w:type="dxa"/>
          </w:tcPr>
          <w:p w14:paraId="5CCFC6DA" w14:textId="6C3CCF6C" w:rsidR="00C83B25" w:rsidRPr="00183F13" w:rsidRDefault="00C83B25" w:rsidP="00CB3913">
            <w:pPr>
              <w:cnfStyle w:val="000000000000" w:firstRow="0" w:lastRow="0" w:firstColumn="0" w:lastColumn="0" w:oddVBand="0" w:evenVBand="0" w:oddHBand="0" w:evenHBand="0" w:firstRowFirstColumn="0" w:firstRowLastColumn="0" w:lastRowFirstColumn="0" w:lastRowLastColumn="0"/>
            </w:pPr>
            <w:r w:rsidRPr="009A6D2F">
              <w:t xml:space="preserve">The biggest issue in this whole process is that </w:t>
            </w:r>
            <w:r>
              <w:t>educators</w:t>
            </w:r>
            <w:r w:rsidRPr="009A6D2F">
              <w:t xml:space="preserve"> don’t know what they need.</w:t>
            </w:r>
            <w:r>
              <w:t xml:space="preserve"> (Prison Braille Forum)</w:t>
            </w:r>
          </w:p>
        </w:tc>
      </w:tr>
      <w:tr w:rsidR="00C83B25" w:rsidRPr="002A105E" w14:paraId="06FDC06A" w14:textId="77777777" w:rsidTr="00D20B00">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11820C9C" w14:textId="77777777" w:rsidR="00C83B25" w:rsidRDefault="00C83B25" w:rsidP="00CB3913">
            <w:pPr>
              <w:rPr>
                <w:rFonts w:ascii="Calibri" w:hAnsi="Calibri" w:cs="Calibri"/>
                <w:color w:val="000000"/>
              </w:rPr>
            </w:pPr>
          </w:p>
        </w:tc>
        <w:tc>
          <w:tcPr>
            <w:tcW w:w="7110" w:type="dxa"/>
            <w:shd w:val="clear" w:color="auto" w:fill="D9E2F3"/>
          </w:tcPr>
          <w:p w14:paraId="452A68A8" w14:textId="53ACB2DD" w:rsidR="00C83B25" w:rsidRPr="00183F13" w:rsidRDefault="00C83B25" w:rsidP="00CB3913">
            <w:pPr>
              <w:cnfStyle w:val="000000100000" w:firstRow="0" w:lastRow="0" w:firstColumn="0" w:lastColumn="0" w:oddVBand="0" w:evenVBand="0" w:oddHBand="1" w:evenHBand="0" w:firstRowFirstColumn="0" w:firstRowLastColumn="0" w:lastRowFirstColumn="0" w:lastRowLastColumn="0"/>
            </w:pPr>
            <w:r w:rsidRPr="00C83B25">
              <w:t>Teacher-prepared or teacher-sourced materials are not available in time to be properly produced into an accessible format.</w:t>
            </w:r>
            <w:r>
              <w:t xml:space="preserve"> (VA)</w:t>
            </w:r>
          </w:p>
        </w:tc>
      </w:tr>
      <w:tr w:rsidR="00C83B25" w:rsidRPr="002A105E" w14:paraId="392D8170" w14:textId="77777777" w:rsidTr="00D20B00">
        <w:trPr>
          <w:trHeight w:val="962"/>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0F471025" w14:textId="5B4F4E73" w:rsidR="00CF03AA" w:rsidRDefault="00C83B25" w:rsidP="00CB3913">
            <w:pPr>
              <w:rPr>
                <w:rFonts w:cstheme="minorHAnsi"/>
                <w:b w:val="0"/>
                <w:bCs w:val="0"/>
                <w:color w:val="000000"/>
              </w:rPr>
            </w:pPr>
            <w:r>
              <w:rPr>
                <w:rFonts w:ascii="Calibri" w:hAnsi="Calibri" w:cs="Calibri"/>
                <w:color w:val="000000"/>
              </w:rPr>
              <w:t>Limited capability of AMPs (4</w:t>
            </w:r>
            <w:r w:rsidR="0071123D">
              <w:rPr>
                <w:rFonts w:ascii="Calibri" w:hAnsi="Calibri" w:cs="Calibri"/>
                <w:color w:val="000000"/>
              </w:rPr>
              <w:t>6</w:t>
            </w:r>
            <w:r>
              <w:rPr>
                <w:rFonts w:ascii="Calibri" w:hAnsi="Calibri" w:cs="Calibri"/>
                <w:color w:val="000000"/>
              </w:rPr>
              <w:t>)</w:t>
            </w:r>
          </w:p>
          <w:p w14:paraId="205898E7" w14:textId="6EF0556E" w:rsidR="00CF03AA" w:rsidRPr="00183F13" w:rsidRDefault="00CF03AA" w:rsidP="00CB3913">
            <w:pPr>
              <w:rPr>
                <w:rFonts w:cstheme="minorHAnsi"/>
              </w:rPr>
            </w:pPr>
          </w:p>
        </w:tc>
        <w:tc>
          <w:tcPr>
            <w:tcW w:w="7110" w:type="dxa"/>
          </w:tcPr>
          <w:p w14:paraId="01EE9742" w14:textId="112ABEFD" w:rsidR="00C83B25" w:rsidRPr="00183F13" w:rsidRDefault="0071123D" w:rsidP="00CB3913">
            <w:pPr>
              <w:cnfStyle w:val="000000000000" w:firstRow="0" w:lastRow="0" w:firstColumn="0" w:lastColumn="0" w:oddVBand="0" w:evenVBand="0" w:oddHBand="0" w:evenHBand="0" w:firstRowFirstColumn="0" w:firstRowLastColumn="0" w:lastRowFirstColumn="0" w:lastRowLastColumn="0"/>
            </w:pPr>
            <w:r w:rsidRPr="0071123D">
              <w:t>Having appropriate staff or access to the appropriate staff is also needed for timely delivery. I'm the only TVI for my district</w:t>
            </w:r>
            <w:r w:rsidR="005561AB">
              <w:t>.</w:t>
            </w:r>
            <w:r w:rsidR="00CF03AA">
              <w:t xml:space="preserve"> W</w:t>
            </w:r>
            <w:r w:rsidRPr="0071123D">
              <w:t>e currently do not have the staff, such as a braillist or even an embosser</w:t>
            </w:r>
            <w:r w:rsidR="005561AB">
              <w:t>,</w:t>
            </w:r>
            <w:r w:rsidRPr="0071123D">
              <w:t xml:space="preserve"> available.</w:t>
            </w:r>
            <w:r>
              <w:t xml:space="preserve"> (OH)</w:t>
            </w:r>
          </w:p>
        </w:tc>
      </w:tr>
      <w:tr w:rsidR="00C101B7" w:rsidRPr="002A105E" w14:paraId="05045B0C" w14:textId="77777777" w:rsidTr="00D20B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32BE42A2" w14:textId="77777777" w:rsidR="00C101B7" w:rsidRDefault="00C101B7" w:rsidP="00CB3913">
            <w:pPr>
              <w:rPr>
                <w:rFonts w:ascii="Calibri" w:hAnsi="Calibri" w:cs="Calibri"/>
                <w:color w:val="000000"/>
              </w:rPr>
            </w:pPr>
          </w:p>
        </w:tc>
        <w:tc>
          <w:tcPr>
            <w:tcW w:w="7110" w:type="dxa"/>
            <w:shd w:val="clear" w:color="auto" w:fill="D9E2F3"/>
          </w:tcPr>
          <w:p w14:paraId="480F10CD" w14:textId="6ADC0DA4" w:rsidR="00C101B7" w:rsidRDefault="00C101B7" w:rsidP="00CB3913">
            <w:pPr>
              <w:cnfStyle w:val="000000100000" w:firstRow="0" w:lastRow="0" w:firstColumn="0" w:lastColumn="0" w:oddVBand="0" w:evenVBand="0" w:oddHBand="1" w:evenHBand="0" w:firstRowFirstColumn="0" w:firstRowLastColumn="0" w:lastRowFirstColumn="0" w:lastRowLastColumn="0"/>
            </w:pPr>
            <w:r w:rsidRPr="0071123D">
              <w:t>The AMPs I know have quite a few requests they struggle to keep up with</w:t>
            </w:r>
            <w:r>
              <w:t>. (OH)</w:t>
            </w:r>
          </w:p>
        </w:tc>
      </w:tr>
      <w:tr w:rsidR="00C101B7" w:rsidRPr="002A105E" w14:paraId="0B257293" w14:textId="77777777" w:rsidTr="00D20B00">
        <w:tc>
          <w:tcPr>
            <w:cnfStyle w:val="001000000000" w:firstRow="0" w:lastRow="0" w:firstColumn="1" w:lastColumn="0" w:oddVBand="0" w:evenVBand="0" w:oddHBand="0" w:evenHBand="0" w:firstRowFirstColumn="0" w:firstRowLastColumn="0" w:lastRowFirstColumn="0" w:lastRowLastColumn="0"/>
            <w:tcW w:w="2335" w:type="dxa"/>
            <w:vAlign w:val="bottom"/>
          </w:tcPr>
          <w:p w14:paraId="131E4196" w14:textId="77777777" w:rsidR="00C101B7" w:rsidRDefault="00C101B7" w:rsidP="00CB3913">
            <w:pPr>
              <w:rPr>
                <w:rFonts w:ascii="Calibri" w:hAnsi="Calibri" w:cs="Calibri"/>
                <w:color w:val="000000"/>
              </w:rPr>
            </w:pPr>
          </w:p>
        </w:tc>
        <w:tc>
          <w:tcPr>
            <w:tcW w:w="7110" w:type="dxa"/>
          </w:tcPr>
          <w:p w14:paraId="0AC6E3FF" w14:textId="5B7088A1" w:rsidR="00C101B7" w:rsidRDefault="00C101B7" w:rsidP="00CB3913">
            <w:pPr>
              <w:cnfStyle w:val="000000000000" w:firstRow="0" w:lastRow="0" w:firstColumn="0" w:lastColumn="0" w:oddVBand="0" w:evenVBand="0" w:oddHBand="0" w:evenHBand="0" w:firstRowFirstColumn="0" w:firstRowLastColumn="0" w:lastRowFirstColumn="0" w:lastRowLastColumn="0"/>
            </w:pPr>
            <w:r w:rsidRPr="0071123D">
              <w:t>I think nationwide</w:t>
            </w:r>
            <w:r w:rsidR="005561AB">
              <w:t>,</w:t>
            </w:r>
            <w:r w:rsidRPr="0071123D">
              <w:t xml:space="preserve"> and in some areas of Oregon</w:t>
            </w:r>
            <w:r w:rsidR="005561AB">
              <w:t>,</w:t>
            </w:r>
            <w:r>
              <w:t xml:space="preserve"> </w:t>
            </w:r>
            <w:r w:rsidRPr="0071123D">
              <w:t>there</w:t>
            </w:r>
            <w:r w:rsidR="005561AB">
              <w:t xml:space="preserve"> are</w:t>
            </w:r>
            <w:r w:rsidRPr="0071123D">
              <w:t xml:space="preserve"> regions that don't have a brail</w:t>
            </w:r>
            <w:r>
              <w:t>list</w:t>
            </w:r>
            <w:r w:rsidRPr="0071123D">
              <w:t>. So</w:t>
            </w:r>
            <w:r w:rsidR="005561AB">
              <w:t>,</w:t>
            </w:r>
            <w:r w:rsidRPr="0071123D">
              <w:t xml:space="preserve"> either the teacher's doing it or they're depending on already created materials which do</w:t>
            </w:r>
            <w:r w:rsidR="005561AB">
              <w:t>n’t</w:t>
            </w:r>
            <w:r w:rsidRPr="0071123D">
              <w:t xml:space="preserve"> meet the daily needs of the students.</w:t>
            </w:r>
            <w:r>
              <w:t xml:space="preserve"> (OR)</w:t>
            </w:r>
          </w:p>
        </w:tc>
      </w:tr>
      <w:tr w:rsidR="00C101B7" w:rsidRPr="002A105E" w14:paraId="66110E0D" w14:textId="77777777" w:rsidTr="00D20B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2922C86A" w14:textId="77777777" w:rsidR="00C101B7" w:rsidRDefault="00C101B7" w:rsidP="00CB3913">
            <w:pPr>
              <w:rPr>
                <w:rFonts w:ascii="Calibri" w:hAnsi="Calibri" w:cs="Calibri"/>
                <w:color w:val="000000"/>
              </w:rPr>
            </w:pPr>
          </w:p>
        </w:tc>
        <w:tc>
          <w:tcPr>
            <w:tcW w:w="7110" w:type="dxa"/>
            <w:shd w:val="clear" w:color="auto" w:fill="D9E2F3"/>
          </w:tcPr>
          <w:p w14:paraId="366F475A" w14:textId="765E7958" w:rsidR="00C101B7" w:rsidRDefault="00C101B7" w:rsidP="00CB3913">
            <w:pPr>
              <w:cnfStyle w:val="000000100000" w:firstRow="0" w:lastRow="0" w:firstColumn="0" w:lastColumn="0" w:oddVBand="0" w:evenVBand="0" w:oddHBand="1" w:evenHBand="0" w:firstRowFirstColumn="0" w:firstRowLastColumn="0" w:lastRowFirstColumn="0" w:lastRowLastColumn="0"/>
            </w:pPr>
            <w:r w:rsidRPr="0071123D">
              <w:t xml:space="preserve">We're down to only </w:t>
            </w:r>
            <w:r>
              <w:t>one</w:t>
            </w:r>
            <w:r w:rsidRPr="0071123D">
              <w:t xml:space="preserve"> transcriber working on textbooks for the whole state, and we're sending everything else out to vendors. It takes us quite a while to get braille out to students, especially for STEM.</w:t>
            </w:r>
            <w:r>
              <w:t xml:space="preserve"> (OR)</w:t>
            </w:r>
          </w:p>
        </w:tc>
      </w:tr>
      <w:tr w:rsidR="00C101B7" w:rsidRPr="002A105E" w14:paraId="57041BE9" w14:textId="77777777" w:rsidTr="00D20B00">
        <w:tc>
          <w:tcPr>
            <w:cnfStyle w:val="001000000000" w:firstRow="0" w:lastRow="0" w:firstColumn="1" w:lastColumn="0" w:oddVBand="0" w:evenVBand="0" w:oddHBand="0" w:evenHBand="0" w:firstRowFirstColumn="0" w:firstRowLastColumn="0" w:lastRowFirstColumn="0" w:lastRowLastColumn="0"/>
            <w:tcW w:w="2335" w:type="dxa"/>
            <w:vAlign w:val="bottom"/>
          </w:tcPr>
          <w:p w14:paraId="05F9AA1E" w14:textId="77777777" w:rsidR="00C101B7" w:rsidRDefault="00C101B7" w:rsidP="00CB3913">
            <w:pPr>
              <w:rPr>
                <w:rFonts w:ascii="Calibri" w:hAnsi="Calibri" w:cs="Calibri"/>
                <w:color w:val="000000"/>
              </w:rPr>
            </w:pPr>
          </w:p>
        </w:tc>
        <w:tc>
          <w:tcPr>
            <w:tcW w:w="7110" w:type="dxa"/>
          </w:tcPr>
          <w:p w14:paraId="55FFF26D" w14:textId="20B3587C" w:rsidR="00C101B7" w:rsidRDefault="00C101B7" w:rsidP="00CB3913">
            <w:pPr>
              <w:cnfStyle w:val="000000000000" w:firstRow="0" w:lastRow="0" w:firstColumn="0" w:lastColumn="0" w:oddVBand="0" w:evenVBand="0" w:oddHBand="0" w:evenHBand="0" w:firstRowFirstColumn="0" w:firstRowLastColumn="0" w:lastRowFirstColumn="0" w:lastRowLastColumn="0"/>
            </w:pPr>
            <w:r w:rsidRPr="0071123D">
              <w:t>As a state, we only have one agency that does the braille translation, and textbooks can take a long time to translate.</w:t>
            </w:r>
            <w:r>
              <w:t xml:space="preserve"> (OR)</w:t>
            </w:r>
          </w:p>
        </w:tc>
      </w:tr>
      <w:tr w:rsidR="00C101B7" w:rsidRPr="002A105E" w14:paraId="7E24619A" w14:textId="77777777" w:rsidTr="00D20B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6147917A" w14:textId="77777777" w:rsidR="00C101B7" w:rsidRDefault="00C101B7" w:rsidP="00CB3913">
            <w:pPr>
              <w:rPr>
                <w:rFonts w:ascii="Calibri" w:hAnsi="Calibri" w:cs="Calibri"/>
                <w:color w:val="000000"/>
              </w:rPr>
            </w:pPr>
          </w:p>
        </w:tc>
        <w:tc>
          <w:tcPr>
            <w:tcW w:w="7110" w:type="dxa"/>
            <w:shd w:val="clear" w:color="auto" w:fill="D9E2F3"/>
          </w:tcPr>
          <w:p w14:paraId="11A4E651" w14:textId="1733B1D0" w:rsidR="00C101B7" w:rsidRDefault="00C101B7" w:rsidP="00CB3913">
            <w:pPr>
              <w:cnfStyle w:val="000000100000" w:firstRow="0" w:lastRow="0" w:firstColumn="0" w:lastColumn="0" w:oddVBand="0" w:evenVBand="0" w:oddHBand="1" w:evenHBand="0" w:firstRowFirstColumn="0" w:firstRowLastColumn="0" w:lastRowFirstColumn="0" w:lastRowLastColumn="0"/>
            </w:pPr>
            <w:r w:rsidRPr="0071123D">
              <w:t xml:space="preserve">A state process to train AMPs would be great. We're really </w:t>
            </w:r>
            <w:proofErr w:type="gramStart"/>
            <w:r w:rsidRPr="0071123D">
              <w:t>hurting for</w:t>
            </w:r>
            <w:proofErr w:type="gramEnd"/>
            <w:r w:rsidRPr="0071123D">
              <w:t xml:space="preserve"> transcribers here.</w:t>
            </w:r>
            <w:r>
              <w:t xml:space="preserve"> (OR)</w:t>
            </w:r>
          </w:p>
        </w:tc>
      </w:tr>
      <w:tr w:rsidR="00C101B7" w:rsidRPr="002A105E" w14:paraId="7FF345B0" w14:textId="77777777" w:rsidTr="00D20B00">
        <w:tc>
          <w:tcPr>
            <w:cnfStyle w:val="001000000000" w:firstRow="0" w:lastRow="0" w:firstColumn="1" w:lastColumn="0" w:oddVBand="0" w:evenVBand="0" w:oddHBand="0" w:evenHBand="0" w:firstRowFirstColumn="0" w:firstRowLastColumn="0" w:lastRowFirstColumn="0" w:lastRowLastColumn="0"/>
            <w:tcW w:w="2335" w:type="dxa"/>
            <w:vAlign w:val="bottom"/>
          </w:tcPr>
          <w:p w14:paraId="4B92230E" w14:textId="77777777" w:rsidR="00C101B7" w:rsidRDefault="00C101B7" w:rsidP="00CB3913">
            <w:pPr>
              <w:rPr>
                <w:rFonts w:ascii="Calibri" w:hAnsi="Calibri" w:cs="Calibri"/>
                <w:color w:val="000000"/>
              </w:rPr>
            </w:pPr>
          </w:p>
        </w:tc>
        <w:tc>
          <w:tcPr>
            <w:tcW w:w="7110" w:type="dxa"/>
          </w:tcPr>
          <w:p w14:paraId="4057B623" w14:textId="0870A889" w:rsidR="00C101B7" w:rsidRDefault="00C101B7" w:rsidP="00CB3913">
            <w:pPr>
              <w:cnfStyle w:val="000000000000" w:firstRow="0" w:lastRow="0" w:firstColumn="0" w:lastColumn="0" w:oddVBand="0" w:evenVBand="0" w:oddHBand="0" w:evenHBand="0" w:firstRowFirstColumn="0" w:firstRowLastColumn="0" w:lastRowFirstColumn="0" w:lastRowLastColumn="0"/>
            </w:pPr>
            <w:r w:rsidRPr="0071123D">
              <w:t xml:space="preserve">It seems like the AMPs we work with do an okay job, though some of our go-to AMPs </w:t>
            </w:r>
            <w:r w:rsidR="005561AB">
              <w:t>(</w:t>
            </w:r>
            <w:r w:rsidRPr="0071123D">
              <w:t>like the Ogden Resource Center in Washington</w:t>
            </w:r>
            <w:r w:rsidR="005561AB">
              <w:t>)</w:t>
            </w:r>
            <w:r w:rsidRPr="0071123D">
              <w:t xml:space="preserve"> don't always have </w:t>
            </w:r>
            <w:r w:rsidR="005561AB">
              <w:t xml:space="preserve">the </w:t>
            </w:r>
            <w:r w:rsidRPr="0071123D">
              <w:t>capacity to accept all of our requests or adjust to our timelines.</w:t>
            </w:r>
            <w:r>
              <w:t xml:space="preserve"> (OR)</w:t>
            </w:r>
          </w:p>
        </w:tc>
      </w:tr>
      <w:tr w:rsidR="00C101B7" w:rsidRPr="002A105E" w14:paraId="6E3E5F24" w14:textId="77777777" w:rsidTr="00D20B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6417437E" w14:textId="77777777" w:rsidR="00C101B7" w:rsidRDefault="00C101B7" w:rsidP="00CB3913">
            <w:pPr>
              <w:rPr>
                <w:rFonts w:ascii="Calibri" w:hAnsi="Calibri" w:cs="Calibri"/>
                <w:color w:val="000000"/>
              </w:rPr>
            </w:pPr>
          </w:p>
        </w:tc>
        <w:tc>
          <w:tcPr>
            <w:tcW w:w="7110" w:type="dxa"/>
            <w:shd w:val="clear" w:color="auto" w:fill="D9E2F3"/>
          </w:tcPr>
          <w:p w14:paraId="6B852737" w14:textId="2C1590EA" w:rsidR="00C101B7" w:rsidRDefault="00C101B7" w:rsidP="00CB3913">
            <w:pPr>
              <w:cnfStyle w:val="000000100000" w:firstRow="0" w:lastRow="0" w:firstColumn="0" w:lastColumn="0" w:oddVBand="0" w:evenVBand="0" w:oddHBand="1" w:evenHBand="0" w:firstRowFirstColumn="0" w:firstRowLastColumn="0" w:lastRowFirstColumn="0" w:lastRowLastColumn="0"/>
            </w:pPr>
            <w:r w:rsidRPr="0071123D">
              <w:t>If we don't have enough braille transcribers, there is no way we can get timely materials to people because we just have such a backlog.</w:t>
            </w:r>
            <w:r>
              <w:t xml:space="preserve"> (UT)</w:t>
            </w:r>
          </w:p>
        </w:tc>
      </w:tr>
      <w:tr w:rsidR="00C101B7" w:rsidRPr="002A105E" w14:paraId="53B9FBA0" w14:textId="77777777" w:rsidTr="00D20B00">
        <w:tc>
          <w:tcPr>
            <w:cnfStyle w:val="001000000000" w:firstRow="0" w:lastRow="0" w:firstColumn="1" w:lastColumn="0" w:oddVBand="0" w:evenVBand="0" w:oddHBand="0" w:evenHBand="0" w:firstRowFirstColumn="0" w:firstRowLastColumn="0" w:lastRowFirstColumn="0" w:lastRowLastColumn="0"/>
            <w:tcW w:w="2335" w:type="dxa"/>
            <w:vAlign w:val="bottom"/>
          </w:tcPr>
          <w:p w14:paraId="59A6501C" w14:textId="77777777" w:rsidR="00C101B7" w:rsidRDefault="00C101B7" w:rsidP="00CB3913">
            <w:pPr>
              <w:rPr>
                <w:rFonts w:ascii="Calibri" w:hAnsi="Calibri" w:cs="Calibri"/>
                <w:color w:val="000000"/>
              </w:rPr>
            </w:pPr>
          </w:p>
        </w:tc>
        <w:tc>
          <w:tcPr>
            <w:tcW w:w="7110" w:type="dxa"/>
          </w:tcPr>
          <w:p w14:paraId="5C5C15B7" w14:textId="7971E9B2" w:rsidR="00C101B7" w:rsidRDefault="00C101B7" w:rsidP="00CB3913">
            <w:pPr>
              <w:cnfStyle w:val="000000000000" w:firstRow="0" w:lastRow="0" w:firstColumn="0" w:lastColumn="0" w:oddVBand="0" w:evenVBand="0" w:oddHBand="0" w:evenHBand="0" w:firstRowFirstColumn="0" w:firstRowLastColumn="0" w:lastRowFirstColumn="0" w:lastRowLastColumn="0"/>
            </w:pPr>
            <w:r w:rsidRPr="0071123D">
              <w:t>I think our biggest hindrance besides having transcribers is teachers not planning ahead. It's like thousands of pages of teacher</w:t>
            </w:r>
            <w:r w:rsidR="00CF03AA">
              <w:t>-</w:t>
            </w:r>
            <w:r w:rsidRPr="0071123D">
              <w:t>created materials the week before the lesson. You just can't get it done.</w:t>
            </w:r>
            <w:r>
              <w:t xml:space="preserve"> (UT)</w:t>
            </w:r>
          </w:p>
        </w:tc>
      </w:tr>
      <w:tr w:rsidR="00C101B7" w:rsidRPr="002A105E" w14:paraId="4C9D9F02" w14:textId="77777777" w:rsidTr="00D20B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169869D9" w14:textId="77777777" w:rsidR="00C101B7" w:rsidRDefault="00C101B7" w:rsidP="00CB3913">
            <w:pPr>
              <w:rPr>
                <w:rFonts w:ascii="Calibri" w:hAnsi="Calibri" w:cs="Calibri"/>
                <w:color w:val="000000"/>
              </w:rPr>
            </w:pPr>
          </w:p>
        </w:tc>
        <w:tc>
          <w:tcPr>
            <w:tcW w:w="7110" w:type="dxa"/>
            <w:shd w:val="clear" w:color="auto" w:fill="D9E2F3"/>
          </w:tcPr>
          <w:p w14:paraId="702167F2" w14:textId="673EBE41" w:rsidR="00C101B7" w:rsidRDefault="00C101B7" w:rsidP="00CB3913">
            <w:pPr>
              <w:cnfStyle w:val="000000100000" w:firstRow="0" w:lastRow="0" w:firstColumn="0" w:lastColumn="0" w:oddVBand="0" w:evenVBand="0" w:oddHBand="1" w:evenHBand="0" w:firstRowFirstColumn="0" w:firstRowLastColumn="0" w:lastRowFirstColumn="0" w:lastRowLastColumn="0"/>
            </w:pPr>
            <w:r w:rsidRPr="00C101B7">
              <w:t xml:space="preserve">Quality </w:t>
            </w:r>
            <w:r>
              <w:t>v</w:t>
            </w:r>
            <w:r w:rsidRPr="00C101B7">
              <w:t>endors reach a capacity threshold at peak times</w:t>
            </w:r>
            <w:r w:rsidR="005561AB">
              <w:t>,</w:t>
            </w:r>
            <w:r w:rsidRPr="00C101B7">
              <w:t xml:space="preserve"> and </w:t>
            </w:r>
            <w:r>
              <w:t>accessible format production</w:t>
            </w:r>
            <w:r w:rsidRPr="00C101B7">
              <w:t xml:space="preserve"> c</w:t>
            </w:r>
            <w:r w:rsidR="005561AB">
              <w:t>an</w:t>
            </w:r>
            <w:r w:rsidRPr="00C101B7">
              <w:t xml:space="preserve"> be longer as their plate is full</w:t>
            </w:r>
            <w:r>
              <w:t>. (MA)</w:t>
            </w:r>
          </w:p>
        </w:tc>
      </w:tr>
      <w:tr w:rsidR="00C101B7" w:rsidRPr="002A105E" w14:paraId="20813A23" w14:textId="77777777" w:rsidTr="00D20B00">
        <w:tc>
          <w:tcPr>
            <w:cnfStyle w:val="001000000000" w:firstRow="0" w:lastRow="0" w:firstColumn="1" w:lastColumn="0" w:oddVBand="0" w:evenVBand="0" w:oddHBand="0" w:evenHBand="0" w:firstRowFirstColumn="0" w:firstRowLastColumn="0" w:lastRowFirstColumn="0" w:lastRowLastColumn="0"/>
            <w:tcW w:w="2335" w:type="dxa"/>
            <w:vAlign w:val="bottom"/>
          </w:tcPr>
          <w:p w14:paraId="14FBB236" w14:textId="77777777" w:rsidR="00C101B7" w:rsidRDefault="00C101B7" w:rsidP="00CB3913">
            <w:pPr>
              <w:rPr>
                <w:rFonts w:ascii="Calibri" w:hAnsi="Calibri" w:cs="Calibri"/>
                <w:color w:val="000000"/>
              </w:rPr>
            </w:pPr>
          </w:p>
        </w:tc>
        <w:tc>
          <w:tcPr>
            <w:tcW w:w="7110" w:type="dxa"/>
          </w:tcPr>
          <w:p w14:paraId="16F06C8E" w14:textId="772213C4" w:rsidR="00C101B7" w:rsidRDefault="00C101B7" w:rsidP="00CB3913">
            <w:pPr>
              <w:cnfStyle w:val="000000000000" w:firstRow="0" w:lastRow="0" w:firstColumn="0" w:lastColumn="0" w:oddVBand="0" w:evenVBand="0" w:oddHBand="0" w:evenHBand="0" w:firstRowFirstColumn="0" w:firstRowLastColumn="0" w:lastRowFirstColumn="0" w:lastRowLastColumn="0"/>
            </w:pPr>
            <w:r w:rsidRPr="00C83B25">
              <w:t xml:space="preserve">Braille </w:t>
            </w:r>
            <w:r w:rsidR="00BB4D0B">
              <w:t>t</w:t>
            </w:r>
            <w:r w:rsidRPr="00C83B25">
              <w:t xml:space="preserve">ranscribers are asked to work a </w:t>
            </w:r>
            <w:r w:rsidR="00CF03AA" w:rsidRPr="00C83B25">
              <w:t>10- or 11-month</w:t>
            </w:r>
            <w:r w:rsidRPr="00C83B25">
              <w:t xml:space="preserve"> schedule when they should be year</w:t>
            </w:r>
            <w:r w:rsidR="005561AB">
              <w:t xml:space="preserve"> </w:t>
            </w:r>
            <w:r w:rsidRPr="00C83B25">
              <w:t>round in order to better prepare for the upcoming school year.</w:t>
            </w:r>
            <w:r>
              <w:t xml:space="preserve"> (NC)</w:t>
            </w:r>
          </w:p>
        </w:tc>
      </w:tr>
      <w:tr w:rsidR="00C101B7" w:rsidRPr="002A105E" w14:paraId="522838B7" w14:textId="77777777" w:rsidTr="00D20B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21CB83F4" w14:textId="12A722FE" w:rsidR="00C101B7" w:rsidRPr="00183F13" w:rsidRDefault="00C101B7" w:rsidP="00CB3913">
            <w:pPr>
              <w:rPr>
                <w:rFonts w:cstheme="minorHAnsi"/>
              </w:rPr>
            </w:pPr>
            <w:r>
              <w:rPr>
                <w:rFonts w:ascii="Calibri" w:hAnsi="Calibri" w:cs="Calibri"/>
                <w:color w:val="000000"/>
              </w:rPr>
              <w:t>Delays associated with obtaining physical copy of material (19)</w:t>
            </w:r>
          </w:p>
        </w:tc>
        <w:tc>
          <w:tcPr>
            <w:tcW w:w="7110" w:type="dxa"/>
            <w:shd w:val="clear" w:color="auto" w:fill="D9E2F3"/>
          </w:tcPr>
          <w:p w14:paraId="1791DF17" w14:textId="0CC43CD8" w:rsidR="00C101B7" w:rsidRPr="00183F13" w:rsidRDefault="00C101B7" w:rsidP="00CB3913">
            <w:pPr>
              <w:cnfStyle w:val="000000100000" w:firstRow="0" w:lastRow="0" w:firstColumn="0" w:lastColumn="0" w:oddVBand="0" w:evenVBand="0" w:oddHBand="1" w:evenHBand="0" w:firstRowFirstColumn="0" w:firstRowLastColumn="0" w:lastRowFirstColumn="0" w:lastRowLastColumn="0"/>
            </w:pPr>
            <w:r w:rsidRPr="00C101B7">
              <w:t>I cannot start the</w:t>
            </w:r>
            <w:r>
              <w:t xml:space="preserve"> accessible format production</w:t>
            </w:r>
            <w:r w:rsidRPr="00C101B7">
              <w:t xml:space="preserve"> work until I physically have a book in my hand.</w:t>
            </w:r>
            <w:r>
              <w:t xml:space="preserve"> (OH)</w:t>
            </w:r>
          </w:p>
        </w:tc>
      </w:tr>
      <w:tr w:rsidR="00C101B7" w:rsidRPr="002A105E" w14:paraId="7CB3E180" w14:textId="77777777" w:rsidTr="00D20B00">
        <w:tc>
          <w:tcPr>
            <w:cnfStyle w:val="001000000000" w:firstRow="0" w:lastRow="0" w:firstColumn="1" w:lastColumn="0" w:oddVBand="0" w:evenVBand="0" w:oddHBand="0" w:evenHBand="0" w:firstRowFirstColumn="0" w:firstRowLastColumn="0" w:lastRowFirstColumn="0" w:lastRowLastColumn="0"/>
            <w:tcW w:w="2335" w:type="dxa"/>
            <w:vAlign w:val="bottom"/>
          </w:tcPr>
          <w:p w14:paraId="69B41987" w14:textId="77777777" w:rsidR="00C101B7" w:rsidRDefault="00C101B7" w:rsidP="00CB3913">
            <w:pPr>
              <w:rPr>
                <w:rFonts w:ascii="Calibri" w:hAnsi="Calibri" w:cs="Calibri"/>
                <w:color w:val="000000"/>
              </w:rPr>
            </w:pPr>
          </w:p>
        </w:tc>
        <w:tc>
          <w:tcPr>
            <w:tcW w:w="7110" w:type="dxa"/>
          </w:tcPr>
          <w:p w14:paraId="3D44350C" w14:textId="3C0F29D4" w:rsidR="00C101B7" w:rsidRPr="00183F13" w:rsidRDefault="00C101B7" w:rsidP="00CB3913">
            <w:pPr>
              <w:cnfStyle w:val="000000000000" w:firstRow="0" w:lastRow="0" w:firstColumn="0" w:lastColumn="0" w:oddVBand="0" w:evenVBand="0" w:oddHBand="0" w:evenHBand="0" w:firstRowFirstColumn="0" w:firstRowLastColumn="0" w:lastRowFirstColumn="0" w:lastRowLastColumn="0"/>
            </w:pPr>
            <w:r>
              <w:t>W</w:t>
            </w:r>
            <w:r w:rsidRPr="00C101B7">
              <w:t xml:space="preserve">hat's great is sometimes </w:t>
            </w:r>
            <w:r>
              <w:t>NIMAC</w:t>
            </w:r>
            <w:r w:rsidRPr="00C101B7">
              <w:t xml:space="preserve"> has the files, but a lot of publishers believe their only requirement is to say, </w:t>
            </w:r>
            <w:r>
              <w:t>“O</w:t>
            </w:r>
            <w:r w:rsidRPr="00C101B7">
              <w:t xml:space="preserve">h, we've already given </w:t>
            </w:r>
            <w:r>
              <w:t>NIMAC</w:t>
            </w:r>
            <w:r w:rsidRPr="00C101B7">
              <w:t xml:space="preserve"> all the publisher files, so you guys are good to go</w:t>
            </w:r>
            <w:r>
              <w:t>.” B</w:t>
            </w:r>
            <w:r w:rsidRPr="00C101B7">
              <w:t xml:space="preserve">ut we always </w:t>
            </w:r>
            <w:r w:rsidR="007F3028">
              <w:t>need</w:t>
            </w:r>
            <w:r w:rsidRPr="00C101B7">
              <w:t xml:space="preserve"> that PDF </w:t>
            </w:r>
            <w:proofErr w:type="gramStart"/>
            <w:r w:rsidRPr="00C101B7">
              <w:t>file</w:t>
            </w:r>
            <w:proofErr w:type="gramEnd"/>
            <w:r w:rsidRPr="00C101B7">
              <w:t xml:space="preserve"> or the hard copy print to look at the layout and the formatting. </w:t>
            </w:r>
            <w:r w:rsidR="007F3028">
              <w:t xml:space="preserve">So, </w:t>
            </w:r>
            <w:r w:rsidRPr="00C101B7">
              <w:t>it's like we go round and round about that a lot</w:t>
            </w:r>
            <w:r w:rsidR="007F3028">
              <w:t>.</w:t>
            </w:r>
            <w:r>
              <w:t xml:space="preserve"> I</w:t>
            </w:r>
            <w:r w:rsidRPr="00C101B7">
              <w:t xml:space="preserve">t sounds like teachers and curriculum directors have a hard time convincing publishers that they can't </w:t>
            </w:r>
            <w:r w:rsidRPr="00C101B7">
              <w:lastRenderedPageBreak/>
              <w:t>move forward</w:t>
            </w:r>
            <w:r>
              <w:t xml:space="preserve"> with accessible format production</w:t>
            </w:r>
            <w:r w:rsidRPr="00C101B7">
              <w:t xml:space="preserve"> without th</w:t>
            </w:r>
            <w:r w:rsidR="007F3028">
              <w:t>ese</w:t>
            </w:r>
            <w:r w:rsidRPr="00C101B7">
              <w:t xml:space="preserve">. </w:t>
            </w:r>
            <w:r w:rsidR="007F3028">
              <w:t>A</w:t>
            </w:r>
            <w:r w:rsidRPr="00C101B7">
              <w:t xml:space="preserve">fter several weeks or months, eventually they come back with a PDF file. </w:t>
            </w:r>
            <w:r>
              <w:t>(IA)</w:t>
            </w:r>
          </w:p>
        </w:tc>
      </w:tr>
      <w:tr w:rsidR="00C101B7" w:rsidRPr="002A105E" w14:paraId="0FA5E6E3" w14:textId="77777777" w:rsidTr="00D20B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6E927B2C" w14:textId="77777777" w:rsidR="00C101B7" w:rsidRDefault="00C101B7" w:rsidP="00CB3913">
            <w:pPr>
              <w:rPr>
                <w:rFonts w:ascii="Calibri" w:hAnsi="Calibri" w:cs="Calibri"/>
                <w:color w:val="000000"/>
              </w:rPr>
            </w:pPr>
          </w:p>
        </w:tc>
        <w:tc>
          <w:tcPr>
            <w:tcW w:w="7110" w:type="dxa"/>
            <w:shd w:val="clear" w:color="auto" w:fill="D9E2F3"/>
          </w:tcPr>
          <w:p w14:paraId="048C264C" w14:textId="37A6ADB7" w:rsidR="00C101B7" w:rsidRPr="00183F13" w:rsidRDefault="007D12D8" w:rsidP="00CB3913">
            <w:pPr>
              <w:cnfStyle w:val="000000100000" w:firstRow="0" w:lastRow="0" w:firstColumn="0" w:lastColumn="0" w:oddVBand="0" w:evenVBand="0" w:oddHBand="1" w:evenHBand="0" w:firstRowFirstColumn="0" w:firstRowLastColumn="0" w:lastRowFirstColumn="0" w:lastRowLastColumn="0"/>
            </w:pPr>
            <w:r w:rsidRPr="007D12D8">
              <w:t xml:space="preserve">The </w:t>
            </w:r>
            <w:r>
              <w:t>large print</w:t>
            </w:r>
            <w:r w:rsidRPr="007D12D8">
              <w:t xml:space="preserve"> AMPs we use still require a print copy, and obtaining the print copy takes time and adds to the process</w:t>
            </w:r>
            <w:r>
              <w:t>. (MA)</w:t>
            </w:r>
          </w:p>
        </w:tc>
      </w:tr>
      <w:tr w:rsidR="007D12D8" w:rsidRPr="002A105E" w14:paraId="208C6900" w14:textId="77777777" w:rsidTr="00D20B00">
        <w:tc>
          <w:tcPr>
            <w:cnfStyle w:val="001000000000" w:firstRow="0" w:lastRow="0" w:firstColumn="1" w:lastColumn="0" w:oddVBand="0" w:evenVBand="0" w:oddHBand="0" w:evenHBand="0" w:firstRowFirstColumn="0" w:firstRowLastColumn="0" w:lastRowFirstColumn="0" w:lastRowLastColumn="0"/>
            <w:tcW w:w="2335" w:type="dxa"/>
            <w:vAlign w:val="bottom"/>
          </w:tcPr>
          <w:p w14:paraId="59786AB4" w14:textId="77777777" w:rsidR="007D12D8" w:rsidRDefault="007D12D8" w:rsidP="00CB3913">
            <w:pPr>
              <w:rPr>
                <w:rFonts w:ascii="Calibri" w:hAnsi="Calibri" w:cs="Calibri"/>
                <w:color w:val="000000"/>
              </w:rPr>
            </w:pPr>
          </w:p>
        </w:tc>
        <w:tc>
          <w:tcPr>
            <w:tcW w:w="7110" w:type="dxa"/>
          </w:tcPr>
          <w:p w14:paraId="7BA26868" w14:textId="5EA66E09" w:rsidR="007D12D8" w:rsidRPr="00183F13" w:rsidRDefault="007D12D8" w:rsidP="00CB3913">
            <w:pPr>
              <w:cnfStyle w:val="000000000000" w:firstRow="0" w:lastRow="0" w:firstColumn="0" w:lastColumn="0" w:oddVBand="0" w:evenVBand="0" w:oddHBand="0" w:evenHBand="0" w:firstRowFirstColumn="0" w:firstRowLastColumn="0" w:lastRowFirstColumn="0" w:lastRowLastColumn="0"/>
            </w:pPr>
            <w:r>
              <w:t>We</w:t>
            </w:r>
            <w:r w:rsidRPr="007D12D8">
              <w:t xml:space="preserve"> have problem</w:t>
            </w:r>
            <w:r w:rsidR="007F3028">
              <w:t>s</w:t>
            </w:r>
            <w:r w:rsidRPr="007D12D8">
              <w:t xml:space="preserve"> getting physical materials </w:t>
            </w:r>
            <w:proofErr w:type="gramStart"/>
            <w:r w:rsidRPr="007D12D8">
              <w:t>in</w:t>
            </w:r>
            <w:proofErr w:type="gramEnd"/>
            <w:r w:rsidRPr="007D12D8">
              <w:t xml:space="preserve"> time</w:t>
            </w:r>
            <w:r>
              <w:t>. (SC)</w:t>
            </w:r>
          </w:p>
        </w:tc>
      </w:tr>
      <w:tr w:rsidR="007D12D8" w:rsidRPr="002A105E" w14:paraId="2F9DDAD3" w14:textId="77777777" w:rsidTr="00D20B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6C14A9A2" w14:textId="2C728F42" w:rsidR="00346ED8" w:rsidRPr="00346ED8" w:rsidRDefault="007D12D8" w:rsidP="00CB3913">
            <w:pPr>
              <w:rPr>
                <w:rFonts w:ascii="Calibri" w:hAnsi="Calibri" w:cs="Calibri"/>
                <w:b w:val="0"/>
                <w:bCs w:val="0"/>
                <w:color w:val="000000"/>
              </w:rPr>
            </w:pPr>
            <w:r>
              <w:rPr>
                <w:rFonts w:ascii="Calibri" w:hAnsi="Calibri" w:cs="Calibri"/>
                <w:color w:val="000000"/>
              </w:rPr>
              <w:t>Shipping delays (5)</w:t>
            </w:r>
          </w:p>
        </w:tc>
        <w:tc>
          <w:tcPr>
            <w:tcW w:w="7110" w:type="dxa"/>
            <w:shd w:val="clear" w:color="auto" w:fill="D9E2F3"/>
          </w:tcPr>
          <w:p w14:paraId="6FBC8DEE" w14:textId="2F275EFF" w:rsidR="007D12D8" w:rsidRPr="00183F13" w:rsidRDefault="007D12D8" w:rsidP="00CB3913">
            <w:pPr>
              <w:cnfStyle w:val="000000100000" w:firstRow="0" w:lastRow="0" w:firstColumn="0" w:lastColumn="0" w:oddVBand="0" w:evenVBand="0" w:oddHBand="1" w:evenHBand="0" w:firstRowFirstColumn="0" w:firstRowLastColumn="0" w:lastRowFirstColumn="0" w:lastRowLastColumn="0"/>
            </w:pPr>
            <w:r>
              <w:t>T</w:t>
            </w:r>
            <w:r w:rsidRPr="007D12D8">
              <w:t xml:space="preserve">he rural counties often struggle. </w:t>
            </w:r>
            <w:r w:rsidR="00774F31">
              <w:t>T</w:t>
            </w:r>
            <w:r w:rsidRPr="007D12D8">
              <w:t xml:space="preserve">he shipping for </w:t>
            </w:r>
            <w:r>
              <w:t>F</w:t>
            </w:r>
            <w:r w:rsidRPr="007D12D8">
              <w:t xml:space="preserve">ree </w:t>
            </w:r>
            <w:r>
              <w:t>M</w:t>
            </w:r>
            <w:r w:rsidRPr="007D12D8">
              <w:t xml:space="preserve">atter is </w:t>
            </w:r>
            <w:r>
              <w:t>variable</w:t>
            </w:r>
            <w:r w:rsidR="00774F31">
              <w:t xml:space="preserve">. </w:t>
            </w:r>
            <w:r w:rsidRPr="007D12D8">
              <w:t>Sometimes it comes really quickly</w:t>
            </w:r>
            <w:r w:rsidR="00774F31">
              <w:t>,</w:t>
            </w:r>
            <w:r w:rsidRPr="007D12D8">
              <w:t xml:space="preserve"> and other times it takes two or three months, which it should not.</w:t>
            </w:r>
            <w:r>
              <w:t xml:space="preserve"> (OH)</w:t>
            </w:r>
          </w:p>
        </w:tc>
      </w:tr>
      <w:tr w:rsidR="007D12D8" w:rsidRPr="002A105E" w14:paraId="3651B219" w14:textId="77777777" w:rsidTr="00D20B00">
        <w:tc>
          <w:tcPr>
            <w:cnfStyle w:val="001000000000" w:firstRow="0" w:lastRow="0" w:firstColumn="1" w:lastColumn="0" w:oddVBand="0" w:evenVBand="0" w:oddHBand="0" w:evenHBand="0" w:firstRowFirstColumn="0" w:firstRowLastColumn="0" w:lastRowFirstColumn="0" w:lastRowLastColumn="0"/>
            <w:tcW w:w="2335" w:type="dxa"/>
            <w:vAlign w:val="bottom"/>
          </w:tcPr>
          <w:p w14:paraId="47964BA7" w14:textId="77777777" w:rsidR="007D12D8" w:rsidRDefault="007D12D8" w:rsidP="00CB3913">
            <w:pPr>
              <w:rPr>
                <w:rFonts w:ascii="Calibri" w:hAnsi="Calibri" w:cs="Calibri"/>
                <w:color w:val="000000"/>
              </w:rPr>
            </w:pPr>
          </w:p>
        </w:tc>
        <w:tc>
          <w:tcPr>
            <w:tcW w:w="7110" w:type="dxa"/>
          </w:tcPr>
          <w:p w14:paraId="6BE11E3B" w14:textId="50EFCBD8" w:rsidR="007D12D8" w:rsidRPr="00183F13" w:rsidRDefault="00774F31" w:rsidP="00CB3913">
            <w:pPr>
              <w:cnfStyle w:val="000000000000" w:firstRow="0" w:lastRow="0" w:firstColumn="0" w:lastColumn="0" w:oddVBand="0" w:evenVBand="0" w:oddHBand="0" w:evenHBand="0" w:firstRowFirstColumn="0" w:firstRowLastColumn="0" w:lastRowFirstColumn="0" w:lastRowLastColumn="0"/>
            </w:pPr>
            <w:r>
              <w:t>O</w:t>
            </w:r>
            <w:r w:rsidR="007D12D8" w:rsidRPr="007D12D8">
              <w:t>ne minor thing is shipping delays because we're shipping stuff all across the state, and sometimes things will just get held up</w:t>
            </w:r>
            <w:r>
              <w:t>. We’</w:t>
            </w:r>
            <w:r w:rsidR="007D12D8" w:rsidRPr="007D12D8">
              <w:t>ll ship it out on time and then the teacher won't get it until a week or two later when ideally</w:t>
            </w:r>
            <w:r>
              <w:t>,</w:t>
            </w:r>
            <w:r w:rsidR="007D12D8" w:rsidRPr="007D12D8">
              <w:t xml:space="preserve"> they </w:t>
            </w:r>
            <w:r>
              <w:t>sh</w:t>
            </w:r>
            <w:r w:rsidR="007D12D8" w:rsidRPr="007D12D8">
              <w:t xml:space="preserve">ould get it in a few days. </w:t>
            </w:r>
            <w:r>
              <w:t>T</w:t>
            </w:r>
            <w:r w:rsidR="007D12D8" w:rsidRPr="007D12D8">
              <w:t>hat's not really something we can control unfortunately, but that does occasionally happen</w:t>
            </w:r>
            <w:r>
              <w:t xml:space="preserve"> and</w:t>
            </w:r>
            <w:r w:rsidR="007D12D8" w:rsidRPr="007D12D8">
              <w:t xml:space="preserve"> can cause delays in kids getting what they need.</w:t>
            </w:r>
            <w:r w:rsidR="007D12D8">
              <w:t xml:space="preserve"> (OR)</w:t>
            </w:r>
          </w:p>
        </w:tc>
      </w:tr>
      <w:tr w:rsidR="007D12D8" w:rsidRPr="002A105E" w14:paraId="2456EFE3" w14:textId="77777777" w:rsidTr="00D20B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55E091C4" w14:textId="6CE8C008" w:rsidR="007D12D8" w:rsidRPr="00183F13" w:rsidRDefault="007D12D8" w:rsidP="00CB3913">
            <w:pPr>
              <w:rPr>
                <w:rFonts w:cstheme="minorHAnsi"/>
              </w:rPr>
            </w:pPr>
            <w:r>
              <w:rPr>
                <w:rFonts w:cstheme="minorHAnsi"/>
              </w:rPr>
              <w:t>Lack of certification and training programs for AMPs (5)</w:t>
            </w:r>
          </w:p>
        </w:tc>
        <w:tc>
          <w:tcPr>
            <w:tcW w:w="7110" w:type="dxa"/>
            <w:shd w:val="clear" w:color="auto" w:fill="D9E2F3"/>
          </w:tcPr>
          <w:p w14:paraId="2344E020" w14:textId="08C6D27B" w:rsidR="007D12D8" w:rsidRPr="00183F13" w:rsidRDefault="007D12D8" w:rsidP="00CB3913">
            <w:pPr>
              <w:cnfStyle w:val="000000100000" w:firstRow="0" w:lastRow="0" w:firstColumn="0" w:lastColumn="0" w:oddVBand="0" w:evenVBand="0" w:oddHBand="1" w:evenHBand="0" w:firstRowFirstColumn="0" w:firstRowLastColumn="0" w:lastRowFirstColumn="0" w:lastRowLastColumn="0"/>
            </w:pPr>
            <w:r w:rsidRPr="00927B91">
              <w:t>With many paraeducators transcribing braille without being certified, the quality of the braille is less than desired.</w:t>
            </w:r>
            <w:r>
              <w:t xml:space="preserve"> (IA)</w:t>
            </w:r>
          </w:p>
        </w:tc>
      </w:tr>
      <w:tr w:rsidR="007D12D8" w:rsidRPr="002A105E" w14:paraId="67601487" w14:textId="77777777" w:rsidTr="00D20B00">
        <w:tc>
          <w:tcPr>
            <w:cnfStyle w:val="001000000000" w:firstRow="0" w:lastRow="0" w:firstColumn="1" w:lastColumn="0" w:oddVBand="0" w:evenVBand="0" w:oddHBand="0" w:evenHBand="0" w:firstRowFirstColumn="0" w:firstRowLastColumn="0" w:lastRowFirstColumn="0" w:lastRowLastColumn="0"/>
            <w:tcW w:w="2335" w:type="dxa"/>
          </w:tcPr>
          <w:p w14:paraId="363D9D26" w14:textId="29AA546C" w:rsidR="007D12D8" w:rsidRPr="00183F13" w:rsidRDefault="007D12D8" w:rsidP="00CB3913">
            <w:pPr>
              <w:rPr>
                <w:rFonts w:cstheme="minorHAnsi"/>
              </w:rPr>
            </w:pPr>
          </w:p>
        </w:tc>
        <w:tc>
          <w:tcPr>
            <w:tcW w:w="7110" w:type="dxa"/>
          </w:tcPr>
          <w:p w14:paraId="74C291CB" w14:textId="045D272A" w:rsidR="007D12D8" w:rsidRPr="00183F13" w:rsidRDefault="007D12D8" w:rsidP="00CB3913">
            <w:pPr>
              <w:cnfStyle w:val="000000000000" w:firstRow="0" w:lastRow="0" w:firstColumn="0" w:lastColumn="0" w:oddVBand="0" w:evenVBand="0" w:oddHBand="0" w:evenHBand="0" w:firstRowFirstColumn="0" w:firstRowLastColumn="0" w:lastRowFirstColumn="0" w:lastRowLastColumn="0"/>
            </w:pPr>
            <w:r w:rsidRPr="00CD5BF5">
              <w:t xml:space="preserve">Braille </w:t>
            </w:r>
            <w:r>
              <w:t>t</w:t>
            </w:r>
            <w:r w:rsidRPr="00CD5BF5">
              <w:t>ranscribers</w:t>
            </w:r>
            <w:r>
              <w:t xml:space="preserve"> are</w:t>
            </w:r>
            <w:r w:rsidRPr="00CD5BF5">
              <w:t xml:space="preserve"> rarely certified or experienced</w:t>
            </w:r>
            <w:r w:rsidR="00A908A7">
              <w:t>.</w:t>
            </w:r>
            <w:r w:rsidRPr="00CD5BF5">
              <w:t xml:space="preserve"> I believe this is an area of serious concern. There is only one true certification program</w:t>
            </w:r>
            <w:r w:rsidR="00A908A7">
              <w:t>, that</w:t>
            </w:r>
            <w:r w:rsidRPr="00CD5BF5">
              <w:t xml:space="preserve"> is through the Library of Congress in conjunction with The National Federation of the Blind</w:t>
            </w:r>
            <w:r w:rsidR="00A908A7">
              <w:t xml:space="preserve">. </w:t>
            </w:r>
            <w:r>
              <w:t>T</w:t>
            </w:r>
            <w:r w:rsidRPr="00CD5BF5">
              <w:t>he course is tragically antagonistic towards the learner. Plus, even when one finishes the course and is deemed certified, the course has not covered all the various tools, software or file types that one runs into as a transcriber on the job.</w:t>
            </w:r>
            <w:r>
              <w:t xml:space="preserve"> (NC)</w:t>
            </w:r>
            <w:r w:rsidR="00B55C67">
              <w:rPr>
                <w:rFonts w:ascii="ZWAdobeF" w:hAnsi="ZWAdobeF" w:cs="ZWAdobeF"/>
                <w:sz w:val="2"/>
                <w:szCs w:val="2"/>
              </w:rPr>
              <w:t>58F</w:t>
            </w:r>
            <w:r>
              <w:rPr>
                <w:rStyle w:val="FootnoteReference"/>
              </w:rPr>
              <w:footnoteReference w:id="60"/>
            </w:r>
          </w:p>
        </w:tc>
      </w:tr>
      <w:tr w:rsidR="007D12D8" w:rsidRPr="002A105E" w14:paraId="203E1489" w14:textId="77777777" w:rsidTr="00D20B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6C005B94" w14:textId="4622DEAA" w:rsidR="007D12D8" w:rsidRPr="00183F13" w:rsidRDefault="007D12D8" w:rsidP="00CB3913">
            <w:pPr>
              <w:rPr>
                <w:rFonts w:cstheme="minorHAnsi"/>
              </w:rPr>
            </w:pPr>
          </w:p>
        </w:tc>
        <w:tc>
          <w:tcPr>
            <w:tcW w:w="7110" w:type="dxa"/>
            <w:shd w:val="clear" w:color="auto" w:fill="D9E2F3"/>
          </w:tcPr>
          <w:p w14:paraId="64C6231E" w14:textId="04B41E80" w:rsidR="007D12D8" w:rsidRPr="00183F13" w:rsidRDefault="007D12D8" w:rsidP="00CB3913">
            <w:pPr>
              <w:cnfStyle w:val="000000100000" w:firstRow="0" w:lastRow="0" w:firstColumn="0" w:lastColumn="0" w:oddVBand="0" w:evenVBand="0" w:oddHBand="1" w:evenHBand="0" w:firstRowFirstColumn="0" w:firstRowLastColumn="0" w:lastRowFirstColumn="0" w:lastRowLastColumn="0"/>
            </w:pPr>
            <w:r w:rsidRPr="00CD5BF5">
              <w:t>There seems to be a lot of factors against proper training of transcribers, proper mentoring or apprenticeships, respect for the position</w:t>
            </w:r>
            <w:r w:rsidR="005404B1">
              <w:t>,</w:t>
            </w:r>
            <w:r w:rsidRPr="00CD5BF5">
              <w:t xml:space="preserve"> and the importance of braille by regular educators.</w:t>
            </w:r>
            <w:r>
              <w:t xml:space="preserve"> </w:t>
            </w:r>
            <w:r w:rsidRPr="00CD5BF5">
              <w:t>I want to see changes in the way transcribers are trained, how braille is perceived by educators</w:t>
            </w:r>
            <w:r w:rsidR="005404B1">
              <w:t>,</w:t>
            </w:r>
            <w:r w:rsidRPr="00CD5BF5">
              <w:t xml:space="preserve"> and a livable wage for the work. It is highly technical and skilled. Having a background in </w:t>
            </w:r>
            <w:r>
              <w:t>visual impairment</w:t>
            </w:r>
            <w:r w:rsidRPr="00CD5BF5">
              <w:t xml:space="preserve"> education is also a must because when inexperienced teachers ask for materials that are not a good match for a tactile learner, sometimes it is the transcriber who needs to step in and provide additional information to make sure the learner has an experience that allows for comprehension and application of what they learned.</w:t>
            </w:r>
            <w:r>
              <w:t xml:space="preserve"> (NC)</w:t>
            </w:r>
            <w:r w:rsidR="00B55C67">
              <w:rPr>
                <w:rFonts w:ascii="ZWAdobeF" w:hAnsi="ZWAdobeF" w:cs="ZWAdobeF"/>
                <w:sz w:val="2"/>
                <w:szCs w:val="2"/>
              </w:rPr>
              <w:t>59F</w:t>
            </w:r>
            <w:r>
              <w:rPr>
                <w:rStyle w:val="FootnoteReference"/>
              </w:rPr>
              <w:footnoteReference w:id="61"/>
            </w:r>
          </w:p>
        </w:tc>
      </w:tr>
      <w:tr w:rsidR="00BD41F4" w:rsidRPr="002A105E" w14:paraId="5175BA66" w14:textId="77777777" w:rsidTr="00D20B00">
        <w:tc>
          <w:tcPr>
            <w:cnfStyle w:val="001000000000" w:firstRow="0" w:lastRow="0" w:firstColumn="1" w:lastColumn="0" w:oddVBand="0" w:evenVBand="0" w:oddHBand="0" w:evenHBand="0" w:firstRowFirstColumn="0" w:firstRowLastColumn="0" w:lastRowFirstColumn="0" w:lastRowLastColumn="0"/>
            <w:tcW w:w="2335" w:type="dxa"/>
            <w:vAlign w:val="bottom"/>
          </w:tcPr>
          <w:p w14:paraId="5E1B1F84" w14:textId="381BE64C" w:rsidR="00BD41F4" w:rsidRDefault="00BD41F4" w:rsidP="00CB3913">
            <w:pPr>
              <w:rPr>
                <w:rFonts w:ascii="Calibri" w:hAnsi="Calibri" w:cs="Calibri"/>
                <w:b w:val="0"/>
                <w:bCs w:val="0"/>
                <w:color w:val="000000"/>
              </w:rPr>
            </w:pPr>
            <w:r>
              <w:rPr>
                <w:rFonts w:ascii="Calibri" w:hAnsi="Calibri" w:cs="Calibri"/>
                <w:color w:val="000000"/>
              </w:rPr>
              <w:t>Staffing challenges that impact capability of AMPs (4)</w:t>
            </w:r>
          </w:p>
          <w:p w14:paraId="3F1666C0" w14:textId="2E291152" w:rsidR="003448C1" w:rsidRPr="00183F13" w:rsidRDefault="003448C1" w:rsidP="00CB3913">
            <w:pPr>
              <w:rPr>
                <w:rFonts w:cstheme="minorHAnsi"/>
              </w:rPr>
            </w:pPr>
          </w:p>
        </w:tc>
        <w:tc>
          <w:tcPr>
            <w:tcW w:w="7110" w:type="dxa"/>
          </w:tcPr>
          <w:p w14:paraId="5970A4F9" w14:textId="13F69317" w:rsidR="00BD41F4" w:rsidRPr="00183F13" w:rsidRDefault="00BD41F4" w:rsidP="00CB3913">
            <w:pPr>
              <w:cnfStyle w:val="000000000000" w:firstRow="0" w:lastRow="0" w:firstColumn="0" w:lastColumn="0" w:oddVBand="0" w:evenVBand="0" w:oddHBand="0" w:evenHBand="0" w:firstRowFirstColumn="0" w:firstRowLastColumn="0" w:lastRowFirstColumn="0" w:lastRowLastColumn="0"/>
            </w:pPr>
            <w:r>
              <w:t>I</w:t>
            </w:r>
            <w:r w:rsidRPr="00BD41F4">
              <w:t>n the past, we haven't had a full staff</w:t>
            </w:r>
            <w:r>
              <w:t xml:space="preserve"> at the Instructional Materials Center</w:t>
            </w:r>
            <w:r w:rsidRPr="00BD41F4">
              <w:t>. I think one of the bigger impacts</w:t>
            </w:r>
            <w:r>
              <w:t>,</w:t>
            </w:r>
            <w:r w:rsidRPr="00BD41F4">
              <w:t xml:space="preserve"> besides funding</w:t>
            </w:r>
            <w:r>
              <w:t>,</w:t>
            </w:r>
            <w:r w:rsidRPr="00BD41F4">
              <w:t xml:space="preserve"> </w:t>
            </w:r>
            <w:r w:rsidR="005404B1">
              <w:t xml:space="preserve">is </w:t>
            </w:r>
            <w:r w:rsidRPr="00BD41F4">
              <w:t>lack of trained teachers of the blind</w:t>
            </w:r>
            <w:r w:rsidR="005404B1">
              <w:t>/</w:t>
            </w:r>
            <w:r w:rsidRPr="00BD41F4">
              <w:t>low visio</w:t>
            </w:r>
            <w:r>
              <w:t>n and</w:t>
            </w:r>
            <w:r w:rsidRPr="00BD41F4">
              <w:t xml:space="preserve"> lack of braille</w:t>
            </w:r>
            <w:r>
              <w:t xml:space="preserve"> transcribers</w:t>
            </w:r>
            <w:r w:rsidRPr="00BD41F4">
              <w:t xml:space="preserve"> who are certified.</w:t>
            </w:r>
            <w:r>
              <w:t xml:space="preserve"> (OR)</w:t>
            </w:r>
          </w:p>
        </w:tc>
      </w:tr>
      <w:tr w:rsidR="00BD41F4" w:rsidRPr="002A105E" w14:paraId="2749088B" w14:textId="77777777" w:rsidTr="00D20B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2C7CC202" w14:textId="281B4AF5" w:rsidR="00BD41F4" w:rsidRPr="00183F13" w:rsidRDefault="00BD41F4" w:rsidP="00CB3913">
            <w:pPr>
              <w:rPr>
                <w:rFonts w:cstheme="minorHAnsi"/>
              </w:rPr>
            </w:pPr>
          </w:p>
        </w:tc>
        <w:tc>
          <w:tcPr>
            <w:tcW w:w="7110" w:type="dxa"/>
            <w:shd w:val="clear" w:color="auto" w:fill="D9E2F3"/>
          </w:tcPr>
          <w:p w14:paraId="492B903B" w14:textId="1878893A" w:rsidR="00BD41F4" w:rsidRPr="00183F13" w:rsidRDefault="00BD41F4" w:rsidP="00CB3913">
            <w:pPr>
              <w:cnfStyle w:val="000000100000" w:firstRow="0" w:lastRow="0" w:firstColumn="0" w:lastColumn="0" w:oddVBand="0" w:evenVBand="0" w:oddHBand="1" w:evenHBand="0" w:firstRowFirstColumn="0" w:firstRowLastColumn="0" w:lastRowFirstColumn="0" w:lastRowLastColumn="0"/>
            </w:pPr>
            <w:r w:rsidRPr="0071123D">
              <w:t>Usually</w:t>
            </w:r>
            <w:r w:rsidR="00186CB5">
              <w:t>,</w:t>
            </w:r>
            <w:r w:rsidRPr="0071123D">
              <w:t xml:space="preserve"> it is a long process for an AMP</w:t>
            </w:r>
            <w:r w:rsidR="00186CB5">
              <w:t xml:space="preserve">, </w:t>
            </w:r>
            <w:r w:rsidRPr="0071123D">
              <w:t xml:space="preserve">and </w:t>
            </w:r>
            <w:r w:rsidR="00186CB5">
              <w:t>i</w:t>
            </w:r>
            <w:r>
              <w:t>t</w:t>
            </w:r>
            <w:r w:rsidRPr="0071123D">
              <w:t xml:space="preserve"> is difficult to find people to do it.</w:t>
            </w:r>
            <w:r>
              <w:t xml:space="preserve"> (UT)</w:t>
            </w:r>
          </w:p>
        </w:tc>
      </w:tr>
      <w:bookmarkEnd w:id="74"/>
    </w:tbl>
    <w:p w14:paraId="0801049C" w14:textId="77777777" w:rsidR="00225C27" w:rsidRDefault="00225C27" w:rsidP="00F95B49">
      <w:pPr>
        <w:spacing w:after="0" w:line="276" w:lineRule="auto"/>
        <w:rPr>
          <w:rFonts w:ascii="Calibri" w:hAnsi="Calibri" w:cs="Calibri"/>
          <w:bCs/>
          <w:sz w:val="24"/>
          <w:szCs w:val="24"/>
        </w:rPr>
      </w:pPr>
    </w:p>
    <w:p w14:paraId="2B70AA54" w14:textId="27D53538" w:rsidR="006F301F" w:rsidRDefault="00B55C67" w:rsidP="00F95B49">
      <w:pPr>
        <w:spacing w:after="0" w:line="276" w:lineRule="auto"/>
        <w:rPr>
          <w:rFonts w:ascii="Calibri" w:hAnsi="Calibri" w:cs="Calibri"/>
          <w:bCs/>
          <w:sz w:val="24"/>
          <w:szCs w:val="24"/>
        </w:rPr>
      </w:pPr>
      <w:r>
        <w:rPr>
          <w:rFonts w:ascii="ZWAdobeF" w:hAnsi="ZWAdobeF" w:cs="ZWAdobeF"/>
          <w:bCs/>
          <w:sz w:val="2"/>
          <w:szCs w:val="2"/>
        </w:rPr>
        <w:lastRenderedPageBreak/>
        <w:t>205B</w:t>
      </w:r>
      <w:r w:rsidR="000C4EE6">
        <w:rPr>
          <w:rFonts w:ascii="Calibri" w:hAnsi="Calibri" w:cs="Calibri"/>
          <w:bCs/>
          <w:sz w:val="24"/>
          <w:szCs w:val="24"/>
        </w:rPr>
        <w:t>P</w:t>
      </w:r>
      <w:r w:rsidR="00225C27">
        <w:rPr>
          <w:rFonts w:ascii="Calibri" w:hAnsi="Calibri" w:cs="Calibri"/>
          <w:bCs/>
          <w:sz w:val="24"/>
          <w:szCs w:val="24"/>
        </w:rPr>
        <w:t xml:space="preserve">articipants offered potential strategies </w:t>
      </w:r>
      <w:r w:rsidR="000C4EE6">
        <w:rPr>
          <w:rFonts w:ascii="Calibri" w:hAnsi="Calibri" w:cs="Calibri"/>
          <w:bCs/>
          <w:sz w:val="24"/>
          <w:szCs w:val="24"/>
        </w:rPr>
        <w:t>to</w:t>
      </w:r>
      <w:r w:rsidR="00225C27">
        <w:rPr>
          <w:rFonts w:ascii="Calibri" w:hAnsi="Calibri" w:cs="Calibri"/>
          <w:bCs/>
          <w:sz w:val="24"/>
          <w:szCs w:val="24"/>
        </w:rPr>
        <w:t xml:space="preserve"> address production-related challenges to timely delivery (across </w:t>
      </w:r>
      <w:r w:rsidR="00930168">
        <w:rPr>
          <w:rFonts w:ascii="Calibri" w:hAnsi="Calibri" w:cs="Calibri"/>
          <w:bCs/>
          <w:sz w:val="24"/>
          <w:szCs w:val="24"/>
        </w:rPr>
        <w:t>7</w:t>
      </w:r>
      <w:r w:rsidR="00225C27">
        <w:rPr>
          <w:rFonts w:ascii="Calibri" w:hAnsi="Calibri" w:cs="Calibri"/>
          <w:bCs/>
          <w:sz w:val="24"/>
          <w:szCs w:val="24"/>
        </w:rPr>
        <w:t xml:space="preserve"> excerpts). These include</w:t>
      </w:r>
      <w:r w:rsidR="000C4EE6">
        <w:rPr>
          <w:rFonts w:ascii="Calibri" w:hAnsi="Calibri" w:cs="Calibri"/>
          <w:bCs/>
          <w:sz w:val="24"/>
          <w:szCs w:val="24"/>
        </w:rPr>
        <w:t>d</w:t>
      </w:r>
      <w:r w:rsidR="00225C27">
        <w:rPr>
          <w:rFonts w:ascii="Calibri" w:hAnsi="Calibri" w:cs="Calibri"/>
          <w:bCs/>
          <w:sz w:val="24"/>
          <w:szCs w:val="24"/>
        </w:rPr>
        <w:t>:</w:t>
      </w:r>
    </w:p>
    <w:p w14:paraId="55188AF5" w14:textId="589A0596" w:rsidR="006F301F" w:rsidRDefault="00B55C67" w:rsidP="00692AD9">
      <w:pPr>
        <w:pStyle w:val="ListParagraph"/>
        <w:numPr>
          <w:ilvl w:val="0"/>
          <w:numId w:val="9"/>
        </w:numPr>
        <w:spacing w:after="0" w:line="276" w:lineRule="auto"/>
        <w:rPr>
          <w:rFonts w:ascii="Calibri" w:hAnsi="Calibri" w:cs="Calibri"/>
          <w:bCs/>
          <w:sz w:val="24"/>
          <w:szCs w:val="24"/>
        </w:rPr>
      </w:pPr>
      <w:r>
        <w:rPr>
          <w:rFonts w:ascii="ZWAdobeF" w:hAnsi="ZWAdobeF" w:cs="ZWAdobeF"/>
          <w:bCs/>
          <w:sz w:val="2"/>
          <w:szCs w:val="2"/>
        </w:rPr>
        <w:t>10B</w:t>
      </w:r>
      <w:r w:rsidR="00595669">
        <w:rPr>
          <w:rFonts w:ascii="Calibri" w:hAnsi="Calibri" w:cs="Calibri"/>
          <w:bCs/>
          <w:sz w:val="24"/>
          <w:szCs w:val="24"/>
        </w:rPr>
        <w:t>Provide local “braille transcribers the option to work a 12-month calendar” to produce braille over the summer before school starts,</w:t>
      </w:r>
    </w:p>
    <w:p w14:paraId="72E3CFE2" w14:textId="3E54DC73" w:rsidR="00052068" w:rsidRDefault="00B55C67" w:rsidP="00692AD9">
      <w:pPr>
        <w:pStyle w:val="ListParagraph"/>
        <w:numPr>
          <w:ilvl w:val="0"/>
          <w:numId w:val="9"/>
        </w:numPr>
        <w:spacing w:after="0" w:line="276" w:lineRule="auto"/>
        <w:rPr>
          <w:rFonts w:ascii="Calibri" w:hAnsi="Calibri" w:cs="Calibri"/>
          <w:bCs/>
          <w:sz w:val="24"/>
          <w:szCs w:val="24"/>
        </w:rPr>
      </w:pPr>
      <w:r>
        <w:rPr>
          <w:rFonts w:ascii="ZWAdobeF" w:hAnsi="ZWAdobeF" w:cs="ZWAdobeF"/>
          <w:bCs/>
          <w:sz w:val="2"/>
          <w:szCs w:val="2"/>
        </w:rPr>
        <w:t>11B</w:t>
      </w:r>
      <w:r w:rsidR="00052068">
        <w:rPr>
          <w:rFonts w:ascii="Calibri" w:hAnsi="Calibri" w:cs="Calibri"/>
          <w:bCs/>
          <w:sz w:val="24"/>
          <w:szCs w:val="24"/>
        </w:rPr>
        <w:t>AMPs buying physical copies of textbooks as soon as order</w:t>
      </w:r>
      <w:r w:rsidR="00930168">
        <w:rPr>
          <w:rFonts w:ascii="Calibri" w:hAnsi="Calibri" w:cs="Calibri"/>
          <w:bCs/>
          <w:sz w:val="24"/>
          <w:szCs w:val="24"/>
        </w:rPr>
        <w:t>s</w:t>
      </w:r>
      <w:r w:rsidR="00052068">
        <w:rPr>
          <w:rFonts w:ascii="Calibri" w:hAnsi="Calibri" w:cs="Calibri"/>
          <w:bCs/>
          <w:sz w:val="24"/>
          <w:szCs w:val="24"/>
        </w:rPr>
        <w:t xml:space="preserve"> </w:t>
      </w:r>
      <w:r w:rsidR="00930168">
        <w:rPr>
          <w:rFonts w:ascii="Calibri" w:hAnsi="Calibri" w:cs="Calibri"/>
          <w:bCs/>
          <w:sz w:val="24"/>
          <w:szCs w:val="24"/>
        </w:rPr>
        <w:t>are</w:t>
      </w:r>
      <w:r w:rsidR="00052068">
        <w:rPr>
          <w:rFonts w:ascii="Calibri" w:hAnsi="Calibri" w:cs="Calibri"/>
          <w:bCs/>
          <w:sz w:val="24"/>
          <w:szCs w:val="24"/>
        </w:rPr>
        <w:t xml:space="preserve"> received so they are not waiting for extended periods to obtain physical copies from schools,</w:t>
      </w:r>
    </w:p>
    <w:p w14:paraId="682B69C8" w14:textId="0DD1A287" w:rsidR="00595669" w:rsidRDefault="00B55C67" w:rsidP="00692AD9">
      <w:pPr>
        <w:pStyle w:val="ListParagraph"/>
        <w:numPr>
          <w:ilvl w:val="0"/>
          <w:numId w:val="9"/>
        </w:numPr>
        <w:spacing w:after="0" w:line="276" w:lineRule="auto"/>
        <w:rPr>
          <w:rFonts w:ascii="Calibri" w:hAnsi="Calibri" w:cs="Calibri"/>
          <w:bCs/>
          <w:sz w:val="24"/>
          <w:szCs w:val="24"/>
        </w:rPr>
      </w:pPr>
      <w:r>
        <w:rPr>
          <w:rFonts w:ascii="ZWAdobeF" w:hAnsi="ZWAdobeF" w:cs="ZWAdobeF"/>
          <w:bCs/>
          <w:sz w:val="2"/>
          <w:szCs w:val="2"/>
        </w:rPr>
        <w:t>12B</w:t>
      </w:r>
      <w:r w:rsidR="00595669">
        <w:rPr>
          <w:rFonts w:ascii="Calibri" w:hAnsi="Calibri" w:cs="Calibri"/>
          <w:bCs/>
          <w:sz w:val="24"/>
          <w:szCs w:val="24"/>
        </w:rPr>
        <w:t>Require publishers to provide PDF files along with NIMAS files</w:t>
      </w:r>
      <w:r w:rsidR="00930168">
        <w:rPr>
          <w:rFonts w:ascii="Calibri" w:hAnsi="Calibri" w:cs="Calibri"/>
          <w:bCs/>
          <w:sz w:val="24"/>
          <w:szCs w:val="24"/>
        </w:rPr>
        <w:t xml:space="preserve"> so physical copies are not needed, </w:t>
      </w:r>
    </w:p>
    <w:p w14:paraId="45B05592" w14:textId="58D2108C" w:rsidR="00595669" w:rsidRDefault="00B55C67" w:rsidP="00692AD9">
      <w:pPr>
        <w:pStyle w:val="ListParagraph"/>
        <w:numPr>
          <w:ilvl w:val="0"/>
          <w:numId w:val="9"/>
        </w:numPr>
        <w:spacing w:after="0" w:line="276" w:lineRule="auto"/>
        <w:rPr>
          <w:rFonts w:ascii="Calibri" w:hAnsi="Calibri" w:cs="Calibri"/>
          <w:bCs/>
          <w:sz w:val="24"/>
          <w:szCs w:val="24"/>
        </w:rPr>
      </w:pPr>
      <w:r>
        <w:rPr>
          <w:rFonts w:ascii="ZWAdobeF" w:hAnsi="ZWAdobeF" w:cs="ZWAdobeF"/>
          <w:bCs/>
          <w:sz w:val="2"/>
          <w:szCs w:val="2"/>
        </w:rPr>
        <w:t>13B</w:t>
      </w:r>
      <w:r w:rsidR="00595669">
        <w:rPr>
          <w:rFonts w:ascii="Calibri" w:hAnsi="Calibri" w:cs="Calibri"/>
          <w:bCs/>
          <w:sz w:val="24"/>
          <w:szCs w:val="24"/>
        </w:rPr>
        <w:t>Creat</w:t>
      </w:r>
      <w:r w:rsidR="00EA7F00">
        <w:rPr>
          <w:rFonts w:ascii="Calibri" w:hAnsi="Calibri" w:cs="Calibri"/>
          <w:bCs/>
          <w:sz w:val="24"/>
          <w:szCs w:val="24"/>
        </w:rPr>
        <w:t>e</w:t>
      </w:r>
      <w:r w:rsidR="00595669">
        <w:rPr>
          <w:rFonts w:ascii="Calibri" w:hAnsi="Calibri" w:cs="Calibri"/>
          <w:bCs/>
          <w:sz w:val="24"/>
          <w:szCs w:val="24"/>
        </w:rPr>
        <w:t xml:space="preserve"> a consolidated database where publishers can explain the differences between versions of textbooks, including national and state editions, and </w:t>
      </w:r>
    </w:p>
    <w:p w14:paraId="719B6222" w14:textId="1F27E6E8" w:rsidR="00595669" w:rsidRPr="00595669" w:rsidRDefault="00B55C67" w:rsidP="00692AD9">
      <w:pPr>
        <w:pStyle w:val="ListParagraph"/>
        <w:numPr>
          <w:ilvl w:val="0"/>
          <w:numId w:val="9"/>
        </w:numPr>
        <w:spacing w:after="0" w:line="276" w:lineRule="auto"/>
        <w:rPr>
          <w:rFonts w:ascii="Calibri" w:hAnsi="Calibri" w:cs="Calibri"/>
          <w:bCs/>
          <w:sz w:val="24"/>
          <w:szCs w:val="24"/>
        </w:rPr>
      </w:pPr>
      <w:r>
        <w:rPr>
          <w:rFonts w:ascii="ZWAdobeF" w:hAnsi="ZWAdobeF" w:cs="ZWAdobeF"/>
          <w:bCs/>
          <w:sz w:val="2"/>
          <w:szCs w:val="2"/>
        </w:rPr>
        <w:t>14B</w:t>
      </w:r>
      <w:r w:rsidR="00595669">
        <w:rPr>
          <w:rFonts w:ascii="Calibri" w:hAnsi="Calibri" w:cs="Calibri"/>
          <w:bCs/>
          <w:sz w:val="24"/>
          <w:szCs w:val="24"/>
        </w:rPr>
        <w:t xml:space="preserve">Develop more advanced tools </w:t>
      </w:r>
      <w:r w:rsidR="00D8527C">
        <w:rPr>
          <w:rFonts w:ascii="Calibri" w:hAnsi="Calibri" w:cs="Calibri"/>
          <w:bCs/>
          <w:sz w:val="24"/>
          <w:szCs w:val="24"/>
        </w:rPr>
        <w:t xml:space="preserve">for </w:t>
      </w:r>
      <w:r w:rsidR="00595669">
        <w:rPr>
          <w:rFonts w:ascii="Calibri" w:hAnsi="Calibri" w:cs="Calibri"/>
          <w:bCs/>
          <w:sz w:val="24"/>
          <w:szCs w:val="24"/>
        </w:rPr>
        <w:t>convert</w:t>
      </w:r>
      <w:r w:rsidR="00D8527C">
        <w:rPr>
          <w:rFonts w:ascii="Calibri" w:hAnsi="Calibri" w:cs="Calibri"/>
          <w:bCs/>
          <w:sz w:val="24"/>
          <w:szCs w:val="24"/>
        </w:rPr>
        <w:t>ing</w:t>
      </w:r>
      <w:r w:rsidR="00595669">
        <w:rPr>
          <w:rFonts w:ascii="Calibri" w:hAnsi="Calibri" w:cs="Calibri"/>
          <w:bCs/>
          <w:sz w:val="24"/>
          <w:szCs w:val="24"/>
        </w:rPr>
        <w:t xml:space="preserve"> NIMAS files to accessible formats.</w:t>
      </w:r>
    </w:p>
    <w:p w14:paraId="1948CBB4" w14:textId="77777777" w:rsidR="006F301F" w:rsidRDefault="006F301F" w:rsidP="00F95B49">
      <w:pPr>
        <w:spacing w:after="0" w:line="276" w:lineRule="auto"/>
        <w:rPr>
          <w:rFonts w:ascii="Calibri" w:hAnsi="Calibri" w:cs="Calibri"/>
          <w:bCs/>
          <w:sz w:val="24"/>
          <w:szCs w:val="24"/>
        </w:rPr>
      </w:pPr>
    </w:p>
    <w:p w14:paraId="312131CB" w14:textId="0D02B65F" w:rsidR="00985EBE" w:rsidRDefault="00B55C67" w:rsidP="00D0758C">
      <w:pPr>
        <w:spacing w:after="0" w:line="276" w:lineRule="auto"/>
        <w:rPr>
          <w:rFonts w:ascii="Calibri" w:hAnsi="Calibri" w:cs="Calibri"/>
          <w:bCs/>
          <w:sz w:val="24"/>
          <w:szCs w:val="24"/>
          <w:highlight w:val="cyan"/>
        </w:rPr>
      </w:pPr>
      <w:r>
        <w:rPr>
          <w:rFonts w:ascii="ZWAdobeF" w:hAnsi="ZWAdobeF" w:cs="ZWAdobeF"/>
          <w:bCs/>
          <w:sz w:val="2"/>
          <w:szCs w:val="2"/>
        </w:rPr>
        <w:t>206B</w:t>
      </w:r>
      <w:r w:rsidR="00D0758C" w:rsidRPr="00D0758C">
        <w:rPr>
          <w:rFonts w:ascii="Calibri" w:hAnsi="Calibri" w:cs="Calibri"/>
          <w:bCs/>
          <w:sz w:val="24"/>
          <w:szCs w:val="24"/>
        </w:rPr>
        <w:t xml:space="preserve">To explore </w:t>
      </w:r>
      <w:r w:rsidR="0036740D">
        <w:rPr>
          <w:rFonts w:ascii="Calibri" w:hAnsi="Calibri" w:cs="Calibri"/>
          <w:bCs/>
          <w:sz w:val="24"/>
          <w:szCs w:val="24"/>
        </w:rPr>
        <w:t xml:space="preserve">the fourth domain of factors </w:t>
      </w:r>
      <w:r w:rsidR="00D0758C" w:rsidRPr="00D0758C">
        <w:rPr>
          <w:rFonts w:ascii="Calibri" w:hAnsi="Calibri" w:cs="Calibri"/>
          <w:bCs/>
          <w:sz w:val="24"/>
          <w:szCs w:val="24"/>
        </w:rPr>
        <w:t xml:space="preserve">that hinder timely delivery of accessible formats, survey respondents were presented with a list of </w:t>
      </w:r>
      <w:r w:rsidR="0036740D" w:rsidRPr="00D0758C">
        <w:rPr>
          <w:rFonts w:ascii="Calibri" w:hAnsi="Calibri" w:cs="Calibri"/>
          <w:bCs/>
          <w:sz w:val="24"/>
          <w:szCs w:val="24"/>
        </w:rPr>
        <w:t xml:space="preserve">state, regional, district, and school-level </w:t>
      </w:r>
      <w:r w:rsidR="00D0758C" w:rsidRPr="00D0758C">
        <w:rPr>
          <w:rFonts w:ascii="Calibri" w:hAnsi="Calibri" w:cs="Calibri"/>
          <w:bCs/>
          <w:sz w:val="24"/>
          <w:szCs w:val="24"/>
        </w:rPr>
        <w:t xml:space="preserve">practices (all of which are included in Figure </w:t>
      </w:r>
      <w:r w:rsidR="00EA4EB2">
        <w:rPr>
          <w:rFonts w:ascii="Calibri" w:hAnsi="Calibri" w:cs="Calibri"/>
          <w:bCs/>
          <w:sz w:val="24"/>
          <w:szCs w:val="24"/>
        </w:rPr>
        <w:t>2</w:t>
      </w:r>
      <w:r w:rsidR="00EE4A78">
        <w:rPr>
          <w:rFonts w:ascii="Calibri" w:hAnsi="Calibri" w:cs="Calibri"/>
          <w:bCs/>
          <w:sz w:val="24"/>
          <w:szCs w:val="24"/>
        </w:rPr>
        <w:t>9</w:t>
      </w:r>
      <w:r w:rsidR="00D0758C" w:rsidRPr="00D0758C">
        <w:rPr>
          <w:rFonts w:ascii="Calibri" w:hAnsi="Calibri" w:cs="Calibri"/>
          <w:bCs/>
          <w:sz w:val="24"/>
          <w:szCs w:val="24"/>
        </w:rPr>
        <w:t>)</w:t>
      </w:r>
      <w:r w:rsidR="00D71C65">
        <w:rPr>
          <w:rFonts w:ascii="Calibri" w:hAnsi="Calibri" w:cs="Calibri"/>
          <w:bCs/>
          <w:sz w:val="24"/>
          <w:szCs w:val="24"/>
        </w:rPr>
        <w:t xml:space="preserve"> and asked to select the practices that hinder timely delivery</w:t>
      </w:r>
      <w:r w:rsidR="00D0758C" w:rsidRPr="007E1572">
        <w:rPr>
          <w:rFonts w:ascii="Calibri" w:hAnsi="Calibri" w:cs="Calibri"/>
          <w:bCs/>
          <w:sz w:val="24"/>
          <w:szCs w:val="24"/>
        </w:rPr>
        <w:t>.</w:t>
      </w:r>
      <w:r>
        <w:rPr>
          <w:rFonts w:ascii="ZWAdobeF" w:hAnsi="ZWAdobeF" w:cs="ZWAdobeF"/>
          <w:bCs/>
          <w:sz w:val="2"/>
          <w:szCs w:val="2"/>
        </w:rPr>
        <w:t>60F</w:t>
      </w:r>
      <w:r w:rsidR="00BB4D0B">
        <w:rPr>
          <w:rStyle w:val="FootnoteReference"/>
          <w:rFonts w:ascii="Calibri" w:hAnsi="Calibri" w:cs="Calibri"/>
          <w:bCs/>
          <w:sz w:val="24"/>
          <w:szCs w:val="24"/>
        </w:rPr>
        <w:footnoteReference w:id="62"/>
      </w:r>
      <w:r w:rsidR="00D0758C" w:rsidRPr="007E1572">
        <w:rPr>
          <w:rFonts w:ascii="Calibri" w:hAnsi="Calibri" w:cs="Calibri"/>
          <w:bCs/>
          <w:sz w:val="24"/>
          <w:szCs w:val="24"/>
        </w:rPr>
        <w:t xml:space="preserve"> </w:t>
      </w:r>
      <w:r w:rsidR="00A504D4">
        <w:rPr>
          <w:rFonts w:ascii="Calibri" w:hAnsi="Calibri" w:cs="Calibri"/>
          <w:bCs/>
          <w:sz w:val="24"/>
          <w:szCs w:val="24"/>
        </w:rPr>
        <w:t>Over two-thirds of survey respondents indicated timely delivery is hindered by</w:t>
      </w:r>
      <w:r w:rsidR="00985EBE" w:rsidRPr="007E1572">
        <w:rPr>
          <w:rFonts w:ascii="Calibri" w:hAnsi="Calibri" w:cs="Calibri"/>
          <w:bCs/>
          <w:sz w:val="24"/>
          <w:szCs w:val="24"/>
        </w:rPr>
        <w:t xml:space="preserve"> </w:t>
      </w:r>
      <w:r w:rsidR="007E1572" w:rsidRPr="007E1572">
        <w:rPr>
          <w:rFonts w:ascii="Calibri" w:hAnsi="Calibri" w:cs="Calibri"/>
          <w:bCs/>
          <w:sz w:val="24"/>
          <w:szCs w:val="24"/>
        </w:rPr>
        <w:t xml:space="preserve">“District-level or itinerant teachers (e.g., TVIs) who are unlikely to learn about district curriculum decisions” </w:t>
      </w:r>
      <w:r w:rsidR="00A504D4">
        <w:rPr>
          <w:rFonts w:ascii="Calibri" w:hAnsi="Calibri" w:cs="Calibri"/>
          <w:bCs/>
          <w:sz w:val="24"/>
          <w:szCs w:val="24"/>
        </w:rPr>
        <w:t xml:space="preserve">(71%) </w:t>
      </w:r>
      <w:r w:rsidR="007E1572" w:rsidRPr="007E1572">
        <w:rPr>
          <w:rFonts w:ascii="Calibri" w:hAnsi="Calibri" w:cs="Calibri"/>
          <w:bCs/>
          <w:sz w:val="24"/>
          <w:szCs w:val="24"/>
        </w:rPr>
        <w:t xml:space="preserve">and “Curriculum changes at the state or district level that are not communicated to schools/teachers” (67%). </w:t>
      </w:r>
      <w:r w:rsidR="003979DF">
        <w:rPr>
          <w:rFonts w:ascii="Calibri" w:hAnsi="Calibri" w:cs="Calibri"/>
          <w:bCs/>
          <w:sz w:val="24"/>
          <w:szCs w:val="24"/>
        </w:rPr>
        <w:t>Three other hindrances were selected by about half of respondents</w:t>
      </w:r>
      <w:r w:rsidR="007E1572" w:rsidRPr="007E1572">
        <w:rPr>
          <w:rFonts w:ascii="Calibri" w:hAnsi="Calibri" w:cs="Calibri"/>
          <w:bCs/>
          <w:sz w:val="24"/>
          <w:szCs w:val="24"/>
        </w:rPr>
        <w:t>: “Lack of assistive technology (AT) that allows access to accessible formats</w:t>
      </w:r>
      <w:r w:rsidR="007E1572">
        <w:rPr>
          <w:rFonts w:ascii="Calibri" w:hAnsi="Calibri" w:cs="Calibri"/>
          <w:bCs/>
          <w:sz w:val="24"/>
          <w:szCs w:val="24"/>
        </w:rPr>
        <w:t>”</w:t>
      </w:r>
      <w:r w:rsidR="003979DF">
        <w:rPr>
          <w:rFonts w:ascii="Calibri" w:hAnsi="Calibri" w:cs="Calibri"/>
          <w:bCs/>
          <w:sz w:val="24"/>
          <w:szCs w:val="24"/>
        </w:rPr>
        <w:t xml:space="preserve"> (53%),</w:t>
      </w:r>
      <w:r w:rsidR="007E1572">
        <w:rPr>
          <w:rFonts w:ascii="Calibri" w:hAnsi="Calibri" w:cs="Calibri"/>
          <w:bCs/>
          <w:sz w:val="24"/>
          <w:szCs w:val="24"/>
        </w:rPr>
        <w:t xml:space="preserve"> “</w:t>
      </w:r>
      <w:r w:rsidR="007E1572" w:rsidRPr="007E1572">
        <w:rPr>
          <w:rFonts w:ascii="Calibri" w:hAnsi="Calibri" w:cs="Calibri"/>
          <w:bCs/>
          <w:sz w:val="24"/>
          <w:szCs w:val="24"/>
        </w:rPr>
        <w:t>Lack of funding for the production of accessible formats</w:t>
      </w:r>
      <w:r w:rsidR="007E1572">
        <w:rPr>
          <w:rFonts w:ascii="Calibri" w:hAnsi="Calibri" w:cs="Calibri"/>
          <w:bCs/>
          <w:sz w:val="24"/>
          <w:szCs w:val="24"/>
        </w:rPr>
        <w:t xml:space="preserve">” </w:t>
      </w:r>
      <w:r w:rsidR="003979DF">
        <w:rPr>
          <w:rFonts w:ascii="Calibri" w:hAnsi="Calibri" w:cs="Calibri"/>
          <w:bCs/>
          <w:sz w:val="24"/>
          <w:szCs w:val="24"/>
        </w:rPr>
        <w:t xml:space="preserve">(52%), </w:t>
      </w:r>
      <w:r w:rsidR="007E1572">
        <w:rPr>
          <w:rFonts w:ascii="Calibri" w:hAnsi="Calibri" w:cs="Calibri"/>
          <w:bCs/>
          <w:sz w:val="24"/>
          <w:szCs w:val="24"/>
        </w:rPr>
        <w:t>and “</w:t>
      </w:r>
      <w:r w:rsidR="007E1572" w:rsidRPr="007E1572">
        <w:rPr>
          <w:rFonts w:ascii="Calibri" w:hAnsi="Calibri" w:cs="Calibri"/>
          <w:bCs/>
          <w:sz w:val="24"/>
          <w:szCs w:val="24"/>
        </w:rPr>
        <w:t>Students change schools or districts which negatively impacts the request for, or delivery of, accessible formats</w:t>
      </w:r>
      <w:r w:rsidR="007E1572">
        <w:rPr>
          <w:rFonts w:ascii="Calibri" w:hAnsi="Calibri" w:cs="Calibri"/>
          <w:bCs/>
          <w:sz w:val="24"/>
          <w:szCs w:val="24"/>
        </w:rPr>
        <w:t>”</w:t>
      </w:r>
      <w:r w:rsidR="003979DF">
        <w:rPr>
          <w:rFonts w:ascii="Calibri" w:hAnsi="Calibri" w:cs="Calibri"/>
          <w:bCs/>
          <w:sz w:val="24"/>
          <w:szCs w:val="24"/>
        </w:rPr>
        <w:t xml:space="preserve"> (48%).</w:t>
      </w:r>
      <w:r w:rsidR="007E1572">
        <w:rPr>
          <w:rFonts w:ascii="Calibri" w:hAnsi="Calibri" w:cs="Calibri"/>
          <w:bCs/>
          <w:sz w:val="24"/>
          <w:szCs w:val="24"/>
        </w:rPr>
        <w:t xml:space="preserve"> </w:t>
      </w:r>
      <w:r w:rsidR="003979DF">
        <w:rPr>
          <w:rFonts w:ascii="Calibri" w:hAnsi="Calibri" w:cs="Calibri"/>
          <w:bCs/>
          <w:sz w:val="24"/>
          <w:szCs w:val="24"/>
        </w:rPr>
        <w:t xml:space="preserve">Other factors, identified by at least one-third of survey respondents, included: </w:t>
      </w:r>
      <w:r w:rsidR="007E1572">
        <w:rPr>
          <w:rFonts w:ascii="Calibri" w:hAnsi="Calibri" w:cs="Calibri"/>
          <w:bCs/>
          <w:sz w:val="24"/>
          <w:szCs w:val="24"/>
        </w:rPr>
        <w:t>“</w:t>
      </w:r>
      <w:r w:rsidR="007E1572" w:rsidRPr="007E1572">
        <w:rPr>
          <w:rFonts w:ascii="Calibri" w:hAnsi="Calibri" w:cs="Calibri"/>
          <w:bCs/>
          <w:sz w:val="24"/>
          <w:szCs w:val="24"/>
        </w:rPr>
        <w:t>High teacher turnover which negatively impacts the request for, or delivery of, accessible formats</w:t>
      </w:r>
      <w:r w:rsidR="003979DF">
        <w:rPr>
          <w:rFonts w:ascii="Calibri" w:hAnsi="Calibri" w:cs="Calibri"/>
          <w:bCs/>
          <w:sz w:val="24"/>
          <w:szCs w:val="24"/>
        </w:rPr>
        <w:t>,</w:t>
      </w:r>
      <w:r w:rsidR="007E1572">
        <w:rPr>
          <w:rFonts w:ascii="Calibri" w:hAnsi="Calibri" w:cs="Calibri"/>
          <w:bCs/>
          <w:sz w:val="24"/>
          <w:szCs w:val="24"/>
        </w:rPr>
        <w:t>” “</w:t>
      </w:r>
      <w:r w:rsidR="007E1572" w:rsidRPr="007E1572">
        <w:rPr>
          <w:rFonts w:ascii="Calibri" w:hAnsi="Calibri" w:cs="Calibri"/>
          <w:bCs/>
          <w:sz w:val="24"/>
          <w:szCs w:val="24"/>
        </w:rPr>
        <w:t>LEAs and schools need to wait for enrollment data before finalizing class offerings</w:t>
      </w:r>
      <w:r w:rsidR="003979DF">
        <w:rPr>
          <w:rFonts w:ascii="Calibri" w:hAnsi="Calibri" w:cs="Calibri"/>
          <w:bCs/>
          <w:sz w:val="24"/>
          <w:szCs w:val="24"/>
        </w:rPr>
        <w:t>,</w:t>
      </w:r>
      <w:r w:rsidR="007E1572">
        <w:rPr>
          <w:rFonts w:ascii="Calibri" w:hAnsi="Calibri" w:cs="Calibri"/>
          <w:bCs/>
          <w:sz w:val="24"/>
          <w:szCs w:val="24"/>
        </w:rPr>
        <w:t xml:space="preserve">” </w:t>
      </w:r>
      <w:r w:rsidR="003979DF">
        <w:rPr>
          <w:rFonts w:ascii="Calibri" w:hAnsi="Calibri" w:cs="Calibri"/>
          <w:bCs/>
          <w:sz w:val="24"/>
          <w:szCs w:val="24"/>
        </w:rPr>
        <w:t>and</w:t>
      </w:r>
      <w:r w:rsidR="007E1572">
        <w:rPr>
          <w:rFonts w:ascii="Calibri" w:hAnsi="Calibri" w:cs="Calibri"/>
          <w:bCs/>
          <w:sz w:val="24"/>
          <w:szCs w:val="24"/>
        </w:rPr>
        <w:t xml:space="preserve"> “</w:t>
      </w:r>
      <w:r w:rsidR="007E1572" w:rsidRPr="007E1572">
        <w:rPr>
          <w:rFonts w:ascii="Calibri" w:hAnsi="Calibri" w:cs="Calibri"/>
          <w:bCs/>
          <w:sz w:val="24"/>
          <w:szCs w:val="24"/>
        </w:rPr>
        <w:t>Open territory policies often lead to a large number of rotating requests for accessible formats for many different instructional materials</w:t>
      </w:r>
      <w:r w:rsidR="007E1572">
        <w:rPr>
          <w:rFonts w:ascii="Calibri" w:hAnsi="Calibri" w:cs="Calibri"/>
          <w:bCs/>
          <w:sz w:val="24"/>
          <w:szCs w:val="24"/>
        </w:rPr>
        <w:t>”</w:t>
      </w:r>
      <w:r w:rsidR="003979DF">
        <w:rPr>
          <w:rFonts w:ascii="Calibri" w:hAnsi="Calibri" w:cs="Calibri"/>
          <w:bCs/>
          <w:sz w:val="24"/>
          <w:szCs w:val="24"/>
        </w:rPr>
        <w:t xml:space="preserve"> (43%, 40%, and 36%, respectively).</w:t>
      </w:r>
      <w:r w:rsidR="007E1572">
        <w:rPr>
          <w:rFonts w:ascii="Calibri" w:hAnsi="Calibri" w:cs="Calibri"/>
          <w:bCs/>
          <w:sz w:val="24"/>
          <w:szCs w:val="24"/>
        </w:rPr>
        <w:t xml:space="preserve"> </w:t>
      </w:r>
    </w:p>
    <w:p w14:paraId="04B58B73" w14:textId="77777777" w:rsidR="00985EBE" w:rsidRDefault="00985EBE" w:rsidP="00D0758C">
      <w:pPr>
        <w:spacing w:after="0" w:line="276" w:lineRule="auto"/>
        <w:rPr>
          <w:rFonts w:ascii="Calibri" w:hAnsi="Calibri" w:cs="Calibri"/>
          <w:bCs/>
          <w:sz w:val="24"/>
          <w:szCs w:val="24"/>
          <w:highlight w:val="cyan"/>
        </w:rPr>
      </w:pPr>
    </w:p>
    <w:p w14:paraId="5703B4FD" w14:textId="77777777" w:rsidR="00985EBE" w:rsidRDefault="00985EBE" w:rsidP="00D0758C">
      <w:pPr>
        <w:spacing w:after="0" w:line="276" w:lineRule="auto"/>
        <w:rPr>
          <w:rFonts w:ascii="Calibri" w:hAnsi="Calibri" w:cs="Calibri"/>
          <w:bCs/>
          <w:sz w:val="24"/>
          <w:szCs w:val="24"/>
          <w:highlight w:val="cyan"/>
        </w:rPr>
      </w:pPr>
    </w:p>
    <w:p w14:paraId="61F3A46B" w14:textId="77777777" w:rsidR="00985EBE" w:rsidRDefault="00985EBE" w:rsidP="00D0758C">
      <w:pPr>
        <w:spacing w:after="0" w:line="276" w:lineRule="auto"/>
        <w:rPr>
          <w:rFonts w:ascii="Calibri" w:hAnsi="Calibri" w:cs="Calibri"/>
          <w:bCs/>
          <w:sz w:val="24"/>
          <w:szCs w:val="24"/>
          <w:highlight w:val="cyan"/>
        </w:rPr>
      </w:pPr>
    </w:p>
    <w:p w14:paraId="547A250B" w14:textId="2C252AB0" w:rsidR="00D0758C" w:rsidRPr="00D0758C" w:rsidRDefault="00D0758C" w:rsidP="00D0758C">
      <w:pPr>
        <w:spacing w:after="0" w:line="276" w:lineRule="auto"/>
        <w:rPr>
          <w:rFonts w:ascii="Calibri" w:hAnsi="Calibri" w:cs="Calibri"/>
          <w:bCs/>
          <w:sz w:val="24"/>
          <w:szCs w:val="24"/>
          <w:highlight w:val="cyan"/>
        </w:rPr>
      </w:pPr>
    </w:p>
    <w:p w14:paraId="6CEBEDD6" w14:textId="77777777" w:rsidR="00D0758C" w:rsidRPr="00D0758C" w:rsidRDefault="00D0758C" w:rsidP="00D0758C">
      <w:pPr>
        <w:rPr>
          <w:rFonts w:ascii="Calibri" w:hAnsi="Calibri" w:cs="Calibri"/>
          <w:sz w:val="24"/>
          <w:szCs w:val="24"/>
          <w:highlight w:val="cyan"/>
        </w:rPr>
      </w:pPr>
    </w:p>
    <w:p w14:paraId="792427E1" w14:textId="77777777" w:rsidR="00EA4EB2" w:rsidRDefault="00EA4EB2">
      <w:pPr>
        <w:rPr>
          <w:rFonts w:ascii="Calibri" w:eastAsiaTheme="majorEastAsia" w:hAnsi="Calibri" w:cs="Calibri"/>
          <w:smallCaps/>
          <w:color w:val="44546A" w:themeColor="text2"/>
          <w:sz w:val="24"/>
          <w:szCs w:val="24"/>
        </w:rPr>
      </w:pPr>
      <w:r>
        <w:rPr>
          <w:rFonts w:ascii="Calibri" w:hAnsi="Calibri" w:cs="Calibri"/>
          <w:smallCaps/>
          <w:color w:val="44546A" w:themeColor="text2"/>
        </w:rPr>
        <w:br w:type="page"/>
      </w:r>
    </w:p>
    <w:p w14:paraId="32101897" w14:textId="3C1B11E2" w:rsidR="00D0758C" w:rsidRPr="00D0758C" w:rsidRDefault="00D0758C" w:rsidP="004946C3">
      <w:pPr>
        <w:pStyle w:val="Heading4"/>
      </w:pPr>
      <w:bookmarkStart w:id="75" w:name="_Toc222904028"/>
      <w:r w:rsidRPr="00D0758C">
        <w:lastRenderedPageBreak/>
        <w:t xml:space="preserve">Figure </w:t>
      </w:r>
      <w:r w:rsidR="00EA4EB2">
        <w:t>2</w:t>
      </w:r>
      <w:r w:rsidR="00EE4A78">
        <w:t>9</w:t>
      </w:r>
      <w:r w:rsidRPr="00D0758C">
        <w:t>. State, Regional, District, or School-Level Practices that Hinder Timely Delivery</w:t>
      </w:r>
      <w:r w:rsidR="00B55C67">
        <w:rPr>
          <w:rFonts w:ascii="ZWAdobeF" w:hAnsi="ZWAdobeF" w:cs="ZWAdobeF"/>
          <w:i w:val="0"/>
          <w:color w:val="auto"/>
          <w:sz w:val="2"/>
          <w:szCs w:val="2"/>
        </w:rPr>
        <w:t>61F</w:t>
      </w:r>
      <w:r w:rsidRPr="00D0758C">
        <w:rPr>
          <w:rStyle w:val="FootnoteReference"/>
          <w:rFonts w:cs="Calibri"/>
          <w:smallCaps/>
          <w:color w:val="44546A" w:themeColor="text2"/>
        </w:rPr>
        <w:footnoteReference w:id="63"/>
      </w:r>
      <w:bookmarkEnd w:id="75"/>
      <w:r w:rsidRPr="00D0758C">
        <w:t xml:space="preserve"> </w:t>
      </w:r>
    </w:p>
    <w:p w14:paraId="4F3BBCF2" w14:textId="60991F7B" w:rsidR="00993194" w:rsidRDefault="00B55C67" w:rsidP="00993194">
      <w:pPr>
        <w:jc w:val="center"/>
        <w:rPr>
          <w:color w:val="000000" w:themeColor="text1"/>
        </w:rPr>
      </w:pPr>
      <w:r>
        <w:rPr>
          <w:rFonts w:ascii="ZWAdobeF" w:hAnsi="ZWAdobeF" w:cs="ZWAdobeF"/>
          <w:sz w:val="2"/>
          <w:szCs w:val="2"/>
        </w:rPr>
        <w:t>207</w:t>
      </w:r>
      <w:proofErr w:type="gramStart"/>
      <w:r>
        <w:rPr>
          <w:rFonts w:ascii="ZWAdobeF" w:hAnsi="ZWAdobeF" w:cs="ZWAdobeF"/>
          <w:sz w:val="2"/>
          <w:szCs w:val="2"/>
        </w:rPr>
        <w:t>B</w:t>
      </w:r>
      <w:r w:rsidR="00D0758C" w:rsidRPr="00D0758C">
        <w:rPr>
          <w:color w:val="000000" w:themeColor="text1"/>
        </w:rPr>
        <w:t>(</w:t>
      </w:r>
      <w:proofErr w:type="gramEnd"/>
      <w:r w:rsidR="00D0758C" w:rsidRPr="00D0758C">
        <w:rPr>
          <w:i/>
          <w:iCs/>
          <w:color w:val="000000" w:themeColor="text1"/>
        </w:rPr>
        <w:t>n</w:t>
      </w:r>
      <w:r w:rsidR="00D0758C" w:rsidRPr="00D0758C">
        <w:rPr>
          <w:color w:val="000000" w:themeColor="text1"/>
        </w:rPr>
        <w:t xml:space="preserve"> = 159)</w:t>
      </w:r>
    </w:p>
    <w:p w14:paraId="32ACD2A1" w14:textId="7AF74BDB" w:rsidR="00985EBE" w:rsidRPr="00993194" w:rsidRDefault="00D0758C" w:rsidP="00993194">
      <w:pPr>
        <w:spacing w:after="0"/>
        <w:rPr>
          <w:color w:val="000000" w:themeColor="text1"/>
        </w:rPr>
      </w:pPr>
      <w:r w:rsidRPr="00D0758C">
        <w:rPr>
          <w:rFonts w:ascii="Times New Roman" w:hAnsi="Times New Roman" w:cs="Times New Roman"/>
          <w:noProof/>
          <w:sz w:val="24"/>
          <w:szCs w:val="24"/>
          <w:highlight w:val="cyan"/>
        </w:rPr>
        <w:drawing>
          <wp:anchor distT="0" distB="0" distL="114300" distR="114300" simplePos="0" relativeHeight="251687936" behindDoc="0" locked="0" layoutInCell="1" allowOverlap="1" wp14:anchorId="3CAE091F" wp14:editId="2E8CF0B0">
            <wp:simplePos x="0" y="0"/>
            <wp:positionH relativeFrom="column">
              <wp:posOffset>38836</wp:posOffset>
            </wp:positionH>
            <wp:positionV relativeFrom="paragraph">
              <wp:posOffset>1020</wp:posOffset>
            </wp:positionV>
            <wp:extent cx="5861685" cy="5636260"/>
            <wp:effectExtent l="0" t="0" r="5715" b="2540"/>
            <wp:wrapTopAndBottom/>
            <wp:docPr id="2028024796" name="Chart 2028024796" descr="Figure 29 is a horizontal bar chart showing state, regional, district, or school-level practices that hinder timely delivery of accessible formats (n = 159). Respondents reported that district-level or itinerant teachers who are unlikely to learn about district curriculum decisions hinder timely delivery (71%). Curriculum changes at the state or district level that are not communicated to schools or teachers were reported by 67%. Lack of assistive technology that allows access to accessible formats was reported by 53%. Lack of funding for the production of accessible formats was reported by 52%. Students changing schools or districts, negatively impacting requests for or delivery of accessible formats, was reported by 48%. High teacher turnover negatively impacting requests for or delivery of accessible formats was reported by 43%. LEAs and schools needing to wait for enrollment data before finalizing class offerings was reported by 40%. Open territory policies leading to a large number of rotating requests for accessible formats across instructional materials was reported by 36%. Other factors were reported by 9%."/>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anchor>
        </w:drawing>
      </w:r>
    </w:p>
    <w:p w14:paraId="7E61705F" w14:textId="5B658481" w:rsidR="00BF74BD" w:rsidRDefault="00B55C67" w:rsidP="00D0758C">
      <w:pPr>
        <w:spacing w:after="0" w:line="276" w:lineRule="auto"/>
        <w:rPr>
          <w:rFonts w:cstheme="minorHAnsi"/>
          <w:sz w:val="24"/>
          <w:szCs w:val="24"/>
        </w:rPr>
      </w:pPr>
      <w:r>
        <w:rPr>
          <w:rFonts w:ascii="ZWAdobeF" w:hAnsi="ZWAdobeF" w:cs="ZWAdobeF"/>
          <w:sz w:val="2"/>
          <w:szCs w:val="2"/>
        </w:rPr>
        <w:t>208B</w:t>
      </w:r>
      <w:r w:rsidR="00D0758C" w:rsidRPr="00BF74BD">
        <w:rPr>
          <w:rFonts w:cstheme="minorHAnsi"/>
          <w:sz w:val="24"/>
          <w:szCs w:val="24"/>
        </w:rPr>
        <w:t xml:space="preserve">When comparing the pattern of responses displayed in Figure </w:t>
      </w:r>
      <w:r w:rsidR="00EA4EB2">
        <w:rPr>
          <w:rFonts w:cstheme="minorHAnsi"/>
          <w:sz w:val="24"/>
          <w:szCs w:val="24"/>
        </w:rPr>
        <w:t>2</w:t>
      </w:r>
      <w:r w:rsidR="00EE4A78">
        <w:rPr>
          <w:rFonts w:cstheme="minorHAnsi"/>
          <w:sz w:val="24"/>
          <w:szCs w:val="24"/>
        </w:rPr>
        <w:t>9</w:t>
      </w:r>
      <w:r w:rsidR="00D0758C" w:rsidRPr="00BF74BD">
        <w:rPr>
          <w:rFonts w:cstheme="minorHAnsi"/>
          <w:sz w:val="24"/>
          <w:szCs w:val="24"/>
        </w:rPr>
        <w:t xml:space="preserve"> across the three case study states as well as the national survey, there </w:t>
      </w:r>
      <w:r w:rsidR="007E1572" w:rsidRPr="00BF74BD">
        <w:rPr>
          <w:rFonts w:cstheme="minorHAnsi"/>
          <w:sz w:val="24"/>
          <w:szCs w:val="24"/>
        </w:rPr>
        <w:t>were</w:t>
      </w:r>
      <w:r w:rsidR="00D0758C" w:rsidRPr="00BF74BD">
        <w:rPr>
          <w:rFonts w:cstheme="minorHAnsi"/>
          <w:sz w:val="24"/>
          <w:szCs w:val="24"/>
        </w:rPr>
        <w:t xml:space="preserve"> </w:t>
      </w:r>
      <w:r w:rsidR="007E1572" w:rsidRPr="00145913">
        <w:rPr>
          <w:rFonts w:cstheme="minorHAnsi"/>
          <w:i/>
          <w:iCs/>
          <w:color w:val="DC2328"/>
          <w:sz w:val="24"/>
          <w:szCs w:val="24"/>
        </w:rPr>
        <w:t>two</w:t>
      </w:r>
      <w:r w:rsidR="00D0758C" w:rsidRPr="00145913">
        <w:rPr>
          <w:rFonts w:cstheme="minorHAnsi"/>
          <w:i/>
          <w:iCs/>
          <w:color w:val="DC2328"/>
          <w:sz w:val="24"/>
          <w:szCs w:val="24"/>
        </w:rPr>
        <w:t xml:space="preserve"> statistically significant finding</w:t>
      </w:r>
      <w:r w:rsidR="007E1572" w:rsidRPr="00145913">
        <w:rPr>
          <w:rFonts w:cstheme="minorHAnsi"/>
          <w:i/>
          <w:iCs/>
          <w:color w:val="DC2328"/>
          <w:sz w:val="24"/>
          <w:szCs w:val="24"/>
        </w:rPr>
        <w:t>s</w:t>
      </w:r>
      <w:r w:rsidR="00D0758C" w:rsidRPr="00B7706B">
        <w:rPr>
          <w:rFonts w:cstheme="minorHAnsi"/>
          <w:color w:val="EE0000"/>
          <w:sz w:val="24"/>
          <w:szCs w:val="24"/>
        </w:rPr>
        <w:t>.</w:t>
      </w:r>
      <w:r w:rsidR="00D0758C" w:rsidRPr="00BF74BD">
        <w:rPr>
          <w:rFonts w:cstheme="minorHAnsi"/>
          <w:sz w:val="24"/>
          <w:szCs w:val="24"/>
        </w:rPr>
        <w:t xml:space="preserve"> Specifically, respondents in </w:t>
      </w:r>
      <w:r w:rsidR="007E1572" w:rsidRPr="00BF74BD">
        <w:rPr>
          <w:rFonts w:cstheme="minorHAnsi"/>
          <w:sz w:val="24"/>
          <w:szCs w:val="24"/>
        </w:rPr>
        <w:t>Ohio</w:t>
      </w:r>
      <w:r w:rsidR="00D0758C" w:rsidRPr="00BF74BD">
        <w:rPr>
          <w:rFonts w:cstheme="minorHAnsi"/>
          <w:sz w:val="24"/>
          <w:szCs w:val="24"/>
        </w:rPr>
        <w:t xml:space="preserve"> were </w:t>
      </w:r>
      <w:r w:rsidR="007E1572" w:rsidRPr="00BF74BD">
        <w:rPr>
          <w:rFonts w:cstheme="minorHAnsi"/>
          <w:sz w:val="24"/>
          <w:szCs w:val="24"/>
        </w:rPr>
        <w:t>more</w:t>
      </w:r>
      <w:r w:rsidR="00D0758C" w:rsidRPr="00BF74BD">
        <w:rPr>
          <w:rFonts w:cstheme="minorHAnsi"/>
          <w:sz w:val="24"/>
          <w:szCs w:val="24"/>
        </w:rPr>
        <w:t xml:space="preserve"> likely to endorse “</w:t>
      </w:r>
      <w:r w:rsidR="00BF74BD" w:rsidRPr="00BF74BD">
        <w:rPr>
          <w:rFonts w:cstheme="minorHAnsi"/>
          <w:sz w:val="24"/>
          <w:szCs w:val="24"/>
        </w:rPr>
        <w:t>Lack of assistive technology (AT) that allows access to accessible formats</w:t>
      </w:r>
      <w:r w:rsidR="00D0758C" w:rsidRPr="00BF74BD">
        <w:rPr>
          <w:rFonts w:cstheme="minorHAnsi"/>
          <w:sz w:val="24"/>
          <w:szCs w:val="24"/>
        </w:rPr>
        <w:t>” (</w:t>
      </w:r>
      <w:r w:rsidR="00D0758C" w:rsidRPr="00BF74BD">
        <w:rPr>
          <w:rFonts w:cstheme="minorHAnsi"/>
          <w:sz w:val="24"/>
          <w:szCs w:val="24"/>
        </w:rPr>
        <w:sym w:font="Symbol" w:char="F063"/>
      </w:r>
      <w:r w:rsidR="00D0758C" w:rsidRPr="00BF74BD">
        <w:rPr>
          <w:rFonts w:cstheme="minorHAnsi"/>
          <w:sz w:val="24"/>
          <w:szCs w:val="24"/>
          <w:vertAlign w:val="superscript"/>
        </w:rPr>
        <w:t>2</w:t>
      </w:r>
      <w:r w:rsidR="00D0758C" w:rsidRPr="00BF74BD">
        <w:rPr>
          <w:rFonts w:cstheme="minorHAnsi"/>
          <w:sz w:val="24"/>
          <w:szCs w:val="24"/>
        </w:rPr>
        <w:t>(</w:t>
      </w:r>
      <w:r w:rsidR="007D2B26">
        <w:rPr>
          <w:rFonts w:cstheme="minorHAnsi"/>
          <w:sz w:val="24"/>
          <w:szCs w:val="24"/>
        </w:rPr>
        <w:t>3</w:t>
      </w:r>
      <w:r w:rsidR="00D0758C" w:rsidRPr="00BF74BD">
        <w:rPr>
          <w:rFonts w:cstheme="minorHAnsi"/>
          <w:sz w:val="24"/>
          <w:szCs w:val="24"/>
        </w:rPr>
        <w:t xml:space="preserve">) = </w:t>
      </w:r>
      <w:r w:rsidR="007D2B26">
        <w:rPr>
          <w:rFonts w:cstheme="minorHAnsi"/>
          <w:sz w:val="24"/>
          <w:szCs w:val="24"/>
        </w:rPr>
        <w:t>14.29</w:t>
      </w:r>
      <w:r w:rsidR="00D0758C" w:rsidRPr="00BF74BD">
        <w:rPr>
          <w:rFonts w:cstheme="minorHAnsi"/>
          <w:sz w:val="24"/>
          <w:szCs w:val="24"/>
        </w:rPr>
        <w:t xml:space="preserve">, </w:t>
      </w:r>
      <w:r w:rsidR="00D0758C" w:rsidRPr="00BF74BD">
        <w:rPr>
          <w:rFonts w:cstheme="minorHAnsi"/>
          <w:i/>
          <w:iCs/>
          <w:sz w:val="24"/>
          <w:szCs w:val="24"/>
        </w:rPr>
        <w:t>p</w:t>
      </w:r>
      <w:r w:rsidR="00D0758C" w:rsidRPr="00BF74BD">
        <w:rPr>
          <w:rFonts w:cstheme="minorHAnsi"/>
          <w:sz w:val="24"/>
          <w:szCs w:val="24"/>
        </w:rPr>
        <w:t xml:space="preserve"> &lt; .05</w:t>
      </w:r>
      <w:r w:rsidR="007D2B26">
        <w:rPr>
          <w:rFonts w:cstheme="minorHAnsi"/>
          <w:sz w:val="24"/>
          <w:szCs w:val="24"/>
        </w:rPr>
        <w:t>, standardized residual = 2.0</w:t>
      </w:r>
      <w:r w:rsidR="00D0758C" w:rsidRPr="00BF74BD">
        <w:rPr>
          <w:rFonts w:cstheme="minorHAnsi"/>
          <w:sz w:val="24"/>
          <w:szCs w:val="24"/>
        </w:rPr>
        <w:t xml:space="preserve">; see Figure </w:t>
      </w:r>
      <w:r w:rsidR="00EE4A78">
        <w:rPr>
          <w:rFonts w:cstheme="minorHAnsi"/>
          <w:sz w:val="24"/>
          <w:szCs w:val="24"/>
        </w:rPr>
        <w:t>30</w:t>
      </w:r>
      <w:r w:rsidR="00D0758C" w:rsidRPr="00BF74BD">
        <w:rPr>
          <w:rFonts w:cstheme="minorHAnsi"/>
          <w:sz w:val="24"/>
          <w:szCs w:val="24"/>
        </w:rPr>
        <w:t>)</w:t>
      </w:r>
      <w:r w:rsidR="000D6160">
        <w:rPr>
          <w:rFonts w:cstheme="minorHAnsi"/>
          <w:sz w:val="24"/>
          <w:szCs w:val="24"/>
        </w:rPr>
        <w:t>, while</w:t>
      </w:r>
      <w:r w:rsidR="00BF74BD" w:rsidRPr="00BF74BD">
        <w:rPr>
          <w:rFonts w:cstheme="minorHAnsi"/>
          <w:sz w:val="24"/>
          <w:szCs w:val="24"/>
        </w:rPr>
        <w:t xml:space="preserve"> respondents in Utah were less likely to endorse “Lack of funding for the </w:t>
      </w:r>
      <w:r w:rsidR="00BF74BD" w:rsidRPr="00BF74BD">
        <w:rPr>
          <w:rFonts w:cstheme="minorHAnsi"/>
          <w:sz w:val="24"/>
          <w:szCs w:val="24"/>
        </w:rPr>
        <w:lastRenderedPageBreak/>
        <w:t>production of accessible formats” compared to the other respondents (</w:t>
      </w:r>
      <w:r w:rsidR="00BF74BD" w:rsidRPr="00BF74BD">
        <w:rPr>
          <w:rFonts w:cstheme="minorHAnsi"/>
          <w:sz w:val="24"/>
          <w:szCs w:val="24"/>
        </w:rPr>
        <w:sym w:font="Symbol" w:char="F063"/>
      </w:r>
      <w:r w:rsidR="00BF74BD" w:rsidRPr="00BF74BD">
        <w:rPr>
          <w:rFonts w:cstheme="minorHAnsi"/>
          <w:sz w:val="24"/>
          <w:szCs w:val="24"/>
          <w:vertAlign w:val="superscript"/>
        </w:rPr>
        <w:t>2</w:t>
      </w:r>
      <w:r w:rsidR="00BF74BD" w:rsidRPr="00BF74BD">
        <w:rPr>
          <w:rFonts w:cstheme="minorHAnsi"/>
          <w:sz w:val="24"/>
          <w:szCs w:val="24"/>
        </w:rPr>
        <w:t>(3) = 1</w:t>
      </w:r>
      <w:r w:rsidR="007D2B26">
        <w:rPr>
          <w:rFonts w:cstheme="minorHAnsi"/>
          <w:sz w:val="24"/>
          <w:szCs w:val="24"/>
        </w:rPr>
        <w:t>9</w:t>
      </w:r>
      <w:r w:rsidR="00BF74BD" w:rsidRPr="00BF74BD">
        <w:rPr>
          <w:rFonts w:cstheme="minorHAnsi"/>
          <w:sz w:val="24"/>
          <w:szCs w:val="24"/>
        </w:rPr>
        <w:t>.</w:t>
      </w:r>
      <w:r w:rsidR="007D2B26">
        <w:rPr>
          <w:rFonts w:cstheme="minorHAnsi"/>
          <w:sz w:val="24"/>
          <w:szCs w:val="24"/>
        </w:rPr>
        <w:t>07</w:t>
      </w:r>
      <w:r w:rsidR="00BF74BD" w:rsidRPr="00BF74BD">
        <w:rPr>
          <w:rFonts w:cstheme="minorHAnsi"/>
          <w:sz w:val="24"/>
          <w:szCs w:val="24"/>
        </w:rPr>
        <w:t xml:space="preserve">, </w:t>
      </w:r>
      <w:r w:rsidR="00BF74BD" w:rsidRPr="00BF74BD">
        <w:rPr>
          <w:rFonts w:cstheme="minorHAnsi"/>
          <w:i/>
          <w:iCs/>
          <w:sz w:val="24"/>
          <w:szCs w:val="24"/>
        </w:rPr>
        <w:t>p</w:t>
      </w:r>
      <w:r w:rsidR="00BF74BD" w:rsidRPr="00BF74BD">
        <w:rPr>
          <w:rFonts w:cstheme="minorHAnsi"/>
          <w:sz w:val="24"/>
          <w:szCs w:val="24"/>
        </w:rPr>
        <w:t xml:space="preserve"> &lt; .05; standardized residual = </w:t>
      </w:r>
      <w:r w:rsidR="007D2B26">
        <w:rPr>
          <w:rFonts w:cstheme="minorHAnsi"/>
          <w:sz w:val="24"/>
          <w:szCs w:val="24"/>
        </w:rPr>
        <w:t>2.1</w:t>
      </w:r>
      <w:r w:rsidR="00BF74BD" w:rsidRPr="00BF74BD">
        <w:rPr>
          <w:rFonts w:cstheme="minorHAnsi"/>
          <w:sz w:val="24"/>
          <w:szCs w:val="24"/>
        </w:rPr>
        <w:t xml:space="preserve">; see Figure </w:t>
      </w:r>
      <w:r w:rsidR="00EE4A78">
        <w:rPr>
          <w:rFonts w:cstheme="minorHAnsi"/>
          <w:sz w:val="24"/>
          <w:szCs w:val="24"/>
        </w:rPr>
        <w:t>30</w:t>
      </w:r>
      <w:r w:rsidR="00BF74BD" w:rsidRPr="00BF74BD">
        <w:rPr>
          <w:rFonts w:cstheme="minorHAnsi"/>
          <w:sz w:val="24"/>
          <w:szCs w:val="24"/>
        </w:rPr>
        <w:t>).</w:t>
      </w:r>
      <w:r w:rsidR="00BF74BD">
        <w:rPr>
          <w:rFonts w:cstheme="minorHAnsi"/>
          <w:sz w:val="24"/>
          <w:szCs w:val="24"/>
        </w:rPr>
        <w:t xml:space="preserve"> These findings indicate that there may be different structures and processes for the provision of </w:t>
      </w:r>
      <w:r w:rsidR="005C5521">
        <w:rPr>
          <w:rFonts w:cstheme="minorHAnsi"/>
          <w:sz w:val="24"/>
          <w:szCs w:val="24"/>
        </w:rPr>
        <w:t>AT</w:t>
      </w:r>
      <w:r w:rsidR="00BF74BD">
        <w:rPr>
          <w:rFonts w:cstheme="minorHAnsi"/>
          <w:sz w:val="24"/>
          <w:szCs w:val="24"/>
        </w:rPr>
        <w:t xml:space="preserve"> and funding of accessible formats across states. </w:t>
      </w:r>
    </w:p>
    <w:p w14:paraId="1FF679DA" w14:textId="77777777" w:rsidR="00D0758C" w:rsidRPr="00D0758C" w:rsidRDefault="00D0758C" w:rsidP="00D0758C">
      <w:pPr>
        <w:spacing w:after="0" w:line="276" w:lineRule="auto"/>
        <w:rPr>
          <w:rFonts w:ascii="Times New Roman" w:hAnsi="Times New Roman" w:cs="Times New Roman"/>
          <w:sz w:val="24"/>
          <w:szCs w:val="24"/>
          <w:highlight w:val="cyan"/>
        </w:rPr>
      </w:pPr>
    </w:p>
    <w:p w14:paraId="4DAD638E" w14:textId="7589EDDB" w:rsidR="00D0758C" w:rsidRPr="009C53BE" w:rsidRDefault="00D0758C" w:rsidP="004946C3">
      <w:pPr>
        <w:pStyle w:val="Heading4"/>
      </w:pPr>
      <w:bookmarkStart w:id="76" w:name="_Toc222904029"/>
      <w:r w:rsidRPr="009C53BE">
        <w:t xml:space="preserve">Figure </w:t>
      </w:r>
      <w:r w:rsidR="00EE4A78">
        <w:t>30</w:t>
      </w:r>
      <w:r w:rsidRPr="009C53BE">
        <w:t xml:space="preserve">. State, Regional, District, and School-Level Practices that </w:t>
      </w:r>
      <w:r w:rsidR="00BF74BD" w:rsidRPr="009C53BE">
        <w:t>Hinder</w:t>
      </w:r>
      <w:r w:rsidRPr="009C53BE">
        <w:t xml:space="preserve"> Timely Delivery: Difference</w:t>
      </w:r>
      <w:r w:rsidR="00842490">
        <w:t>s</w:t>
      </w:r>
      <w:r w:rsidRPr="009C53BE">
        <w:t xml:space="preserve"> by Location</w:t>
      </w:r>
      <w:r w:rsidR="00B55C67">
        <w:rPr>
          <w:rFonts w:ascii="ZWAdobeF" w:hAnsi="ZWAdobeF" w:cs="ZWAdobeF"/>
          <w:i w:val="0"/>
          <w:color w:val="auto"/>
          <w:sz w:val="2"/>
          <w:szCs w:val="2"/>
        </w:rPr>
        <w:t>62F</w:t>
      </w:r>
      <w:r w:rsidRPr="009C53BE">
        <w:rPr>
          <w:rStyle w:val="FootnoteReference"/>
          <w:rFonts w:cs="Calibri"/>
          <w:smallCaps/>
          <w:color w:val="44546A" w:themeColor="text2"/>
        </w:rPr>
        <w:footnoteReference w:id="64"/>
      </w:r>
      <w:bookmarkEnd w:id="76"/>
    </w:p>
    <w:p w14:paraId="0FD123BE" w14:textId="4E6A344E" w:rsidR="00D0758C" w:rsidRPr="009C53BE" w:rsidRDefault="00B55C67" w:rsidP="00993194">
      <w:pPr>
        <w:jc w:val="center"/>
      </w:pPr>
      <w:r>
        <w:rPr>
          <w:rFonts w:ascii="ZWAdobeF" w:hAnsi="ZWAdobeF" w:cs="ZWAdobeF"/>
          <w:sz w:val="2"/>
          <w:szCs w:val="2"/>
        </w:rPr>
        <w:t>209</w:t>
      </w:r>
      <w:proofErr w:type="gramStart"/>
      <w:r>
        <w:rPr>
          <w:rFonts w:ascii="ZWAdobeF" w:hAnsi="ZWAdobeF" w:cs="ZWAdobeF"/>
          <w:sz w:val="2"/>
          <w:szCs w:val="2"/>
        </w:rPr>
        <w:t>B</w:t>
      </w:r>
      <w:r w:rsidR="00D0758C" w:rsidRPr="009C53BE">
        <w:t>(</w:t>
      </w:r>
      <w:proofErr w:type="gramEnd"/>
      <w:r w:rsidR="00D0758C" w:rsidRPr="009C53BE">
        <w:rPr>
          <w:i/>
          <w:iCs/>
        </w:rPr>
        <w:t>n</w:t>
      </w:r>
      <w:r w:rsidR="00D0758C" w:rsidRPr="009C53BE">
        <w:t xml:space="preserve"> = 15</w:t>
      </w:r>
      <w:r w:rsidR="009C53BE" w:rsidRPr="009C53BE">
        <w:t>9</w:t>
      </w:r>
      <w:r w:rsidR="00D0758C" w:rsidRPr="009C53BE">
        <w:t>)</w:t>
      </w:r>
    </w:p>
    <w:p w14:paraId="6554EBBD" w14:textId="3EB55AD3" w:rsidR="00D0758C" w:rsidRPr="00D0758C" w:rsidRDefault="00B55C67" w:rsidP="00D0758C">
      <w:pPr>
        <w:spacing w:after="0" w:line="276" w:lineRule="auto"/>
        <w:jc w:val="center"/>
        <w:rPr>
          <w:rFonts w:ascii="Times New Roman" w:hAnsi="Times New Roman" w:cs="Times New Roman"/>
          <w:sz w:val="24"/>
          <w:szCs w:val="24"/>
          <w:highlight w:val="cyan"/>
        </w:rPr>
      </w:pPr>
      <w:r>
        <w:rPr>
          <w:rFonts w:ascii="ZWAdobeF" w:hAnsi="ZWAdobeF" w:cs="ZWAdobeF"/>
          <w:sz w:val="2"/>
          <w:szCs w:val="2"/>
          <w:highlight w:val="cyan"/>
        </w:rPr>
        <w:t>210B</w:t>
      </w:r>
      <w:r w:rsidR="00D0758C" w:rsidRPr="00D0758C">
        <w:rPr>
          <w:rFonts w:ascii="Times New Roman" w:hAnsi="Times New Roman" w:cs="Times New Roman"/>
          <w:b/>
          <w:noProof/>
          <w:color w:val="0070C0"/>
          <w:highlight w:val="cyan"/>
        </w:rPr>
        <w:drawing>
          <wp:inline distT="0" distB="0" distL="0" distR="0" wp14:anchorId="5F316667" wp14:editId="5A0C5CD1">
            <wp:extent cx="5379085" cy="3429000"/>
            <wp:effectExtent l="0" t="0" r="0" b="0"/>
            <wp:docPr id="1688157929" name="Chart 3" descr="Figure 30 is a grouped bar chart showing differences by location in state, regional, district, or school-level practices that hinder timely delivery of accessible formats (n = 159). For lack of assistive technology that allows access to accessible formats, 43% of national survey respondents (n = 61), 74% of Ohio respondents (n = 50), 53% of Oregon respondents (n = 30), and 33% of Utah respondents (n = 18) reported this barrier. For lack of funding for the production of accessible formats, 44% of national survey respondents, 60% of Ohio respondents, 77% of Oregon respondents, and 17% of Utah respondents reported this barrier. Asterisks indicate statistically significant differences for Ohio in lack of assistive technology and for Utah in lack of funding."/>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05E4A8F3" w14:textId="77777777" w:rsidR="00D0758C" w:rsidRPr="00D0758C" w:rsidRDefault="00D0758C" w:rsidP="00D0758C">
      <w:pPr>
        <w:spacing w:after="0" w:line="276" w:lineRule="auto"/>
        <w:jc w:val="center"/>
        <w:rPr>
          <w:rFonts w:ascii="Times New Roman" w:hAnsi="Times New Roman" w:cs="Times New Roman"/>
          <w:sz w:val="24"/>
          <w:szCs w:val="24"/>
          <w:highlight w:val="cyan"/>
        </w:rPr>
      </w:pPr>
    </w:p>
    <w:p w14:paraId="0FDC2368" w14:textId="206ADD37" w:rsidR="00D0758C" w:rsidRPr="00CA1EAF" w:rsidRDefault="00B55C67" w:rsidP="00D0758C">
      <w:pPr>
        <w:spacing w:after="0" w:line="276" w:lineRule="auto"/>
        <w:rPr>
          <w:rFonts w:cstheme="minorHAnsi"/>
          <w:sz w:val="24"/>
          <w:szCs w:val="24"/>
          <w:highlight w:val="cyan"/>
        </w:rPr>
      </w:pPr>
      <w:r>
        <w:rPr>
          <w:rFonts w:ascii="ZWAdobeF" w:hAnsi="ZWAdobeF" w:cs="ZWAdobeF"/>
          <w:sz w:val="2"/>
          <w:szCs w:val="2"/>
        </w:rPr>
        <w:t>211B</w:t>
      </w:r>
      <w:r w:rsidR="00CA1EAF" w:rsidRPr="00CA1EAF">
        <w:rPr>
          <w:rFonts w:cstheme="minorHAnsi"/>
          <w:sz w:val="24"/>
          <w:szCs w:val="24"/>
        </w:rPr>
        <w:t xml:space="preserve">When examining </w:t>
      </w:r>
      <w:r w:rsidR="00CA1EAF">
        <w:rPr>
          <w:rFonts w:cstheme="minorHAnsi"/>
          <w:sz w:val="24"/>
          <w:szCs w:val="24"/>
        </w:rPr>
        <w:t>state, regional, district, and school</w:t>
      </w:r>
      <w:r w:rsidR="00CA1EAF" w:rsidRPr="00CA1EAF">
        <w:rPr>
          <w:rFonts w:cstheme="minorHAnsi"/>
          <w:sz w:val="24"/>
          <w:szCs w:val="24"/>
        </w:rPr>
        <w:t xml:space="preserve">-related factors that hinder timely delivery across roles, there were </w:t>
      </w:r>
      <w:r w:rsidR="00CA1EAF">
        <w:rPr>
          <w:rFonts w:cstheme="minorHAnsi"/>
          <w:sz w:val="24"/>
          <w:szCs w:val="24"/>
        </w:rPr>
        <w:t>no</w:t>
      </w:r>
      <w:r w:rsidR="00CA1EAF" w:rsidRPr="00CA1EAF">
        <w:rPr>
          <w:rFonts w:cstheme="minorHAnsi"/>
          <w:sz w:val="24"/>
          <w:szCs w:val="24"/>
        </w:rPr>
        <w:t xml:space="preserve"> statistically significant findings.</w:t>
      </w:r>
    </w:p>
    <w:p w14:paraId="121B5923" w14:textId="77777777" w:rsidR="00CA1EAF" w:rsidRPr="00D0758C" w:rsidRDefault="00CA1EAF" w:rsidP="00D0758C">
      <w:pPr>
        <w:spacing w:after="0" w:line="276" w:lineRule="auto"/>
        <w:rPr>
          <w:rFonts w:ascii="Times New Roman" w:hAnsi="Times New Roman" w:cs="Times New Roman"/>
          <w:sz w:val="24"/>
          <w:szCs w:val="24"/>
          <w:highlight w:val="cyan"/>
        </w:rPr>
      </w:pPr>
    </w:p>
    <w:p w14:paraId="0B4714CA" w14:textId="5F0365F2" w:rsidR="00D0758C" w:rsidRPr="0017412C" w:rsidRDefault="00B55C67" w:rsidP="00D0758C">
      <w:pPr>
        <w:spacing w:after="0" w:line="276" w:lineRule="auto"/>
        <w:rPr>
          <w:rFonts w:cstheme="minorHAnsi"/>
          <w:sz w:val="24"/>
          <w:szCs w:val="24"/>
        </w:rPr>
      </w:pPr>
      <w:r>
        <w:rPr>
          <w:rFonts w:ascii="ZWAdobeF" w:hAnsi="ZWAdobeF" w:cs="ZWAdobeF"/>
          <w:sz w:val="2"/>
          <w:szCs w:val="2"/>
        </w:rPr>
        <w:t>212B</w:t>
      </w:r>
      <w:r w:rsidR="00D0758C" w:rsidRPr="0017412C">
        <w:rPr>
          <w:rFonts w:cstheme="minorHAnsi"/>
          <w:sz w:val="24"/>
          <w:szCs w:val="24"/>
        </w:rPr>
        <w:t xml:space="preserve">To further explore state, regional, district and school-level practices that </w:t>
      </w:r>
      <w:r w:rsidR="0017412C" w:rsidRPr="0017412C">
        <w:rPr>
          <w:rFonts w:cstheme="minorHAnsi"/>
          <w:sz w:val="24"/>
          <w:szCs w:val="24"/>
        </w:rPr>
        <w:t>hinder</w:t>
      </w:r>
      <w:r w:rsidR="00D0758C" w:rsidRPr="0017412C">
        <w:rPr>
          <w:rFonts w:cstheme="minorHAnsi"/>
          <w:sz w:val="24"/>
          <w:szCs w:val="24"/>
        </w:rPr>
        <w:t xml:space="preserve"> timely delivery, we obtained qualitative responses from interview participants and survey respondents. Interview participants were asked to describe factors that </w:t>
      </w:r>
      <w:r w:rsidR="0017412C" w:rsidRPr="0017412C">
        <w:rPr>
          <w:rFonts w:cstheme="minorHAnsi"/>
          <w:sz w:val="24"/>
          <w:szCs w:val="24"/>
        </w:rPr>
        <w:t>hinder</w:t>
      </w:r>
      <w:r w:rsidR="00D0758C" w:rsidRPr="0017412C">
        <w:rPr>
          <w:rFonts w:cstheme="minorHAnsi"/>
          <w:sz w:val="24"/>
          <w:szCs w:val="24"/>
        </w:rPr>
        <w:t xml:space="preserve"> timely delivery of accessible materials. Survey respondents were given the opportunity to </w:t>
      </w:r>
      <w:r w:rsidR="00633C8F">
        <w:rPr>
          <w:rFonts w:cstheme="minorHAnsi"/>
          <w:sz w:val="24"/>
          <w:szCs w:val="24"/>
        </w:rPr>
        <w:t>suggest other</w:t>
      </w:r>
      <w:r w:rsidR="00D0758C" w:rsidRPr="0017412C">
        <w:rPr>
          <w:rFonts w:cstheme="minorHAnsi"/>
          <w:sz w:val="24"/>
          <w:szCs w:val="24"/>
        </w:rPr>
        <w:t xml:space="preserve"> factors </w:t>
      </w:r>
      <w:r w:rsidR="00633C8F">
        <w:rPr>
          <w:rFonts w:cstheme="minorHAnsi"/>
          <w:sz w:val="24"/>
          <w:szCs w:val="24"/>
        </w:rPr>
        <w:t>and</w:t>
      </w:r>
      <w:r w:rsidR="00D0758C" w:rsidRPr="0017412C">
        <w:rPr>
          <w:rFonts w:cstheme="minorHAnsi"/>
          <w:sz w:val="24"/>
          <w:szCs w:val="24"/>
        </w:rPr>
        <w:t xml:space="preserve"> to explain their selections. </w:t>
      </w:r>
    </w:p>
    <w:p w14:paraId="40F55237" w14:textId="77777777" w:rsidR="00D0758C" w:rsidRPr="00D0758C" w:rsidRDefault="00D0758C" w:rsidP="00D0758C">
      <w:pPr>
        <w:spacing w:after="0" w:line="276" w:lineRule="auto"/>
        <w:rPr>
          <w:rFonts w:cstheme="minorHAnsi"/>
          <w:sz w:val="24"/>
          <w:szCs w:val="24"/>
          <w:highlight w:val="cyan"/>
        </w:rPr>
      </w:pPr>
    </w:p>
    <w:p w14:paraId="7312E4C3" w14:textId="7CC9D00A" w:rsidR="0077070A" w:rsidRPr="0077070A" w:rsidRDefault="00B55C67" w:rsidP="00D0758C">
      <w:pPr>
        <w:spacing w:after="0" w:line="276" w:lineRule="auto"/>
        <w:rPr>
          <w:rFonts w:cstheme="minorHAnsi"/>
          <w:sz w:val="24"/>
          <w:szCs w:val="24"/>
        </w:rPr>
      </w:pPr>
      <w:r>
        <w:rPr>
          <w:rFonts w:ascii="ZWAdobeF" w:hAnsi="ZWAdobeF" w:cs="ZWAdobeF"/>
          <w:sz w:val="2"/>
          <w:szCs w:val="2"/>
        </w:rPr>
        <w:t>213B</w:t>
      </w:r>
      <w:r w:rsidR="00D0758C" w:rsidRPr="0077070A">
        <w:rPr>
          <w:rFonts w:cstheme="minorHAnsi"/>
          <w:sz w:val="24"/>
          <w:szCs w:val="24"/>
        </w:rPr>
        <w:t xml:space="preserve">Participants’ descriptions of state, regional, district, and school-level </w:t>
      </w:r>
      <w:r w:rsidR="0077070A">
        <w:rPr>
          <w:rFonts w:cstheme="minorHAnsi"/>
          <w:sz w:val="24"/>
          <w:szCs w:val="24"/>
        </w:rPr>
        <w:t>factors</w:t>
      </w:r>
      <w:r w:rsidR="00D0758C" w:rsidRPr="0077070A">
        <w:rPr>
          <w:rFonts w:cstheme="minorHAnsi"/>
          <w:sz w:val="24"/>
          <w:szCs w:val="24"/>
        </w:rPr>
        <w:t xml:space="preserve"> that </w:t>
      </w:r>
      <w:r w:rsidR="0077070A" w:rsidRPr="0077070A">
        <w:rPr>
          <w:rFonts w:cstheme="minorHAnsi"/>
          <w:sz w:val="24"/>
          <w:szCs w:val="24"/>
        </w:rPr>
        <w:t>hinder</w:t>
      </w:r>
      <w:r w:rsidR="00D0758C" w:rsidRPr="0077070A">
        <w:rPr>
          <w:rFonts w:cstheme="minorHAnsi"/>
          <w:sz w:val="24"/>
          <w:szCs w:val="24"/>
        </w:rPr>
        <w:t xml:space="preserve"> timely delivery are presented by theme in Table </w:t>
      </w:r>
      <w:r w:rsidR="00E106D8">
        <w:rPr>
          <w:rFonts w:cstheme="minorHAnsi"/>
          <w:sz w:val="24"/>
          <w:szCs w:val="24"/>
        </w:rPr>
        <w:t>1</w:t>
      </w:r>
      <w:r w:rsidR="006A6885">
        <w:rPr>
          <w:rFonts w:cstheme="minorHAnsi"/>
          <w:sz w:val="24"/>
          <w:szCs w:val="24"/>
        </w:rPr>
        <w:t>5</w:t>
      </w:r>
      <w:r w:rsidR="00D0758C" w:rsidRPr="0077070A">
        <w:rPr>
          <w:rFonts w:cstheme="minorHAnsi"/>
          <w:sz w:val="24"/>
          <w:szCs w:val="24"/>
        </w:rPr>
        <w:t xml:space="preserve">. </w:t>
      </w:r>
      <w:r w:rsidR="00A41604">
        <w:rPr>
          <w:rFonts w:cstheme="minorHAnsi"/>
          <w:sz w:val="24"/>
          <w:szCs w:val="24"/>
        </w:rPr>
        <w:t>Interestingly, t</w:t>
      </w:r>
      <w:r w:rsidR="0077070A">
        <w:rPr>
          <w:rFonts w:cstheme="minorHAnsi"/>
          <w:sz w:val="24"/>
          <w:szCs w:val="24"/>
        </w:rPr>
        <w:t xml:space="preserve">he most commonly described factor </w:t>
      </w:r>
      <w:r w:rsidR="0077070A">
        <w:rPr>
          <w:rFonts w:cstheme="minorHAnsi"/>
          <w:sz w:val="24"/>
          <w:szCs w:val="24"/>
        </w:rPr>
        <w:lastRenderedPageBreak/>
        <w:t xml:space="preserve">was not </w:t>
      </w:r>
      <w:r w:rsidR="00A41604">
        <w:rPr>
          <w:rFonts w:cstheme="minorHAnsi"/>
          <w:sz w:val="24"/>
          <w:szCs w:val="24"/>
        </w:rPr>
        <w:t xml:space="preserve">listed </w:t>
      </w:r>
      <w:r w:rsidR="0077070A">
        <w:rPr>
          <w:rFonts w:cstheme="minorHAnsi"/>
          <w:sz w:val="24"/>
          <w:szCs w:val="24"/>
        </w:rPr>
        <w:t xml:space="preserve">in the survey: </w:t>
      </w:r>
      <w:r w:rsidR="00A41604">
        <w:rPr>
          <w:rFonts w:cstheme="minorHAnsi"/>
          <w:sz w:val="24"/>
          <w:szCs w:val="24"/>
        </w:rPr>
        <w:t>L</w:t>
      </w:r>
      <w:r w:rsidR="0077070A">
        <w:rPr>
          <w:rFonts w:cstheme="minorHAnsi"/>
          <w:sz w:val="24"/>
          <w:szCs w:val="24"/>
        </w:rPr>
        <w:t xml:space="preserve">ack of understanding of accessibility requirements and how to obtain accessible formats (69 excerpts). Additional themes </w:t>
      </w:r>
      <w:r w:rsidR="00A41604">
        <w:rPr>
          <w:rFonts w:cstheme="minorHAnsi"/>
          <w:sz w:val="24"/>
          <w:szCs w:val="24"/>
        </w:rPr>
        <w:t xml:space="preserve">emerged </w:t>
      </w:r>
      <w:r w:rsidR="0077070A">
        <w:rPr>
          <w:rFonts w:cstheme="minorHAnsi"/>
          <w:sz w:val="24"/>
          <w:szCs w:val="24"/>
        </w:rPr>
        <w:t xml:space="preserve">that were not </w:t>
      </w:r>
      <w:r w:rsidR="00A41604">
        <w:rPr>
          <w:rFonts w:cstheme="minorHAnsi"/>
          <w:sz w:val="24"/>
          <w:szCs w:val="24"/>
        </w:rPr>
        <w:t xml:space="preserve">listed </w:t>
      </w:r>
      <w:r w:rsidR="0077070A">
        <w:rPr>
          <w:rFonts w:cstheme="minorHAnsi"/>
          <w:sz w:val="24"/>
          <w:szCs w:val="24"/>
        </w:rPr>
        <w:t>in the survey</w:t>
      </w:r>
      <w:r w:rsidR="00A41604">
        <w:rPr>
          <w:rFonts w:cstheme="minorHAnsi"/>
          <w:sz w:val="24"/>
          <w:szCs w:val="24"/>
        </w:rPr>
        <w:t>, including</w:t>
      </w:r>
      <w:r w:rsidR="005C5521">
        <w:rPr>
          <w:rFonts w:cstheme="minorHAnsi"/>
          <w:sz w:val="24"/>
          <w:szCs w:val="24"/>
        </w:rPr>
        <w:t xml:space="preserve"> </w:t>
      </w:r>
      <w:r w:rsidR="0077070A">
        <w:rPr>
          <w:rFonts w:cstheme="minorHAnsi"/>
          <w:sz w:val="24"/>
          <w:szCs w:val="24"/>
        </w:rPr>
        <w:t xml:space="preserve">lack of communication among relevant stakeholders (26 excerpts), TVIs and support staff have limited bandwidth (23 excerpts), lack of accountability mechanisms to promote timely delivery (20 excerpts), teachers decide to use different curricula without sufficient communication/lead for production (19 excerpts), anti-disability beliefs (7 </w:t>
      </w:r>
      <w:r w:rsidR="00F219F2">
        <w:rPr>
          <w:rFonts w:cstheme="minorHAnsi"/>
          <w:sz w:val="24"/>
          <w:szCs w:val="24"/>
        </w:rPr>
        <w:t>excerpts</w:t>
      </w:r>
      <w:r w:rsidR="0077070A">
        <w:rPr>
          <w:rFonts w:cstheme="minorHAnsi"/>
          <w:sz w:val="24"/>
          <w:szCs w:val="24"/>
        </w:rPr>
        <w:t>)</w:t>
      </w:r>
      <w:r w:rsidR="00F219F2">
        <w:rPr>
          <w:rFonts w:cstheme="minorHAnsi"/>
          <w:sz w:val="24"/>
          <w:szCs w:val="24"/>
        </w:rPr>
        <w:t xml:space="preserve">, lack of planning time (7 excerpts), and students change classes or are placed in classes late (5 excerpts). </w:t>
      </w:r>
      <w:r w:rsidR="00A41604">
        <w:rPr>
          <w:rFonts w:cstheme="minorHAnsi"/>
          <w:sz w:val="24"/>
          <w:szCs w:val="24"/>
        </w:rPr>
        <w:t>Participants described several themes, however,</w:t>
      </w:r>
      <w:r w:rsidR="00F219F2">
        <w:rPr>
          <w:rFonts w:cstheme="minorHAnsi"/>
          <w:sz w:val="24"/>
          <w:szCs w:val="24"/>
        </w:rPr>
        <w:t xml:space="preserve"> that were </w:t>
      </w:r>
      <w:r w:rsidR="00A41604">
        <w:rPr>
          <w:rFonts w:cstheme="minorHAnsi"/>
          <w:sz w:val="24"/>
          <w:szCs w:val="24"/>
        </w:rPr>
        <w:t xml:space="preserve">listed </w:t>
      </w:r>
      <w:r w:rsidR="00F219F2">
        <w:rPr>
          <w:rFonts w:cstheme="minorHAnsi"/>
          <w:sz w:val="24"/>
          <w:szCs w:val="24"/>
        </w:rPr>
        <w:t xml:space="preserve">in the survey, </w:t>
      </w:r>
      <w:r w:rsidR="00A41604">
        <w:rPr>
          <w:rFonts w:cstheme="minorHAnsi"/>
          <w:sz w:val="24"/>
          <w:szCs w:val="24"/>
        </w:rPr>
        <w:t xml:space="preserve">such as </w:t>
      </w:r>
      <w:r w:rsidR="0077070A">
        <w:rPr>
          <w:rFonts w:cstheme="minorHAnsi"/>
          <w:sz w:val="24"/>
          <w:szCs w:val="24"/>
        </w:rPr>
        <w:t>lack of funding for accessible format production (50 excerpts)</w:t>
      </w:r>
      <w:r w:rsidR="00F219F2">
        <w:rPr>
          <w:rFonts w:cstheme="minorHAnsi"/>
          <w:sz w:val="24"/>
          <w:szCs w:val="24"/>
        </w:rPr>
        <w:t>, high teacher turnover (20 excerpts), open territory policies that lead to many rotating requests (10 excerpts), curriculum changes at the state/district level that are not communicated to schools/teachers (9 excerpts), and students change schools/districts (7 excerpts).</w:t>
      </w:r>
      <w:r w:rsidR="00B15D22">
        <w:rPr>
          <w:rFonts w:cstheme="minorHAnsi"/>
          <w:sz w:val="24"/>
          <w:szCs w:val="24"/>
        </w:rPr>
        <w:t xml:space="preserve"> </w:t>
      </w:r>
    </w:p>
    <w:p w14:paraId="5CD7A472" w14:textId="77777777" w:rsidR="00D0758C" w:rsidRPr="00D0758C" w:rsidRDefault="00D0758C" w:rsidP="00D0758C">
      <w:pPr>
        <w:spacing w:after="0" w:line="276" w:lineRule="auto"/>
        <w:rPr>
          <w:rFonts w:ascii="Times New Roman" w:hAnsi="Times New Roman" w:cs="Times New Roman"/>
          <w:sz w:val="24"/>
          <w:szCs w:val="24"/>
          <w:highlight w:val="cyan"/>
        </w:rPr>
      </w:pPr>
    </w:p>
    <w:p w14:paraId="57CC95AF" w14:textId="3D750BE7" w:rsidR="00D0758C" w:rsidRPr="00B42286" w:rsidRDefault="00D0758C" w:rsidP="004946C3">
      <w:pPr>
        <w:pStyle w:val="Heading4"/>
      </w:pPr>
      <w:bookmarkStart w:id="77" w:name="_Toc222904030"/>
      <w:r w:rsidRPr="0017412C">
        <w:t xml:space="preserve">Table </w:t>
      </w:r>
      <w:r w:rsidR="00E106D8">
        <w:t>1</w:t>
      </w:r>
      <w:r w:rsidR="006A6885">
        <w:t>5</w:t>
      </w:r>
      <w:r w:rsidRPr="0017412C">
        <w:t xml:space="preserve">. Qualitative Descriptions of State, Regional, District, and School-Level Practices that </w:t>
      </w:r>
      <w:r w:rsidR="0017412C" w:rsidRPr="0017412C">
        <w:t>Hinder</w:t>
      </w:r>
      <w:r w:rsidRPr="0017412C">
        <w:t xml:space="preserve"> Timely </w:t>
      </w:r>
      <w:r w:rsidRPr="00B42286">
        <w:t>Delivery</w:t>
      </w:r>
      <w:bookmarkEnd w:id="77"/>
    </w:p>
    <w:p w14:paraId="5E974678" w14:textId="38697E3C" w:rsidR="00D0758C" w:rsidRPr="006D2BBC" w:rsidRDefault="00B55C67" w:rsidP="00D0758C">
      <w:pPr>
        <w:jc w:val="center"/>
        <w:rPr>
          <w:rFonts w:ascii="Calibri" w:hAnsi="Calibri" w:cs="Calibri"/>
        </w:rPr>
      </w:pPr>
      <w:r>
        <w:rPr>
          <w:rFonts w:ascii="ZWAdobeF" w:hAnsi="ZWAdobeF" w:cs="ZWAdobeF"/>
          <w:sz w:val="2"/>
          <w:szCs w:val="2"/>
        </w:rPr>
        <w:t>214</w:t>
      </w:r>
      <w:proofErr w:type="gramStart"/>
      <w:r>
        <w:rPr>
          <w:rFonts w:ascii="ZWAdobeF" w:hAnsi="ZWAdobeF" w:cs="ZWAdobeF"/>
          <w:sz w:val="2"/>
          <w:szCs w:val="2"/>
        </w:rPr>
        <w:t>B</w:t>
      </w:r>
      <w:r w:rsidR="00D0758C" w:rsidRPr="00B42286">
        <w:rPr>
          <w:rFonts w:ascii="Calibri" w:hAnsi="Calibri" w:cs="Calibri"/>
        </w:rPr>
        <w:t>(</w:t>
      </w:r>
      <w:proofErr w:type="gramEnd"/>
      <w:r w:rsidR="006D2BBC" w:rsidRPr="00B42286">
        <w:rPr>
          <w:rFonts w:ascii="Calibri" w:hAnsi="Calibri" w:cs="Calibri"/>
        </w:rPr>
        <w:t>2</w:t>
      </w:r>
      <w:r w:rsidR="00B42286" w:rsidRPr="00B42286">
        <w:rPr>
          <w:rFonts w:ascii="Calibri" w:hAnsi="Calibri" w:cs="Calibri"/>
        </w:rPr>
        <w:t xml:space="preserve">54 </w:t>
      </w:r>
      <w:r w:rsidR="00D0758C" w:rsidRPr="00B42286">
        <w:rPr>
          <w:rFonts w:ascii="Calibri" w:hAnsi="Calibri" w:cs="Calibri"/>
        </w:rPr>
        <w:t>excerpts)</w:t>
      </w:r>
      <w:r w:rsidR="00AE0E5D">
        <w:rPr>
          <w:rFonts w:ascii="Calibri" w:hAnsi="Calibri" w:cs="Calibri"/>
        </w:rPr>
        <w:t xml:space="preserve"> </w:t>
      </w:r>
    </w:p>
    <w:tbl>
      <w:tblPr>
        <w:tblStyle w:val="GridTable4"/>
        <w:tblW w:w="9355" w:type="dxa"/>
        <w:tblLook w:val="04A0" w:firstRow="1" w:lastRow="0" w:firstColumn="1" w:lastColumn="0" w:noHBand="0" w:noVBand="1"/>
        <w:tblCaption w:val="Table 14. Qualitative Descriptions of State, Regional, District, and School-Level Practices that Hinder Timely Delivery"/>
      </w:tblPr>
      <w:tblGrid>
        <w:gridCol w:w="2335"/>
        <w:gridCol w:w="7020"/>
      </w:tblGrid>
      <w:tr w:rsidR="00D0758C" w:rsidRPr="00D0758C" w14:paraId="164992B1" w14:textId="77777777" w:rsidTr="00B97982">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335" w:type="dxa"/>
            <w:shd w:val="clear" w:color="auto" w:fill="44546A" w:themeFill="text2"/>
            <w:vAlign w:val="center"/>
          </w:tcPr>
          <w:p w14:paraId="6C775902" w14:textId="3E14FBB0" w:rsidR="00D0758C" w:rsidRPr="0017412C" w:rsidRDefault="00D0758C" w:rsidP="002F15D2">
            <w:pPr>
              <w:jc w:val="center"/>
              <w:rPr>
                <w:rFonts w:cstheme="minorHAnsi"/>
              </w:rPr>
            </w:pPr>
            <w:bookmarkStart w:id="78" w:name="_Hlk216014707"/>
            <w:r w:rsidRPr="0017412C">
              <w:rPr>
                <w:rFonts w:cstheme="minorHAnsi"/>
              </w:rPr>
              <w:t xml:space="preserve">State, Regional, District, and School-Level Practices that </w:t>
            </w:r>
            <w:r w:rsidR="0017412C">
              <w:rPr>
                <w:rFonts w:cstheme="minorHAnsi"/>
              </w:rPr>
              <w:t>Hinder</w:t>
            </w:r>
            <w:r w:rsidRPr="0017412C">
              <w:rPr>
                <w:rFonts w:cstheme="minorHAnsi"/>
              </w:rPr>
              <w:t xml:space="preserve"> Timely Delivery</w:t>
            </w:r>
          </w:p>
        </w:tc>
        <w:tc>
          <w:tcPr>
            <w:tcW w:w="7020" w:type="dxa"/>
            <w:shd w:val="clear" w:color="auto" w:fill="44546A" w:themeFill="text2"/>
            <w:vAlign w:val="center"/>
          </w:tcPr>
          <w:p w14:paraId="399EA5C0" w14:textId="77777777" w:rsidR="00D0758C" w:rsidRPr="0017412C" w:rsidRDefault="00D0758C" w:rsidP="002F15D2">
            <w:pPr>
              <w:jc w:val="center"/>
              <w:cnfStyle w:val="100000000000" w:firstRow="1" w:lastRow="0" w:firstColumn="0" w:lastColumn="0" w:oddVBand="0" w:evenVBand="0" w:oddHBand="0" w:evenHBand="0" w:firstRowFirstColumn="0" w:firstRowLastColumn="0" w:lastRowFirstColumn="0" w:lastRowLastColumn="0"/>
              <w:rPr>
                <w:rFonts w:cstheme="minorHAnsi"/>
              </w:rPr>
            </w:pPr>
            <w:r w:rsidRPr="0017412C">
              <w:rPr>
                <w:rFonts w:cstheme="minorHAnsi"/>
              </w:rPr>
              <w:t>Representative Quotations</w:t>
            </w:r>
          </w:p>
        </w:tc>
      </w:tr>
      <w:tr w:rsidR="00E41FCF" w:rsidRPr="00D0758C" w14:paraId="5B60CC3A" w14:textId="77777777" w:rsidTr="00C74310">
        <w:trPr>
          <w:cnfStyle w:val="000000100000" w:firstRow="0" w:lastRow="0" w:firstColumn="0" w:lastColumn="0" w:oddVBand="0" w:evenVBand="0" w:oddHBand="1" w:evenHBand="0" w:firstRowFirstColumn="0" w:firstRowLastColumn="0" w:lastRowFirstColumn="0" w:lastRowLastColumn="0"/>
          <w:trHeight w:val="1223"/>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7F99CF52" w14:textId="40C14879" w:rsidR="00E41FCF" w:rsidRDefault="00E41FCF" w:rsidP="002F15D2">
            <w:pPr>
              <w:rPr>
                <w:rFonts w:ascii="Calibri" w:hAnsi="Calibri" w:cs="Calibri"/>
                <w:b w:val="0"/>
                <w:bCs w:val="0"/>
                <w:color w:val="000000"/>
              </w:rPr>
            </w:pPr>
            <w:r>
              <w:rPr>
                <w:rFonts w:ascii="Calibri" w:hAnsi="Calibri" w:cs="Calibri"/>
                <w:color w:val="000000"/>
              </w:rPr>
              <w:t>Lack of understanding of accessibility requirements</w:t>
            </w:r>
            <w:r w:rsidR="00633E40">
              <w:rPr>
                <w:rFonts w:ascii="Calibri" w:hAnsi="Calibri" w:cs="Calibri"/>
                <w:color w:val="000000"/>
              </w:rPr>
              <w:t xml:space="preserve"> and </w:t>
            </w:r>
            <w:r>
              <w:rPr>
                <w:rFonts w:ascii="Calibri" w:hAnsi="Calibri" w:cs="Calibri"/>
                <w:color w:val="000000"/>
              </w:rPr>
              <w:t>how to obtain accessible formats (69)</w:t>
            </w:r>
          </w:p>
          <w:p w14:paraId="1F8D3EE9" w14:textId="7E2C00C4" w:rsidR="00F219F2" w:rsidRPr="0017412C" w:rsidRDefault="00F219F2" w:rsidP="002F15D2">
            <w:pPr>
              <w:rPr>
                <w:rFonts w:cstheme="minorHAnsi"/>
              </w:rPr>
            </w:pPr>
          </w:p>
        </w:tc>
        <w:tc>
          <w:tcPr>
            <w:tcW w:w="7020" w:type="dxa"/>
            <w:shd w:val="clear" w:color="auto" w:fill="D9E2F3"/>
          </w:tcPr>
          <w:p w14:paraId="08B32360" w14:textId="5D04DCB4" w:rsidR="00E41FCF" w:rsidRPr="0017412C" w:rsidRDefault="00922EF1" w:rsidP="002F15D2">
            <w:pPr>
              <w:cnfStyle w:val="000000100000" w:firstRow="0" w:lastRow="0" w:firstColumn="0" w:lastColumn="0" w:oddVBand="0" w:evenVBand="0" w:oddHBand="1" w:evenHBand="0" w:firstRowFirstColumn="0" w:firstRowLastColumn="0" w:lastRowFirstColumn="0" w:lastRowLastColumn="0"/>
            </w:pPr>
            <w:r w:rsidRPr="00922EF1">
              <w:t xml:space="preserve">There’s a lot of just being aware of where the services are. So, if you have or you're trying to produce braille for a student and you have </w:t>
            </w:r>
            <w:r>
              <w:t>a b</w:t>
            </w:r>
            <w:r w:rsidRPr="00922EF1">
              <w:t>raille production center right in your building, it may take less time than if you have to</w:t>
            </w:r>
            <w:r>
              <w:t xml:space="preserve"> </w:t>
            </w:r>
            <w:r w:rsidRPr="00922EF1">
              <w:t xml:space="preserve">contact an accessible materials location to get that information. I think a lot of it </w:t>
            </w:r>
            <w:r w:rsidR="006B351D">
              <w:t xml:space="preserve">relates to </w:t>
            </w:r>
            <w:r w:rsidRPr="00922EF1">
              <w:t>administrators</w:t>
            </w:r>
            <w:r w:rsidR="006B351D">
              <w:t xml:space="preserve"> who</w:t>
            </w:r>
            <w:r w:rsidRPr="00922EF1">
              <w:t xml:space="preserve"> may not even know where those centers are located or how to access the material. </w:t>
            </w:r>
            <w:r>
              <w:t>(OH)</w:t>
            </w:r>
          </w:p>
        </w:tc>
      </w:tr>
      <w:tr w:rsidR="00633E40" w:rsidRPr="00D0758C" w14:paraId="53954A31" w14:textId="77777777" w:rsidTr="00633E40">
        <w:trPr>
          <w:trHeight w:val="25"/>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024B4D34" w14:textId="77777777" w:rsidR="00633E40" w:rsidRDefault="00633E40" w:rsidP="002F15D2">
            <w:pPr>
              <w:rPr>
                <w:rFonts w:ascii="Calibri" w:hAnsi="Calibri" w:cs="Calibri"/>
                <w:color w:val="000000"/>
              </w:rPr>
            </w:pPr>
          </w:p>
        </w:tc>
        <w:tc>
          <w:tcPr>
            <w:tcW w:w="7020" w:type="dxa"/>
          </w:tcPr>
          <w:p w14:paraId="1DDD7319" w14:textId="7F0B8C98" w:rsidR="00633E40" w:rsidRPr="0017412C" w:rsidRDefault="00922EF1" w:rsidP="002F15D2">
            <w:pPr>
              <w:cnfStyle w:val="000000000000" w:firstRow="0" w:lastRow="0" w:firstColumn="0" w:lastColumn="0" w:oddVBand="0" w:evenVBand="0" w:oddHBand="0" w:evenHBand="0" w:firstRowFirstColumn="0" w:firstRowLastColumn="0" w:lastRowFirstColumn="0" w:lastRowLastColumn="0"/>
            </w:pPr>
            <w:r w:rsidRPr="00922EF1">
              <w:t xml:space="preserve">The </w:t>
            </w:r>
            <w:r>
              <w:t>O</w:t>
            </w:r>
            <w:r w:rsidRPr="00922EF1">
              <w:t xml:space="preserve">utreach Center for </w:t>
            </w:r>
            <w:r>
              <w:t>D</w:t>
            </w:r>
            <w:r w:rsidRPr="00922EF1">
              <w:t xml:space="preserve">eafness and </w:t>
            </w:r>
            <w:r>
              <w:t>B</w:t>
            </w:r>
            <w:r w:rsidRPr="00922EF1">
              <w:t xml:space="preserve">lindness is unbelievable. It's just getting those resources. I didn't know about </w:t>
            </w:r>
            <w:r w:rsidR="006B351D">
              <w:t xml:space="preserve">the resources </w:t>
            </w:r>
            <w:r w:rsidRPr="00922EF1">
              <w:t>until I became an SST when I was a classroom teacher in a rural district.</w:t>
            </w:r>
            <w:r>
              <w:t xml:space="preserve"> (OH)</w:t>
            </w:r>
          </w:p>
        </w:tc>
      </w:tr>
      <w:tr w:rsidR="00633E40" w:rsidRPr="00D0758C" w14:paraId="587142DF" w14:textId="77777777" w:rsidTr="00C74310">
        <w:trPr>
          <w:cnfStyle w:val="000000100000" w:firstRow="0" w:lastRow="0" w:firstColumn="0" w:lastColumn="0" w:oddVBand="0" w:evenVBand="0" w:oddHBand="1" w:evenHBand="0" w:firstRowFirstColumn="0" w:firstRowLastColumn="0" w:lastRowFirstColumn="0" w:lastRowLastColumn="0"/>
          <w:trHeight w:val="25"/>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6A692484" w14:textId="77777777" w:rsidR="00633E40" w:rsidRDefault="00633E40" w:rsidP="002F15D2">
            <w:pPr>
              <w:rPr>
                <w:rFonts w:ascii="Calibri" w:hAnsi="Calibri" w:cs="Calibri"/>
                <w:color w:val="000000"/>
              </w:rPr>
            </w:pPr>
          </w:p>
        </w:tc>
        <w:tc>
          <w:tcPr>
            <w:tcW w:w="7020" w:type="dxa"/>
            <w:shd w:val="clear" w:color="auto" w:fill="D9E2F3"/>
          </w:tcPr>
          <w:p w14:paraId="5EAAC5C0" w14:textId="69A16A49" w:rsidR="00633E40" w:rsidRPr="0017412C" w:rsidRDefault="00922EF1" w:rsidP="002F15D2">
            <w:pPr>
              <w:cnfStyle w:val="000000100000" w:firstRow="0" w:lastRow="0" w:firstColumn="0" w:lastColumn="0" w:oddVBand="0" w:evenVBand="0" w:oddHBand="1" w:evenHBand="0" w:firstRowFirstColumn="0" w:firstRowLastColumn="0" w:lastRowFirstColumn="0" w:lastRowLastColumn="0"/>
            </w:pPr>
            <w:r w:rsidRPr="00922EF1">
              <w:t>Without prior knowledge of the needs of students with visual disabilities, a teacher can't proactively order materials.</w:t>
            </w:r>
            <w:r w:rsidR="00B15D22">
              <w:t xml:space="preserve"> </w:t>
            </w:r>
            <w:r w:rsidRPr="00922EF1">
              <w:t>Many times</w:t>
            </w:r>
            <w:r w:rsidR="00407D59">
              <w:t>,</w:t>
            </w:r>
            <w:r w:rsidRPr="00922EF1">
              <w:t xml:space="preserve"> teachers</w:t>
            </w:r>
            <w:r w:rsidR="00407D59">
              <w:t xml:space="preserve"> and </w:t>
            </w:r>
            <w:r w:rsidRPr="00922EF1">
              <w:t xml:space="preserve">educational support staff are unaware of </w:t>
            </w:r>
            <w:r w:rsidR="00407D59">
              <w:t xml:space="preserve">the </w:t>
            </w:r>
            <w:r w:rsidRPr="00922EF1">
              <w:t>resources available through APH.</w:t>
            </w:r>
            <w:r>
              <w:t xml:space="preserve"> (OH)</w:t>
            </w:r>
          </w:p>
        </w:tc>
      </w:tr>
      <w:tr w:rsidR="00633E40" w:rsidRPr="00D0758C" w14:paraId="3CEE99F8" w14:textId="77777777" w:rsidTr="00633E40">
        <w:trPr>
          <w:trHeight w:val="25"/>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438A9806" w14:textId="77777777" w:rsidR="00633E40" w:rsidRDefault="00633E40" w:rsidP="002F15D2">
            <w:pPr>
              <w:rPr>
                <w:rFonts w:ascii="Calibri" w:hAnsi="Calibri" w:cs="Calibri"/>
                <w:color w:val="000000"/>
              </w:rPr>
            </w:pPr>
          </w:p>
        </w:tc>
        <w:tc>
          <w:tcPr>
            <w:tcW w:w="7020" w:type="dxa"/>
          </w:tcPr>
          <w:p w14:paraId="36F70103" w14:textId="09AA41FB" w:rsidR="00633E40" w:rsidRPr="0017412C" w:rsidRDefault="00922EF1" w:rsidP="002F15D2">
            <w:pPr>
              <w:cnfStyle w:val="000000000000" w:firstRow="0" w:lastRow="0" w:firstColumn="0" w:lastColumn="0" w:oddVBand="0" w:evenVBand="0" w:oddHBand="0" w:evenHBand="0" w:firstRowFirstColumn="0" w:firstRowLastColumn="0" w:lastRowFirstColumn="0" w:lastRowLastColumn="0"/>
            </w:pPr>
            <w:r w:rsidRPr="00922EF1">
              <w:t xml:space="preserve">I think more often than not, many visual impairments get overlooked due to a lack of teacher knowledge and understanding </w:t>
            </w:r>
            <w:r w:rsidR="007335A8">
              <w:t xml:space="preserve">of </w:t>
            </w:r>
            <w:r w:rsidRPr="00922EF1">
              <w:t>the continuum of visual impairments.</w:t>
            </w:r>
            <w:r>
              <w:t xml:space="preserve"> (OH)</w:t>
            </w:r>
          </w:p>
        </w:tc>
      </w:tr>
      <w:tr w:rsidR="00633E40" w:rsidRPr="00D0758C" w14:paraId="3BC8636B" w14:textId="77777777" w:rsidTr="00C74310">
        <w:trPr>
          <w:cnfStyle w:val="000000100000" w:firstRow="0" w:lastRow="0" w:firstColumn="0" w:lastColumn="0" w:oddVBand="0" w:evenVBand="0" w:oddHBand="1" w:evenHBand="0" w:firstRowFirstColumn="0" w:firstRowLastColumn="0" w:lastRowFirstColumn="0" w:lastRowLastColumn="0"/>
          <w:trHeight w:val="25"/>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7443C20E" w14:textId="77777777" w:rsidR="00633E40" w:rsidRDefault="00633E40" w:rsidP="002F15D2">
            <w:pPr>
              <w:rPr>
                <w:rFonts w:ascii="Calibri" w:hAnsi="Calibri" w:cs="Calibri"/>
                <w:color w:val="000000"/>
              </w:rPr>
            </w:pPr>
          </w:p>
        </w:tc>
        <w:tc>
          <w:tcPr>
            <w:tcW w:w="7020" w:type="dxa"/>
            <w:shd w:val="clear" w:color="auto" w:fill="D9E2F3"/>
          </w:tcPr>
          <w:p w14:paraId="66789A68" w14:textId="68D22F36" w:rsidR="00633E40" w:rsidRPr="0017412C" w:rsidRDefault="00922EF1" w:rsidP="002F15D2">
            <w:pPr>
              <w:cnfStyle w:val="000000100000" w:firstRow="0" w:lastRow="0" w:firstColumn="0" w:lastColumn="0" w:oddVBand="0" w:evenVBand="0" w:oddHBand="1" w:evenHBand="0" w:firstRowFirstColumn="0" w:firstRowLastColumn="0" w:lastRowFirstColumn="0" w:lastRowLastColumn="0"/>
            </w:pPr>
            <w:r>
              <w:t>I</w:t>
            </w:r>
            <w:r w:rsidRPr="00922EF1">
              <w:t>n the context of classrooms and school districts</w:t>
            </w:r>
            <w:r w:rsidR="007335A8">
              <w:t>,</w:t>
            </w:r>
            <w:r>
              <w:t xml:space="preserve"> </w:t>
            </w:r>
            <w:r w:rsidRPr="00922EF1">
              <w:t xml:space="preserve">there is very little understanding that these resources exist, let alone who in your building or in your school district are authorized users for </w:t>
            </w:r>
            <w:r w:rsidR="007335A8">
              <w:t xml:space="preserve">the </w:t>
            </w:r>
            <w:r>
              <w:t>NIMAC or</w:t>
            </w:r>
            <w:r w:rsidR="007335A8">
              <w:t xml:space="preserve"> </w:t>
            </w:r>
            <w:r w:rsidRPr="00922EF1">
              <w:t>ha</w:t>
            </w:r>
            <w:r w:rsidR="007335A8">
              <w:t>ve</w:t>
            </w:r>
            <w:r w:rsidRPr="00922EF1">
              <w:t xml:space="preserve"> access to Bookshare</w:t>
            </w:r>
            <w:r w:rsidR="007335A8">
              <w:t>. W</w:t>
            </w:r>
            <w:r w:rsidRPr="00922EF1">
              <w:t>hen those processes are being used, it's kind of this black box, knowing</w:t>
            </w:r>
            <w:r w:rsidR="007335A8">
              <w:t xml:space="preserve"> that m</w:t>
            </w:r>
            <w:r w:rsidRPr="00922EF1">
              <w:t xml:space="preserve">aybe the learning center teacher I'm collaborating with is looking for audio books for students, but </w:t>
            </w:r>
            <w:r w:rsidR="007335A8">
              <w:t>I don’t r</w:t>
            </w:r>
            <w:r w:rsidRPr="00922EF1">
              <w:t>eally know</w:t>
            </w:r>
            <w:r w:rsidR="007335A8">
              <w:t xml:space="preserve"> the</w:t>
            </w:r>
            <w:r w:rsidRPr="00922EF1">
              <w:t xml:space="preserve"> process </w:t>
            </w:r>
            <w:r w:rsidR="007335A8">
              <w:t>or h</w:t>
            </w:r>
            <w:r w:rsidRPr="00922EF1">
              <w:t xml:space="preserve">ow to proactively filter through </w:t>
            </w:r>
            <w:r w:rsidR="007335A8">
              <w:t xml:space="preserve">the </w:t>
            </w:r>
            <w:r w:rsidRPr="00922EF1">
              <w:t>resources.</w:t>
            </w:r>
            <w:r>
              <w:t xml:space="preserve"> (OR)</w:t>
            </w:r>
          </w:p>
        </w:tc>
      </w:tr>
      <w:tr w:rsidR="00633E40" w:rsidRPr="00D0758C" w14:paraId="60375EF5" w14:textId="77777777" w:rsidTr="00633E40">
        <w:trPr>
          <w:trHeight w:val="25"/>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468FE092" w14:textId="77777777" w:rsidR="00633E40" w:rsidRDefault="00633E40" w:rsidP="002F15D2">
            <w:pPr>
              <w:rPr>
                <w:rFonts w:ascii="Calibri" w:hAnsi="Calibri" w:cs="Calibri"/>
                <w:color w:val="000000"/>
              </w:rPr>
            </w:pPr>
          </w:p>
        </w:tc>
        <w:tc>
          <w:tcPr>
            <w:tcW w:w="7020" w:type="dxa"/>
          </w:tcPr>
          <w:p w14:paraId="18A72B5D" w14:textId="67D5C844" w:rsidR="00633E40" w:rsidRPr="0017412C" w:rsidRDefault="007335A8" w:rsidP="002F15D2">
            <w:pPr>
              <w:cnfStyle w:val="000000000000" w:firstRow="0" w:lastRow="0" w:firstColumn="0" w:lastColumn="0" w:oddVBand="0" w:evenVBand="0" w:oddHBand="0" w:evenHBand="0" w:firstRowFirstColumn="0" w:firstRowLastColumn="0" w:lastRowFirstColumn="0" w:lastRowLastColumn="0"/>
            </w:pPr>
            <w:r>
              <w:t>A</w:t>
            </w:r>
            <w:r w:rsidR="007D3569">
              <w:t xml:space="preserve"> </w:t>
            </w:r>
            <w:r w:rsidR="007D3569" w:rsidRPr="007D3569">
              <w:t>lot of teacher</w:t>
            </w:r>
            <w:r>
              <w:t>-</w:t>
            </w:r>
            <w:r w:rsidR="007D3569" w:rsidRPr="007D3569">
              <w:t>made materials</w:t>
            </w:r>
            <w:r>
              <w:t xml:space="preserve"> is </w:t>
            </w:r>
            <w:r w:rsidR="007D3569" w:rsidRPr="007D3569">
              <w:t>another part of the problem</w:t>
            </w:r>
            <w:r>
              <w:t>. E</w:t>
            </w:r>
            <w:r w:rsidR="007D3569">
              <w:t>ducators</w:t>
            </w:r>
            <w:r>
              <w:t xml:space="preserve"> </w:t>
            </w:r>
            <w:r w:rsidR="007D3569" w:rsidRPr="007D3569">
              <w:t xml:space="preserve">aren't aware of how to make sure that </w:t>
            </w:r>
            <w:r>
              <w:t>materials are</w:t>
            </w:r>
            <w:r w:rsidR="007D3569" w:rsidRPr="007D3569">
              <w:t xml:space="preserve"> accessible.</w:t>
            </w:r>
            <w:r w:rsidR="007D3569">
              <w:t xml:space="preserve"> (OR)</w:t>
            </w:r>
          </w:p>
        </w:tc>
      </w:tr>
      <w:tr w:rsidR="00633E40" w:rsidRPr="00D0758C" w14:paraId="62B59A32" w14:textId="77777777" w:rsidTr="00C74310">
        <w:trPr>
          <w:cnfStyle w:val="000000100000" w:firstRow="0" w:lastRow="0" w:firstColumn="0" w:lastColumn="0" w:oddVBand="0" w:evenVBand="0" w:oddHBand="1" w:evenHBand="0" w:firstRowFirstColumn="0" w:firstRowLastColumn="0" w:lastRowFirstColumn="0" w:lastRowLastColumn="0"/>
          <w:trHeight w:val="25"/>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136ADC92" w14:textId="77777777" w:rsidR="00633E40" w:rsidRDefault="00633E40" w:rsidP="002F15D2">
            <w:pPr>
              <w:rPr>
                <w:rFonts w:ascii="Calibri" w:hAnsi="Calibri" w:cs="Calibri"/>
                <w:color w:val="000000"/>
              </w:rPr>
            </w:pPr>
          </w:p>
        </w:tc>
        <w:tc>
          <w:tcPr>
            <w:tcW w:w="7020" w:type="dxa"/>
            <w:shd w:val="clear" w:color="auto" w:fill="D9E2F3"/>
          </w:tcPr>
          <w:p w14:paraId="059C92BA" w14:textId="285C86DD" w:rsidR="00633E40" w:rsidRPr="0017412C" w:rsidRDefault="007D3569" w:rsidP="002F15D2">
            <w:pPr>
              <w:cnfStyle w:val="000000100000" w:firstRow="0" w:lastRow="0" w:firstColumn="0" w:lastColumn="0" w:oddVBand="0" w:evenVBand="0" w:oddHBand="1" w:evenHBand="0" w:firstRowFirstColumn="0" w:firstRowLastColumn="0" w:lastRowFirstColumn="0" w:lastRowLastColumn="0"/>
            </w:pPr>
            <w:r>
              <w:t>So</w:t>
            </w:r>
            <w:r w:rsidRPr="007D3569">
              <w:t xml:space="preserve">metimes </w:t>
            </w:r>
            <w:r w:rsidR="009D6B5B">
              <w:t>it</w:t>
            </w:r>
            <w:r w:rsidRPr="007D3569">
              <w:t xml:space="preserve"> can happen with admin</w:t>
            </w:r>
            <w:r w:rsidR="009D6B5B">
              <w:t>,</w:t>
            </w:r>
            <w:r w:rsidRPr="007D3569">
              <w:t xml:space="preserve"> where they don't understand how quickly things need to be processed. </w:t>
            </w:r>
            <w:r w:rsidR="009D6B5B">
              <w:t>They</w:t>
            </w:r>
            <w:r w:rsidRPr="007D3569">
              <w:t xml:space="preserve"> might</w:t>
            </w:r>
            <w:r w:rsidR="009D6B5B">
              <w:t xml:space="preserve"> say</w:t>
            </w:r>
            <w:r w:rsidRPr="007D3569">
              <w:t xml:space="preserve">, </w:t>
            </w:r>
            <w:r>
              <w:t>“O</w:t>
            </w:r>
            <w:r w:rsidRPr="007D3569">
              <w:t xml:space="preserve">h yes, you need </w:t>
            </w:r>
            <w:r>
              <w:t>the accessible format</w:t>
            </w:r>
            <w:r w:rsidRPr="007D3569">
              <w:t xml:space="preserve"> asap, so does everyone else.</w:t>
            </w:r>
            <w:r>
              <w:t>”</w:t>
            </w:r>
            <w:r w:rsidRPr="007D3569">
              <w:t xml:space="preserve"> And things get delayed because they don't realize we actually need it now. </w:t>
            </w:r>
            <w:r>
              <w:t>(OR)</w:t>
            </w:r>
          </w:p>
        </w:tc>
      </w:tr>
      <w:tr w:rsidR="00633E40" w:rsidRPr="00D0758C" w14:paraId="1816846F" w14:textId="77777777" w:rsidTr="00633E40">
        <w:trPr>
          <w:trHeight w:val="25"/>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29FAC535" w14:textId="77777777" w:rsidR="00633E40" w:rsidRDefault="00633E40" w:rsidP="002F15D2">
            <w:pPr>
              <w:rPr>
                <w:rFonts w:ascii="Calibri" w:hAnsi="Calibri" w:cs="Calibri"/>
                <w:color w:val="000000"/>
              </w:rPr>
            </w:pPr>
          </w:p>
        </w:tc>
        <w:tc>
          <w:tcPr>
            <w:tcW w:w="7020" w:type="dxa"/>
          </w:tcPr>
          <w:p w14:paraId="146C416C" w14:textId="768E0000" w:rsidR="00633E40" w:rsidRPr="0017412C" w:rsidRDefault="007D3569" w:rsidP="002F15D2">
            <w:pPr>
              <w:cnfStyle w:val="000000000000" w:firstRow="0" w:lastRow="0" w:firstColumn="0" w:lastColumn="0" w:oddVBand="0" w:evenVBand="0" w:oddHBand="0" w:evenHBand="0" w:firstRowFirstColumn="0" w:firstRowLastColumn="0" w:lastRowFirstColumn="0" w:lastRowLastColumn="0"/>
            </w:pPr>
            <w:r w:rsidRPr="007D3569">
              <w:t>I've been targeting the middle school population right now. I've seen teachers continuously handing papers to students who are not able to read and then chastising them for not completing their schoolwork. And it's like, well, they can't read. And that seems to be mind</w:t>
            </w:r>
            <w:r w:rsidR="00DC2BBF">
              <w:t>-</w:t>
            </w:r>
            <w:r w:rsidRPr="007D3569">
              <w:t>blowing to them. So, there is th</w:t>
            </w:r>
            <w:r w:rsidR="00DC2BBF">
              <w:t>is</w:t>
            </w:r>
            <w:r w:rsidRPr="007D3569">
              <w:t xml:space="preserve"> lack of understanding of what the student needs and their responsibility for it.</w:t>
            </w:r>
            <w:r>
              <w:t xml:space="preserve"> (OR)</w:t>
            </w:r>
          </w:p>
        </w:tc>
      </w:tr>
      <w:tr w:rsidR="00633E40" w:rsidRPr="00D0758C" w14:paraId="04D84FC2" w14:textId="77777777" w:rsidTr="00C74310">
        <w:trPr>
          <w:cnfStyle w:val="000000100000" w:firstRow="0" w:lastRow="0" w:firstColumn="0" w:lastColumn="0" w:oddVBand="0" w:evenVBand="0" w:oddHBand="1" w:evenHBand="0" w:firstRowFirstColumn="0" w:firstRowLastColumn="0" w:lastRowFirstColumn="0" w:lastRowLastColumn="0"/>
          <w:trHeight w:val="25"/>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7D2DA6ED" w14:textId="77777777" w:rsidR="00633E40" w:rsidRDefault="00633E40" w:rsidP="002F15D2">
            <w:pPr>
              <w:rPr>
                <w:rFonts w:ascii="Calibri" w:hAnsi="Calibri" w:cs="Calibri"/>
                <w:color w:val="000000"/>
              </w:rPr>
            </w:pPr>
          </w:p>
        </w:tc>
        <w:tc>
          <w:tcPr>
            <w:tcW w:w="7020" w:type="dxa"/>
            <w:shd w:val="clear" w:color="auto" w:fill="D9E2F3"/>
          </w:tcPr>
          <w:p w14:paraId="5B69CC87" w14:textId="6F583796" w:rsidR="00633E40" w:rsidRPr="0017412C" w:rsidRDefault="007D3569" w:rsidP="002F15D2">
            <w:pPr>
              <w:cnfStyle w:val="000000100000" w:firstRow="0" w:lastRow="0" w:firstColumn="0" w:lastColumn="0" w:oddVBand="0" w:evenVBand="0" w:oddHBand="1" w:evenHBand="0" w:firstRowFirstColumn="0" w:firstRowLastColumn="0" w:lastRowFirstColumn="0" w:lastRowLastColumn="0"/>
            </w:pPr>
            <w:r w:rsidRPr="007D3569">
              <w:t>I don't know what's happening in other places, but the onboarding of new staff</w:t>
            </w:r>
            <w:r w:rsidR="00BE5610">
              <w:t xml:space="preserve"> </w:t>
            </w:r>
            <w:r w:rsidRPr="007D3569">
              <w:t>often does not include anything about accessibility or assistive technology.</w:t>
            </w:r>
            <w:r>
              <w:t xml:space="preserve"> (OR)</w:t>
            </w:r>
          </w:p>
        </w:tc>
      </w:tr>
      <w:tr w:rsidR="00633E40" w:rsidRPr="00D0758C" w14:paraId="2BDD4594" w14:textId="77777777" w:rsidTr="00633E40">
        <w:trPr>
          <w:trHeight w:val="25"/>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05ADD3A2" w14:textId="77777777" w:rsidR="00633E40" w:rsidRDefault="00633E40" w:rsidP="002F15D2">
            <w:pPr>
              <w:rPr>
                <w:rFonts w:ascii="Calibri" w:hAnsi="Calibri" w:cs="Calibri"/>
                <w:color w:val="000000"/>
              </w:rPr>
            </w:pPr>
          </w:p>
        </w:tc>
        <w:tc>
          <w:tcPr>
            <w:tcW w:w="7020" w:type="dxa"/>
          </w:tcPr>
          <w:p w14:paraId="789CA119" w14:textId="7053F0FB" w:rsidR="007D3569" w:rsidRPr="0017412C" w:rsidRDefault="007D3569" w:rsidP="002F15D2">
            <w:pPr>
              <w:cnfStyle w:val="000000000000" w:firstRow="0" w:lastRow="0" w:firstColumn="0" w:lastColumn="0" w:oddVBand="0" w:evenVBand="0" w:oddHBand="0" w:evenHBand="0" w:firstRowFirstColumn="0" w:firstRowLastColumn="0" w:lastRowFirstColumn="0" w:lastRowLastColumn="0"/>
            </w:pPr>
            <w:r>
              <w:t>The n</w:t>
            </w:r>
            <w:r w:rsidRPr="007D3569">
              <w:t>umber one</w:t>
            </w:r>
            <w:r>
              <w:t xml:space="preserve"> factor impacting timely delivery is</w:t>
            </w:r>
            <w:r w:rsidRPr="007D3569">
              <w:t xml:space="preserve"> educators knowing where they can go to access formats that might be needed by students. So, there's a lot of educators and LEAs</w:t>
            </w:r>
            <w:r w:rsidR="003F230D">
              <w:t xml:space="preserve"> </w:t>
            </w:r>
            <w:r w:rsidRPr="007D3569">
              <w:t>that may not know about the resource</w:t>
            </w:r>
            <w:r>
              <w:t>s</w:t>
            </w:r>
            <w:r w:rsidRPr="007D3569">
              <w:t xml:space="preserve">, and </w:t>
            </w:r>
            <w:r w:rsidR="003F230D">
              <w:t>this</w:t>
            </w:r>
            <w:r w:rsidRPr="007D3569">
              <w:t xml:space="preserve"> affect</w:t>
            </w:r>
            <w:r w:rsidR="003F230D">
              <w:t>s</w:t>
            </w:r>
            <w:r w:rsidRPr="007D3569">
              <w:t xml:space="preserve"> ordering or accessing materials that they might need.</w:t>
            </w:r>
            <w:r>
              <w:t xml:space="preserve"> (UT)</w:t>
            </w:r>
          </w:p>
        </w:tc>
      </w:tr>
      <w:tr w:rsidR="00633E40" w:rsidRPr="00D0758C" w14:paraId="0C3C803A" w14:textId="77777777" w:rsidTr="00C74310">
        <w:trPr>
          <w:cnfStyle w:val="000000100000" w:firstRow="0" w:lastRow="0" w:firstColumn="0" w:lastColumn="0" w:oddVBand="0" w:evenVBand="0" w:oddHBand="1" w:evenHBand="0" w:firstRowFirstColumn="0" w:firstRowLastColumn="0" w:lastRowFirstColumn="0" w:lastRowLastColumn="0"/>
          <w:trHeight w:val="25"/>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2C00B410" w14:textId="77777777" w:rsidR="00633E40" w:rsidRDefault="00633E40" w:rsidP="002F15D2">
            <w:pPr>
              <w:rPr>
                <w:rFonts w:ascii="Calibri" w:hAnsi="Calibri" w:cs="Calibri"/>
                <w:color w:val="000000"/>
              </w:rPr>
            </w:pPr>
          </w:p>
        </w:tc>
        <w:tc>
          <w:tcPr>
            <w:tcW w:w="7020" w:type="dxa"/>
            <w:shd w:val="clear" w:color="auto" w:fill="D9E2F3"/>
          </w:tcPr>
          <w:p w14:paraId="32088754" w14:textId="500AB826" w:rsidR="00633E40" w:rsidRPr="0017412C" w:rsidRDefault="00A15E66" w:rsidP="002F15D2">
            <w:pPr>
              <w:cnfStyle w:val="000000100000" w:firstRow="0" w:lastRow="0" w:firstColumn="0" w:lastColumn="0" w:oddVBand="0" w:evenVBand="0" w:oddHBand="1" w:evenHBand="0" w:firstRowFirstColumn="0" w:firstRowLastColumn="0" w:lastRowFirstColumn="0" w:lastRowLastColumn="0"/>
            </w:pPr>
            <w:r w:rsidRPr="006D3B93">
              <w:t>Classroom teachers often don't understand how critical it is to provide information to service providers (TVIs or IRC/IMC) in a timely manner. Last minute requests are hard to accommodate.</w:t>
            </w:r>
            <w:r>
              <w:t xml:space="preserve"> (CO)</w:t>
            </w:r>
          </w:p>
        </w:tc>
      </w:tr>
      <w:tr w:rsidR="00633E40" w:rsidRPr="00D0758C" w14:paraId="70C1F92B" w14:textId="77777777" w:rsidTr="00633E40">
        <w:trPr>
          <w:trHeight w:val="25"/>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1A1C198F" w14:textId="77777777" w:rsidR="00633E40" w:rsidRDefault="00633E40" w:rsidP="002F15D2">
            <w:pPr>
              <w:rPr>
                <w:rFonts w:ascii="Calibri" w:hAnsi="Calibri" w:cs="Calibri"/>
                <w:color w:val="000000"/>
              </w:rPr>
            </w:pPr>
          </w:p>
        </w:tc>
        <w:tc>
          <w:tcPr>
            <w:tcW w:w="7020" w:type="dxa"/>
          </w:tcPr>
          <w:p w14:paraId="430D4FFA" w14:textId="3FEAF410" w:rsidR="00633E40" w:rsidRPr="0017412C" w:rsidRDefault="00A15E66" w:rsidP="002F15D2">
            <w:pPr>
              <w:cnfStyle w:val="000000000000" w:firstRow="0" w:lastRow="0" w:firstColumn="0" w:lastColumn="0" w:oddVBand="0" w:evenVBand="0" w:oddHBand="0" w:evenHBand="0" w:firstRowFirstColumn="0" w:firstRowLastColumn="0" w:lastRowFirstColumn="0" w:lastRowLastColumn="0"/>
            </w:pPr>
            <w:r w:rsidRPr="00A15E66">
              <w:t xml:space="preserve">Unfortunately, some districts do not understand the amount of time it takes to produce hard copy </w:t>
            </w:r>
            <w:r w:rsidR="00BB4D0B">
              <w:t>braille</w:t>
            </w:r>
            <w:r w:rsidRPr="00A15E66">
              <w:t xml:space="preserve"> and that some online programs are not accessible.</w:t>
            </w:r>
            <w:r>
              <w:t xml:space="preserve"> (CT)</w:t>
            </w:r>
          </w:p>
        </w:tc>
      </w:tr>
      <w:tr w:rsidR="00633E40" w:rsidRPr="00D0758C" w14:paraId="10337DF8" w14:textId="77777777" w:rsidTr="00C74310">
        <w:trPr>
          <w:cnfStyle w:val="000000100000" w:firstRow="0" w:lastRow="0" w:firstColumn="0" w:lastColumn="0" w:oddVBand="0" w:evenVBand="0" w:oddHBand="1" w:evenHBand="0" w:firstRowFirstColumn="0" w:firstRowLastColumn="0" w:lastRowFirstColumn="0" w:lastRowLastColumn="0"/>
          <w:trHeight w:val="25"/>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3F683941" w14:textId="77777777" w:rsidR="00633E40" w:rsidRDefault="00633E40" w:rsidP="002F15D2">
            <w:pPr>
              <w:rPr>
                <w:rFonts w:ascii="Calibri" w:hAnsi="Calibri" w:cs="Calibri"/>
                <w:color w:val="000000"/>
              </w:rPr>
            </w:pPr>
          </w:p>
        </w:tc>
        <w:tc>
          <w:tcPr>
            <w:tcW w:w="7020" w:type="dxa"/>
            <w:shd w:val="clear" w:color="auto" w:fill="D9E2F3"/>
          </w:tcPr>
          <w:p w14:paraId="1C6956CB" w14:textId="4F63E2AF" w:rsidR="00633E40" w:rsidRPr="0017412C" w:rsidRDefault="00A15E66" w:rsidP="002F15D2">
            <w:pPr>
              <w:cnfStyle w:val="000000100000" w:firstRow="0" w:lastRow="0" w:firstColumn="0" w:lastColumn="0" w:oddVBand="0" w:evenVBand="0" w:oddHBand="1" w:evenHBand="0" w:firstRowFirstColumn="0" w:firstRowLastColumn="0" w:lastRowFirstColumn="0" w:lastRowLastColumn="0"/>
            </w:pPr>
            <w:r w:rsidRPr="00A15E66">
              <w:t xml:space="preserve">There is often a gap in understanding of the importance and requirements of AEM between </w:t>
            </w:r>
            <w:r>
              <w:t>G</w:t>
            </w:r>
            <w:r w:rsidRPr="00A15E66">
              <w:t>eneral/</w:t>
            </w:r>
            <w:r>
              <w:t>S</w:t>
            </w:r>
            <w:r w:rsidRPr="00A15E66">
              <w:t xml:space="preserve">pecial </w:t>
            </w:r>
            <w:r>
              <w:t>E</w:t>
            </w:r>
            <w:r w:rsidRPr="00A15E66">
              <w:t xml:space="preserve">ducation </w:t>
            </w:r>
            <w:r>
              <w:t>T</w:t>
            </w:r>
            <w:r w:rsidRPr="00A15E66">
              <w:t>eachers and TVIs. While TVIs advocate and communicate with school teams to identify classroom materials so that ordering and production can begin, delays frequently occur because school teams do not share the same understanding of the timelines involved.</w:t>
            </w:r>
            <w:r>
              <w:t xml:space="preserve"> (HI)</w:t>
            </w:r>
          </w:p>
        </w:tc>
      </w:tr>
      <w:tr w:rsidR="00633E40" w:rsidRPr="00D0758C" w14:paraId="01AD54E5" w14:textId="77777777" w:rsidTr="00633E40">
        <w:trPr>
          <w:trHeight w:val="25"/>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6B427E52" w14:textId="77777777" w:rsidR="00633E40" w:rsidRDefault="00633E40" w:rsidP="002F15D2">
            <w:pPr>
              <w:rPr>
                <w:rFonts w:ascii="Calibri" w:hAnsi="Calibri" w:cs="Calibri"/>
                <w:color w:val="000000"/>
              </w:rPr>
            </w:pPr>
          </w:p>
        </w:tc>
        <w:tc>
          <w:tcPr>
            <w:tcW w:w="7020" w:type="dxa"/>
          </w:tcPr>
          <w:p w14:paraId="70F4FD7B" w14:textId="52FE21FB" w:rsidR="00633E40" w:rsidRPr="0017412C" w:rsidRDefault="00A15E66" w:rsidP="002F15D2">
            <w:pPr>
              <w:cnfStyle w:val="000000000000" w:firstRow="0" w:lastRow="0" w:firstColumn="0" w:lastColumn="0" w:oddVBand="0" w:evenVBand="0" w:oddHBand="0" w:evenHBand="0" w:firstRowFirstColumn="0" w:firstRowLastColumn="0" w:lastRowFirstColumn="0" w:lastRowLastColumn="0"/>
            </w:pPr>
            <w:r w:rsidRPr="007D3569">
              <w:t xml:space="preserve">I don't think people understand the process and how long </w:t>
            </w:r>
            <w:r w:rsidR="0016277D">
              <w:t>it</w:t>
            </w:r>
            <w:r w:rsidRPr="007D3569">
              <w:t xml:space="preserve"> take</w:t>
            </w:r>
            <w:r w:rsidR="0016277D">
              <w:t>s</w:t>
            </w:r>
            <w:r w:rsidRPr="007D3569">
              <w:t>. I mean, it's not just the publishers that don't know that</w:t>
            </w:r>
            <w:r w:rsidR="00BB4D0B">
              <w:t xml:space="preserve"> braille</w:t>
            </w:r>
            <w:r w:rsidRPr="007D3569">
              <w:t xml:space="preserve"> producers need those</w:t>
            </w:r>
            <w:r>
              <w:t xml:space="preserve"> NIMAS</w:t>
            </w:r>
            <w:r w:rsidRPr="007D3569">
              <w:t xml:space="preserve"> files. It's the whole understanding </w:t>
            </w:r>
            <w:r w:rsidR="0016277D">
              <w:t xml:space="preserve">that </w:t>
            </w:r>
            <w:r w:rsidRPr="007D3569">
              <w:t xml:space="preserve">they get the file, </w:t>
            </w:r>
            <w:r w:rsidR="0016277D">
              <w:t>h</w:t>
            </w:r>
            <w:r w:rsidRPr="007D3569">
              <w:t>ave to open the file</w:t>
            </w:r>
            <w:r w:rsidR="0016277D">
              <w:t xml:space="preserve"> and g</w:t>
            </w:r>
            <w:r w:rsidRPr="007D3569">
              <w:t>o through every single page and read all of that computer data and sort through all that</w:t>
            </w:r>
            <w:r w:rsidR="0016277D">
              <w:t xml:space="preserve">. </w:t>
            </w:r>
            <w:r w:rsidRPr="007D3569">
              <w:t xml:space="preserve">I've been communicating </w:t>
            </w:r>
            <w:r w:rsidR="0016277D">
              <w:t>to APH t</w:t>
            </w:r>
            <w:r w:rsidRPr="007D3569">
              <w:t xml:space="preserve">hat people need to understand that the fastest </w:t>
            </w:r>
            <w:r>
              <w:t>APH</w:t>
            </w:r>
            <w:r w:rsidRPr="007D3569">
              <w:t xml:space="preserve"> </w:t>
            </w:r>
            <w:r w:rsidR="0016277D">
              <w:t>can</w:t>
            </w:r>
            <w:r w:rsidRPr="007D3569">
              <w:t xml:space="preserve"> get a file ready is maybe five to six weeks. That's the very fastest for a textbook.</w:t>
            </w:r>
            <w:r>
              <w:t xml:space="preserve"> (IA)</w:t>
            </w:r>
          </w:p>
        </w:tc>
      </w:tr>
      <w:tr w:rsidR="00633E40" w:rsidRPr="00D0758C" w14:paraId="7A08CF97" w14:textId="77777777" w:rsidTr="00C74310">
        <w:trPr>
          <w:cnfStyle w:val="000000100000" w:firstRow="0" w:lastRow="0" w:firstColumn="0" w:lastColumn="0" w:oddVBand="0" w:evenVBand="0" w:oddHBand="1" w:evenHBand="0" w:firstRowFirstColumn="0" w:firstRowLastColumn="0" w:lastRowFirstColumn="0" w:lastRowLastColumn="0"/>
          <w:trHeight w:val="25"/>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49AC43E4" w14:textId="77777777" w:rsidR="00633E40" w:rsidRDefault="00633E40" w:rsidP="002F15D2">
            <w:pPr>
              <w:rPr>
                <w:rFonts w:ascii="Calibri" w:hAnsi="Calibri" w:cs="Calibri"/>
                <w:color w:val="000000"/>
              </w:rPr>
            </w:pPr>
          </w:p>
        </w:tc>
        <w:tc>
          <w:tcPr>
            <w:tcW w:w="7020" w:type="dxa"/>
            <w:shd w:val="clear" w:color="auto" w:fill="D9E2F3"/>
          </w:tcPr>
          <w:p w14:paraId="70B565A1" w14:textId="31152CDF" w:rsidR="00633E40" w:rsidRPr="0017412C" w:rsidRDefault="00A15E66" w:rsidP="002F15D2">
            <w:pPr>
              <w:cnfStyle w:val="000000100000" w:firstRow="0" w:lastRow="0" w:firstColumn="0" w:lastColumn="0" w:oddVBand="0" w:evenVBand="0" w:oddHBand="1" w:evenHBand="0" w:firstRowFirstColumn="0" w:firstRowLastColumn="0" w:lastRowFirstColumn="0" w:lastRowLastColumn="0"/>
            </w:pPr>
            <w:r w:rsidRPr="00A15E66">
              <w:t xml:space="preserve">The practice of finding and getting accessible formats feels like a bit of </w:t>
            </w:r>
            <w:r w:rsidR="0016277D">
              <w:t xml:space="preserve">a </w:t>
            </w:r>
            <w:r w:rsidRPr="00A15E66">
              <w:t>mystery.</w:t>
            </w:r>
            <w:r w:rsidR="00B15D22">
              <w:t xml:space="preserve"> </w:t>
            </w:r>
            <w:r w:rsidRPr="00A15E66">
              <w:t>I am able to search and find what I need, but figuring out the next steps is confusing.</w:t>
            </w:r>
            <w:r>
              <w:t xml:space="preserve"> (MN)</w:t>
            </w:r>
          </w:p>
        </w:tc>
      </w:tr>
      <w:tr w:rsidR="006D3B93" w:rsidRPr="00D0758C" w14:paraId="0D9B88D0" w14:textId="77777777" w:rsidTr="00E41FCF">
        <w:trPr>
          <w:trHeight w:val="62"/>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6D4C22AA" w14:textId="52063075" w:rsidR="006D3B93" w:rsidRDefault="006D3B93" w:rsidP="002F15D2">
            <w:pPr>
              <w:rPr>
                <w:rFonts w:ascii="Calibri" w:hAnsi="Calibri" w:cs="Calibri"/>
                <w:color w:val="000000"/>
              </w:rPr>
            </w:pPr>
            <w:r>
              <w:rPr>
                <w:rFonts w:ascii="Calibri" w:hAnsi="Calibri" w:cs="Calibri"/>
                <w:color w:val="000000"/>
              </w:rPr>
              <w:lastRenderedPageBreak/>
              <w:t>Lack of funding for accessible format production (50)</w:t>
            </w:r>
          </w:p>
        </w:tc>
        <w:tc>
          <w:tcPr>
            <w:tcW w:w="7020" w:type="dxa"/>
          </w:tcPr>
          <w:p w14:paraId="1CDAB697" w14:textId="5AB96C7C" w:rsidR="006D3B93" w:rsidRPr="0017412C" w:rsidRDefault="00844930" w:rsidP="002F15D2">
            <w:pPr>
              <w:cnfStyle w:val="000000000000" w:firstRow="0" w:lastRow="0" w:firstColumn="0" w:lastColumn="0" w:oddVBand="0" w:evenVBand="0" w:oddHBand="0" w:evenHBand="0" w:firstRowFirstColumn="0" w:firstRowLastColumn="0" w:lastRowFirstColumn="0" w:lastRowLastColumn="0"/>
            </w:pPr>
            <w:r w:rsidRPr="00805972">
              <w:t>Funding and lack of knowledge hinder the use of accessible formats to meet students' needs</w:t>
            </w:r>
            <w:r>
              <w:t>. (OH)</w:t>
            </w:r>
          </w:p>
        </w:tc>
      </w:tr>
      <w:tr w:rsidR="00651E02" w:rsidRPr="00D0758C" w14:paraId="4946C02C" w14:textId="77777777" w:rsidTr="00C74310">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2A5F0167" w14:textId="77777777" w:rsidR="00651E02" w:rsidRDefault="00651E02" w:rsidP="002F15D2">
            <w:pPr>
              <w:rPr>
                <w:rFonts w:ascii="Calibri" w:hAnsi="Calibri" w:cs="Calibri"/>
                <w:color w:val="000000"/>
              </w:rPr>
            </w:pPr>
          </w:p>
        </w:tc>
        <w:tc>
          <w:tcPr>
            <w:tcW w:w="7020" w:type="dxa"/>
            <w:shd w:val="clear" w:color="auto" w:fill="D9E2F3"/>
          </w:tcPr>
          <w:p w14:paraId="19C58331" w14:textId="104BD378" w:rsidR="00651E02" w:rsidRPr="00651E02" w:rsidRDefault="00805972" w:rsidP="002F15D2">
            <w:pPr>
              <w:cnfStyle w:val="000000100000" w:firstRow="0" w:lastRow="0" w:firstColumn="0" w:lastColumn="0" w:oddVBand="0" w:evenVBand="0" w:oddHBand="1" w:evenHBand="0" w:firstRowFirstColumn="0" w:firstRowLastColumn="0" w:lastRowFirstColumn="0" w:lastRowLastColumn="0"/>
            </w:pPr>
            <w:r w:rsidRPr="00805972">
              <w:t>Funding negatively impacts the willingness or ability of districts to provide optimal resources.</w:t>
            </w:r>
            <w:r>
              <w:t xml:space="preserve"> (OH)</w:t>
            </w:r>
          </w:p>
        </w:tc>
      </w:tr>
      <w:tr w:rsidR="00651E02" w:rsidRPr="00D0758C" w14:paraId="32FE50F1" w14:textId="77777777" w:rsidTr="00E41FCF">
        <w:trPr>
          <w:trHeight w:val="62"/>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3CB74381" w14:textId="77777777" w:rsidR="00651E02" w:rsidRDefault="00651E02" w:rsidP="002F15D2">
            <w:pPr>
              <w:rPr>
                <w:rFonts w:ascii="Calibri" w:hAnsi="Calibri" w:cs="Calibri"/>
                <w:color w:val="000000"/>
              </w:rPr>
            </w:pPr>
          </w:p>
        </w:tc>
        <w:tc>
          <w:tcPr>
            <w:tcW w:w="7020" w:type="dxa"/>
          </w:tcPr>
          <w:p w14:paraId="5DA58C25" w14:textId="030278E7" w:rsidR="00651E02" w:rsidRPr="00651E02" w:rsidRDefault="00844930" w:rsidP="002F15D2">
            <w:pPr>
              <w:cnfStyle w:val="000000000000" w:firstRow="0" w:lastRow="0" w:firstColumn="0" w:lastColumn="0" w:oddVBand="0" w:evenVBand="0" w:oddHBand="0" w:evenHBand="0" w:firstRowFirstColumn="0" w:firstRowLastColumn="0" w:lastRowFirstColumn="0" w:lastRowLastColumn="0"/>
            </w:pPr>
            <w:r>
              <w:t>S</w:t>
            </w:r>
            <w:r w:rsidR="00805972" w:rsidRPr="00805972">
              <w:t>ometimes the price for specific books, maybe more in the STEM book arena</w:t>
            </w:r>
            <w:r w:rsidR="00805972">
              <w:t>,</w:t>
            </w:r>
            <w:r w:rsidR="00805972" w:rsidRPr="00805972">
              <w:t xml:space="preserve"> </w:t>
            </w:r>
            <w:r>
              <w:t>is</w:t>
            </w:r>
            <w:r w:rsidR="00805972" w:rsidRPr="00805972">
              <w:t xml:space="preserve"> very expensive, and people kind of push the responsibility for paying for it </w:t>
            </w:r>
            <w:proofErr w:type="gramStart"/>
            <w:r w:rsidR="00805972" w:rsidRPr="00805972">
              <w:t>along</w:t>
            </w:r>
            <w:proofErr w:type="gramEnd"/>
            <w:r>
              <w:t>,</w:t>
            </w:r>
            <w:r w:rsidR="00805972" w:rsidRPr="00805972">
              <w:t xml:space="preserve"> and then students don't get the book.</w:t>
            </w:r>
            <w:r w:rsidR="00805972">
              <w:t xml:space="preserve"> (OR)</w:t>
            </w:r>
          </w:p>
        </w:tc>
      </w:tr>
      <w:tr w:rsidR="00651E02" w:rsidRPr="00D0758C" w14:paraId="0D1BE41C" w14:textId="77777777" w:rsidTr="00C74310">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57CA3C62" w14:textId="77777777" w:rsidR="00651E02" w:rsidRDefault="00651E02" w:rsidP="002F15D2">
            <w:pPr>
              <w:rPr>
                <w:rFonts w:ascii="Calibri" w:hAnsi="Calibri" w:cs="Calibri"/>
                <w:color w:val="000000"/>
              </w:rPr>
            </w:pPr>
          </w:p>
        </w:tc>
        <w:tc>
          <w:tcPr>
            <w:tcW w:w="7020" w:type="dxa"/>
            <w:shd w:val="clear" w:color="auto" w:fill="D9E2F3"/>
          </w:tcPr>
          <w:p w14:paraId="047B669A" w14:textId="4060E41B" w:rsidR="00651E02" w:rsidRPr="00651E02" w:rsidRDefault="00805972" w:rsidP="002F15D2">
            <w:pPr>
              <w:cnfStyle w:val="000000100000" w:firstRow="0" w:lastRow="0" w:firstColumn="0" w:lastColumn="0" w:oddVBand="0" w:evenVBand="0" w:oddHBand="1" w:evenHBand="0" w:firstRowFirstColumn="0" w:firstRowLastColumn="0" w:lastRowFirstColumn="0" w:lastRowLastColumn="0"/>
            </w:pPr>
            <w:r>
              <w:t>F</w:t>
            </w:r>
            <w:r w:rsidRPr="00805972">
              <w:t xml:space="preserve">unding for programs is not sufficient to support teaching students access skills and advocacy for their needs. Also, equipment </w:t>
            </w:r>
            <w:r w:rsidR="00844930" w:rsidRPr="00805972">
              <w:t>is evolving</w:t>
            </w:r>
            <w:r w:rsidRPr="00805972">
              <w:t xml:space="preserve"> and is very expensive, which districts just cannot afford at this time.</w:t>
            </w:r>
            <w:r>
              <w:t xml:space="preserve"> (OR)</w:t>
            </w:r>
          </w:p>
        </w:tc>
      </w:tr>
      <w:tr w:rsidR="00651E02" w:rsidRPr="00D0758C" w14:paraId="5E046BD1" w14:textId="77777777" w:rsidTr="00E41FCF">
        <w:trPr>
          <w:trHeight w:val="62"/>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54E62E74" w14:textId="77777777" w:rsidR="00651E02" w:rsidRDefault="00651E02" w:rsidP="002F15D2">
            <w:pPr>
              <w:rPr>
                <w:rFonts w:ascii="Calibri" w:hAnsi="Calibri" w:cs="Calibri"/>
                <w:color w:val="000000"/>
              </w:rPr>
            </w:pPr>
          </w:p>
        </w:tc>
        <w:tc>
          <w:tcPr>
            <w:tcW w:w="7020" w:type="dxa"/>
          </w:tcPr>
          <w:p w14:paraId="1D90FB46" w14:textId="484D7C1C" w:rsidR="00651E02" w:rsidRPr="00651E02" w:rsidRDefault="00805972" w:rsidP="002F15D2">
            <w:pPr>
              <w:cnfStyle w:val="000000000000" w:firstRow="0" w:lastRow="0" w:firstColumn="0" w:lastColumn="0" w:oddVBand="0" w:evenVBand="0" w:oddHBand="0" w:evenHBand="0" w:firstRowFirstColumn="0" w:firstRowLastColumn="0" w:lastRowFirstColumn="0" w:lastRowLastColumn="0"/>
            </w:pPr>
            <w:r w:rsidRPr="00805972">
              <w:t>Funds to provide AT</w:t>
            </w:r>
            <w:r w:rsidR="00844930">
              <w:t>,</w:t>
            </w:r>
            <w:r w:rsidRPr="00805972">
              <w:t xml:space="preserve"> like talking calculators</w:t>
            </w:r>
            <w:r w:rsidR="00844930">
              <w:t>,</w:t>
            </w:r>
            <w:r w:rsidRPr="00805972">
              <w:t xml:space="preserve"> </w:t>
            </w:r>
            <w:r w:rsidR="00844930">
              <w:t>are</w:t>
            </w:r>
            <w:r w:rsidRPr="00805972">
              <w:t xml:space="preserve"> no longer available. We must be able to provide tools that help our students access curriculu</w:t>
            </w:r>
            <w:r>
              <w:t>m (OR)</w:t>
            </w:r>
          </w:p>
        </w:tc>
      </w:tr>
      <w:tr w:rsidR="00651E02" w:rsidRPr="00D0758C" w14:paraId="2D0D8CC8" w14:textId="77777777" w:rsidTr="00C74310">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0FCE2B60" w14:textId="77777777" w:rsidR="00651E02" w:rsidRDefault="00651E02" w:rsidP="002F15D2">
            <w:pPr>
              <w:rPr>
                <w:rFonts w:ascii="Calibri" w:hAnsi="Calibri" w:cs="Calibri"/>
                <w:color w:val="000000"/>
              </w:rPr>
            </w:pPr>
          </w:p>
        </w:tc>
        <w:tc>
          <w:tcPr>
            <w:tcW w:w="7020" w:type="dxa"/>
            <w:shd w:val="clear" w:color="auto" w:fill="D9E2F3"/>
          </w:tcPr>
          <w:p w14:paraId="7362B6D9" w14:textId="748C9A53" w:rsidR="00651E02" w:rsidRPr="00651E02" w:rsidRDefault="00805972" w:rsidP="002F15D2">
            <w:pPr>
              <w:cnfStyle w:val="000000100000" w:firstRow="0" w:lastRow="0" w:firstColumn="0" w:lastColumn="0" w:oddVBand="0" w:evenVBand="0" w:oddHBand="1" w:evenHBand="0" w:firstRowFirstColumn="0" w:firstRowLastColumn="0" w:lastRowFirstColumn="0" w:lastRowLastColumn="0"/>
            </w:pPr>
            <w:r w:rsidRPr="00805972">
              <w:t>Funding for AT programs is a huge barrier!</w:t>
            </w:r>
            <w:r>
              <w:t xml:space="preserve"> (OR)</w:t>
            </w:r>
          </w:p>
        </w:tc>
      </w:tr>
      <w:tr w:rsidR="00651E02" w:rsidRPr="00D0758C" w14:paraId="1AFF63A5" w14:textId="77777777" w:rsidTr="00E41FCF">
        <w:trPr>
          <w:trHeight w:val="62"/>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343F3A7D" w14:textId="77777777" w:rsidR="00651E02" w:rsidRDefault="00651E02" w:rsidP="002F15D2">
            <w:pPr>
              <w:rPr>
                <w:rFonts w:ascii="Calibri" w:hAnsi="Calibri" w:cs="Calibri"/>
                <w:color w:val="000000"/>
              </w:rPr>
            </w:pPr>
          </w:p>
        </w:tc>
        <w:tc>
          <w:tcPr>
            <w:tcW w:w="7020" w:type="dxa"/>
          </w:tcPr>
          <w:p w14:paraId="78B38B99" w14:textId="0AAE7366" w:rsidR="00651E02" w:rsidRPr="00651E02" w:rsidRDefault="00805972" w:rsidP="002F15D2">
            <w:pPr>
              <w:cnfStyle w:val="000000000000" w:firstRow="0" w:lastRow="0" w:firstColumn="0" w:lastColumn="0" w:oddVBand="0" w:evenVBand="0" w:oddHBand="0" w:evenHBand="0" w:firstRowFirstColumn="0" w:firstRowLastColumn="0" w:lastRowFirstColumn="0" w:lastRowLastColumn="0"/>
            </w:pPr>
            <w:r w:rsidRPr="00805972">
              <w:t xml:space="preserve">We have one </w:t>
            </w:r>
            <w:r>
              <w:t>braillist</w:t>
            </w:r>
            <w:r w:rsidRPr="00805972">
              <w:t xml:space="preserve">. We're supposed to have one and a half, two </w:t>
            </w:r>
            <w:r>
              <w:t>braille</w:t>
            </w:r>
            <w:r w:rsidRPr="00805972">
              <w:t xml:space="preserve"> positions, but they haven't been filled because of funding issues.</w:t>
            </w:r>
            <w:r>
              <w:t xml:space="preserve"> (OR)</w:t>
            </w:r>
          </w:p>
        </w:tc>
      </w:tr>
      <w:tr w:rsidR="00651E02" w:rsidRPr="00D0758C" w14:paraId="6F3A3BDE" w14:textId="77777777" w:rsidTr="00C74310">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5BBA94AD" w14:textId="77777777" w:rsidR="00651E02" w:rsidRDefault="00651E02" w:rsidP="002F15D2">
            <w:pPr>
              <w:rPr>
                <w:rFonts w:ascii="Calibri" w:hAnsi="Calibri" w:cs="Calibri"/>
                <w:color w:val="000000"/>
              </w:rPr>
            </w:pPr>
          </w:p>
        </w:tc>
        <w:tc>
          <w:tcPr>
            <w:tcW w:w="7020" w:type="dxa"/>
            <w:shd w:val="clear" w:color="auto" w:fill="D9E2F3"/>
          </w:tcPr>
          <w:p w14:paraId="1FE6AAFC" w14:textId="0E23F96B" w:rsidR="00651E02" w:rsidRPr="00651E02" w:rsidRDefault="00805972" w:rsidP="002F15D2">
            <w:pPr>
              <w:cnfStyle w:val="000000100000" w:firstRow="0" w:lastRow="0" w:firstColumn="0" w:lastColumn="0" w:oddVBand="0" w:evenVBand="0" w:oddHBand="1" w:evenHBand="0" w:firstRowFirstColumn="0" w:firstRowLastColumn="0" w:lastRowFirstColumn="0" w:lastRowLastColumn="0"/>
            </w:pPr>
            <w:r w:rsidRPr="00805972">
              <w:t>Cost is a barrier. Some accessible formats, like math and science textbooks, are very expensive. Sometimes funds run out for accessible format production.</w:t>
            </w:r>
            <w:r>
              <w:t xml:space="preserve"> (OR)</w:t>
            </w:r>
          </w:p>
        </w:tc>
      </w:tr>
      <w:tr w:rsidR="00651E02" w:rsidRPr="00D0758C" w14:paraId="1F651602" w14:textId="77777777" w:rsidTr="00E41FCF">
        <w:trPr>
          <w:trHeight w:val="62"/>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4422F06C" w14:textId="77777777" w:rsidR="00651E02" w:rsidRDefault="00651E02" w:rsidP="002F15D2">
            <w:pPr>
              <w:rPr>
                <w:rFonts w:ascii="Calibri" w:hAnsi="Calibri" w:cs="Calibri"/>
                <w:color w:val="000000"/>
              </w:rPr>
            </w:pPr>
          </w:p>
        </w:tc>
        <w:tc>
          <w:tcPr>
            <w:tcW w:w="7020" w:type="dxa"/>
          </w:tcPr>
          <w:p w14:paraId="0B6E3E9F" w14:textId="1AF34F0A" w:rsidR="00651E02" w:rsidRPr="00651E02" w:rsidRDefault="00805972" w:rsidP="002F15D2">
            <w:pPr>
              <w:cnfStyle w:val="000000000000" w:firstRow="0" w:lastRow="0" w:firstColumn="0" w:lastColumn="0" w:oddVBand="0" w:evenVBand="0" w:oddHBand="0" w:evenHBand="0" w:firstRowFirstColumn="0" w:firstRowLastColumn="0" w:lastRowFirstColumn="0" w:lastRowLastColumn="0"/>
            </w:pPr>
            <w:r w:rsidRPr="00805972">
              <w:t>Having the right equipment to produce accessible formats, as well as assistive technology. Updated equipment is very expensive.</w:t>
            </w:r>
            <w:r>
              <w:t xml:space="preserve"> (OR)</w:t>
            </w:r>
          </w:p>
        </w:tc>
      </w:tr>
      <w:tr w:rsidR="00651E02" w:rsidRPr="00D0758C" w14:paraId="36D49688" w14:textId="77777777" w:rsidTr="00C74310">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2CA5CD84" w14:textId="77777777" w:rsidR="00651E02" w:rsidRDefault="00651E02" w:rsidP="002F15D2">
            <w:pPr>
              <w:rPr>
                <w:rFonts w:ascii="Calibri" w:hAnsi="Calibri" w:cs="Calibri"/>
                <w:color w:val="000000"/>
              </w:rPr>
            </w:pPr>
          </w:p>
        </w:tc>
        <w:tc>
          <w:tcPr>
            <w:tcW w:w="7020" w:type="dxa"/>
            <w:shd w:val="clear" w:color="auto" w:fill="D9E2F3"/>
          </w:tcPr>
          <w:p w14:paraId="6FCA16AB" w14:textId="446CB8F9" w:rsidR="00651E02" w:rsidRPr="00805972" w:rsidRDefault="00805972" w:rsidP="002F15D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Publishers change curriculum a little and publish new versions. It is expensive to obtain the new versions.</w:t>
            </w:r>
            <w:r w:rsidR="00B15D22">
              <w:rPr>
                <w:rFonts w:ascii="Calibri" w:hAnsi="Calibri" w:cs="Calibri"/>
                <w:color w:val="000000"/>
              </w:rPr>
              <w:t xml:space="preserve"> </w:t>
            </w:r>
            <w:r>
              <w:rPr>
                <w:rFonts w:ascii="Calibri" w:hAnsi="Calibri" w:cs="Calibri"/>
                <w:color w:val="000000"/>
              </w:rPr>
              <w:t>(OR)</w:t>
            </w:r>
          </w:p>
        </w:tc>
      </w:tr>
      <w:tr w:rsidR="00651E02" w:rsidRPr="00D0758C" w14:paraId="5A9F407E" w14:textId="77777777" w:rsidTr="00E41FCF">
        <w:trPr>
          <w:trHeight w:val="62"/>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45454EBE" w14:textId="77777777" w:rsidR="00651E02" w:rsidRDefault="00651E02" w:rsidP="002F15D2">
            <w:pPr>
              <w:rPr>
                <w:rFonts w:ascii="Calibri" w:hAnsi="Calibri" w:cs="Calibri"/>
                <w:color w:val="000000"/>
              </w:rPr>
            </w:pPr>
          </w:p>
        </w:tc>
        <w:tc>
          <w:tcPr>
            <w:tcW w:w="7020" w:type="dxa"/>
          </w:tcPr>
          <w:p w14:paraId="0EEAA3EC" w14:textId="446D4852" w:rsidR="00651E02" w:rsidRPr="00651E02" w:rsidRDefault="00C74788" w:rsidP="002F15D2">
            <w:pPr>
              <w:cnfStyle w:val="000000000000" w:firstRow="0" w:lastRow="0" w:firstColumn="0" w:lastColumn="0" w:oddVBand="0" w:evenVBand="0" w:oddHBand="0" w:evenHBand="0" w:firstRowFirstColumn="0" w:firstRowLastColumn="0" w:lastRowFirstColumn="0" w:lastRowLastColumn="0"/>
            </w:pPr>
            <w:r w:rsidRPr="00C74788">
              <w:t>Braille is quite costly</w:t>
            </w:r>
            <w:r w:rsidR="00844930">
              <w:t>,</w:t>
            </w:r>
            <w:r w:rsidRPr="00C74788">
              <w:t xml:space="preserve"> and this is a factor </w:t>
            </w:r>
            <w:proofErr w:type="gramStart"/>
            <w:r w:rsidRPr="00C74788">
              <w:t>to</w:t>
            </w:r>
            <w:proofErr w:type="gramEnd"/>
            <w:r w:rsidRPr="00C74788">
              <w:t xml:space="preserve"> students receiving all of their materials in an accessible format.</w:t>
            </w:r>
            <w:r>
              <w:t xml:space="preserve"> (CO)</w:t>
            </w:r>
          </w:p>
        </w:tc>
      </w:tr>
      <w:tr w:rsidR="00651E02" w:rsidRPr="00D0758C" w14:paraId="5C33A51D" w14:textId="77777777" w:rsidTr="00C74310">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288A4949" w14:textId="77777777" w:rsidR="00651E02" w:rsidRDefault="00651E02" w:rsidP="002F15D2">
            <w:pPr>
              <w:rPr>
                <w:rFonts w:ascii="Calibri" w:hAnsi="Calibri" w:cs="Calibri"/>
                <w:color w:val="000000"/>
              </w:rPr>
            </w:pPr>
          </w:p>
        </w:tc>
        <w:tc>
          <w:tcPr>
            <w:tcW w:w="7020" w:type="dxa"/>
            <w:shd w:val="clear" w:color="auto" w:fill="D9E2F3"/>
          </w:tcPr>
          <w:p w14:paraId="5C2A4205" w14:textId="0E177768" w:rsidR="00651E02" w:rsidRPr="00651E02" w:rsidRDefault="00C74788" w:rsidP="002F15D2">
            <w:pPr>
              <w:cnfStyle w:val="000000100000" w:firstRow="0" w:lastRow="0" w:firstColumn="0" w:lastColumn="0" w:oddVBand="0" w:evenVBand="0" w:oddHBand="1" w:evenHBand="0" w:firstRowFirstColumn="0" w:firstRowLastColumn="0" w:lastRowFirstColumn="0" w:lastRowLastColumn="0"/>
            </w:pPr>
            <w:r w:rsidRPr="00C74788">
              <w:t>Usually</w:t>
            </w:r>
            <w:r w:rsidR="00844930">
              <w:t>,</w:t>
            </w:r>
            <w:r w:rsidRPr="00C74788">
              <w:t xml:space="preserve"> students have the tools and are able to read the braille, but the school hasn't supplied the materials due to cost or time required to translate.</w:t>
            </w:r>
            <w:r>
              <w:t xml:space="preserve"> (IA)</w:t>
            </w:r>
          </w:p>
        </w:tc>
      </w:tr>
      <w:tr w:rsidR="00651E02" w:rsidRPr="00D0758C" w14:paraId="02CDECBE" w14:textId="77777777" w:rsidTr="00E41FCF">
        <w:trPr>
          <w:trHeight w:val="62"/>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02775D21" w14:textId="77777777" w:rsidR="00651E02" w:rsidRDefault="00651E02" w:rsidP="002F15D2">
            <w:pPr>
              <w:rPr>
                <w:rFonts w:ascii="Calibri" w:hAnsi="Calibri" w:cs="Calibri"/>
                <w:color w:val="000000"/>
              </w:rPr>
            </w:pPr>
          </w:p>
        </w:tc>
        <w:tc>
          <w:tcPr>
            <w:tcW w:w="7020" w:type="dxa"/>
          </w:tcPr>
          <w:p w14:paraId="383C77D5" w14:textId="4776D3D5" w:rsidR="00651E02" w:rsidRPr="00651E02" w:rsidRDefault="00C74788" w:rsidP="002F15D2">
            <w:pPr>
              <w:cnfStyle w:val="000000000000" w:firstRow="0" w:lastRow="0" w:firstColumn="0" w:lastColumn="0" w:oddVBand="0" w:evenVBand="0" w:oddHBand="0" w:evenHBand="0" w:firstRowFirstColumn="0" w:firstRowLastColumn="0" w:lastRowFirstColumn="0" w:lastRowLastColumn="0"/>
            </w:pPr>
            <w:r w:rsidRPr="00C74788">
              <w:t xml:space="preserve">Before I came back to North Carolina to be the transcriber, </w:t>
            </w:r>
            <w:r>
              <w:t>my school</w:t>
            </w:r>
            <w:r w:rsidRPr="00C74788">
              <w:t xml:space="preserve"> had been without one for two years.</w:t>
            </w:r>
            <w:r w:rsidR="00B15D22">
              <w:t xml:space="preserve"> </w:t>
            </w:r>
            <w:r w:rsidRPr="00C74788">
              <w:t>There were a couple of reasons for this: 1) they posted the position as "braillist" which braille transcribers don't even consider a proper word, and 2) the pay is horrid.</w:t>
            </w:r>
            <w:r>
              <w:t xml:space="preserve"> (NC)</w:t>
            </w:r>
            <w:r w:rsidR="00B55C67">
              <w:rPr>
                <w:rFonts w:ascii="ZWAdobeF" w:hAnsi="ZWAdobeF" w:cs="ZWAdobeF"/>
                <w:sz w:val="2"/>
                <w:szCs w:val="2"/>
              </w:rPr>
              <w:t>63F</w:t>
            </w:r>
            <w:r w:rsidR="00B332E3">
              <w:rPr>
                <w:rStyle w:val="FootnoteReference"/>
              </w:rPr>
              <w:footnoteReference w:id="65"/>
            </w:r>
          </w:p>
        </w:tc>
      </w:tr>
      <w:tr w:rsidR="006D3B93" w:rsidRPr="00D0758C" w14:paraId="0884518A" w14:textId="77777777" w:rsidTr="00C74310">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5D17CCAA" w14:textId="7F584351" w:rsidR="00B2084D" w:rsidRPr="00346ED8" w:rsidRDefault="006D3B93" w:rsidP="002F15D2">
            <w:pPr>
              <w:rPr>
                <w:rFonts w:ascii="Calibri" w:hAnsi="Calibri" w:cs="Calibri"/>
                <w:b w:val="0"/>
                <w:bCs w:val="0"/>
                <w:color w:val="000000"/>
              </w:rPr>
            </w:pPr>
            <w:r>
              <w:rPr>
                <w:rFonts w:ascii="Calibri" w:hAnsi="Calibri" w:cs="Calibri"/>
                <w:color w:val="000000"/>
              </w:rPr>
              <w:t>Lack of communication among relevant stakeholders (26)</w:t>
            </w:r>
          </w:p>
        </w:tc>
        <w:tc>
          <w:tcPr>
            <w:tcW w:w="7020" w:type="dxa"/>
            <w:shd w:val="clear" w:color="auto" w:fill="D9E2F3"/>
          </w:tcPr>
          <w:p w14:paraId="7513828D" w14:textId="1FCA2C99" w:rsidR="006D3B93" w:rsidRDefault="00B2084D" w:rsidP="002F15D2">
            <w:pPr>
              <w:cnfStyle w:val="000000100000" w:firstRow="0" w:lastRow="0" w:firstColumn="0" w:lastColumn="0" w:oddVBand="0" w:evenVBand="0" w:oddHBand="1" w:evenHBand="0" w:firstRowFirstColumn="0" w:firstRowLastColumn="0" w:lastRowFirstColumn="0" w:lastRowLastColumn="0"/>
            </w:pPr>
            <w:r>
              <w:t>A</w:t>
            </w:r>
            <w:r w:rsidRPr="00B2084D">
              <w:t xml:space="preserve"> lot of times</w:t>
            </w:r>
            <w:r w:rsidR="00DB2038">
              <w:t>,</w:t>
            </w:r>
            <w:r>
              <w:t xml:space="preserve"> </w:t>
            </w:r>
            <w:r w:rsidRPr="00B2084D">
              <w:t>we send out an initial email</w:t>
            </w:r>
            <w:r>
              <w:t xml:space="preserve"> to educators</w:t>
            </w:r>
            <w:r w:rsidRPr="00B2084D">
              <w:t xml:space="preserve"> saying, </w:t>
            </w:r>
            <w:r>
              <w:t>“</w:t>
            </w:r>
            <w:r w:rsidRPr="00B2084D">
              <w:t>Hey, we need this</w:t>
            </w:r>
            <w:r>
              <w:t xml:space="preserve"> information about accessible format requests</w:t>
            </w:r>
            <w:r w:rsidRPr="00B2084D">
              <w:t xml:space="preserve"> for next year. Can you please </w:t>
            </w:r>
            <w:r w:rsidR="00DB2038">
              <w:t>put</w:t>
            </w:r>
            <w:r w:rsidRPr="00B2084D">
              <w:t xml:space="preserve"> us in communication with whoever that person is?</w:t>
            </w:r>
            <w:r>
              <w:t>”</w:t>
            </w:r>
            <w:r w:rsidRPr="00B2084D">
              <w:t xml:space="preserve"> I would say maybe 10% of the time we get something back</w:t>
            </w:r>
            <w:r w:rsidR="00DB2038">
              <w:t xml:space="preserve">. For </w:t>
            </w:r>
            <w:r w:rsidR="0067405C">
              <w:t>the other 90%</w:t>
            </w:r>
            <w:r w:rsidR="00DB2038">
              <w:t>,</w:t>
            </w:r>
            <w:r w:rsidRPr="00B2084D">
              <w:t xml:space="preserve"> we have to go digging and then we have to seek out the specific person. </w:t>
            </w:r>
            <w:r w:rsidR="0067405C" w:rsidRPr="00B2084D">
              <w:t>So,</w:t>
            </w:r>
            <w:r w:rsidRPr="00B2084D">
              <w:t xml:space="preserve"> there's a ton of legwork involved there</w:t>
            </w:r>
            <w:r w:rsidR="00DB2038">
              <w:t>. T</w:t>
            </w:r>
            <w:r w:rsidRPr="00B2084D">
              <w:t>hat's a huge barrier</w:t>
            </w:r>
            <w:r>
              <w:t>. (OH)</w:t>
            </w:r>
          </w:p>
        </w:tc>
      </w:tr>
      <w:tr w:rsidR="00B2084D" w:rsidRPr="00D0758C" w14:paraId="3C494528" w14:textId="77777777" w:rsidTr="00E41FCF">
        <w:trPr>
          <w:trHeight w:val="62"/>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1CFA4C60" w14:textId="77777777" w:rsidR="00B2084D" w:rsidRDefault="00B2084D" w:rsidP="002F15D2">
            <w:pPr>
              <w:rPr>
                <w:rFonts w:ascii="Calibri" w:hAnsi="Calibri" w:cs="Calibri"/>
                <w:color w:val="000000"/>
              </w:rPr>
            </w:pPr>
          </w:p>
        </w:tc>
        <w:tc>
          <w:tcPr>
            <w:tcW w:w="7020" w:type="dxa"/>
          </w:tcPr>
          <w:p w14:paraId="4950D006" w14:textId="096576CC" w:rsidR="00B2084D" w:rsidRDefault="00B2084D" w:rsidP="002F15D2">
            <w:pPr>
              <w:cnfStyle w:val="000000000000" w:firstRow="0" w:lastRow="0" w:firstColumn="0" w:lastColumn="0" w:oddVBand="0" w:evenVBand="0" w:oddHBand="0" w:evenHBand="0" w:firstRowFirstColumn="0" w:firstRowLastColumn="0" w:lastRowFirstColumn="0" w:lastRowLastColumn="0"/>
            </w:pPr>
            <w:r w:rsidRPr="00B2084D">
              <w:t xml:space="preserve">You’re relying on the general education teachers to be on top of it enough to get you information </w:t>
            </w:r>
            <w:r>
              <w:t>about accessible format needs</w:t>
            </w:r>
            <w:r w:rsidRPr="00B2084D">
              <w:t xml:space="preserve">. And it's like this chain reaction of slow, sluggish things </w:t>
            </w:r>
            <w:r w:rsidR="00DB2038">
              <w:t xml:space="preserve">that </w:t>
            </w:r>
            <w:r w:rsidRPr="00B2084D">
              <w:t>just don't happen.</w:t>
            </w:r>
            <w:r>
              <w:t xml:space="preserve"> (OR)</w:t>
            </w:r>
          </w:p>
        </w:tc>
      </w:tr>
      <w:tr w:rsidR="00B2084D" w:rsidRPr="00D0758C" w14:paraId="2A78D034" w14:textId="77777777" w:rsidTr="00C74310">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1C05464D" w14:textId="77777777" w:rsidR="00B2084D" w:rsidRDefault="00B2084D" w:rsidP="002F15D2">
            <w:pPr>
              <w:rPr>
                <w:rFonts w:ascii="Calibri" w:hAnsi="Calibri" w:cs="Calibri"/>
                <w:color w:val="000000"/>
              </w:rPr>
            </w:pPr>
          </w:p>
        </w:tc>
        <w:tc>
          <w:tcPr>
            <w:tcW w:w="7020" w:type="dxa"/>
            <w:shd w:val="clear" w:color="auto" w:fill="D9E2F3"/>
          </w:tcPr>
          <w:p w14:paraId="1166A947" w14:textId="36AD9C83" w:rsidR="00B2084D" w:rsidRDefault="00B2084D" w:rsidP="002F15D2">
            <w:pPr>
              <w:cnfStyle w:val="000000100000" w:firstRow="0" w:lastRow="0" w:firstColumn="0" w:lastColumn="0" w:oddVBand="0" w:evenVBand="0" w:oddHBand="1" w:evenHBand="0" w:firstRowFirstColumn="0" w:firstRowLastColumn="0" w:lastRowFirstColumn="0" w:lastRowLastColumn="0"/>
            </w:pPr>
            <w:r w:rsidRPr="00B2084D">
              <w:t xml:space="preserve">I know that in many instances LEAs don't know if there is a resource in </w:t>
            </w:r>
            <w:r>
              <w:t>an</w:t>
            </w:r>
            <w:r w:rsidRPr="00B2084D">
              <w:t xml:space="preserve"> accessible format. Educators don't realize this is available for students if needed. We need to do a better job of letting people know these resources are out there for students.</w:t>
            </w:r>
            <w:r>
              <w:t xml:space="preserve"> (UT)</w:t>
            </w:r>
          </w:p>
        </w:tc>
      </w:tr>
      <w:tr w:rsidR="00B2084D" w:rsidRPr="00D0758C" w14:paraId="7DD2DBE2" w14:textId="77777777" w:rsidTr="00E41FCF">
        <w:trPr>
          <w:trHeight w:val="62"/>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53C926F5" w14:textId="77777777" w:rsidR="00B2084D" w:rsidRDefault="00B2084D" w:rsidP="002F15D2">
            <w:pPr>
              <w:rPr>
                <w:rFonts w:ascii="Calibri" w:hAnsi="Calibri" w:cs="Calibri"/>
                <w:color w:val="000000"/>
              </w:rPr>
            </w:pPr>
          </w:p>
        </w:tc>
        <w:tc>
          <w:tcPr>
            <w:tcW w:w="7020" w:type="dxa"/>
          </w:tcPr>
          <w:p w14:paraId="66E86E0D" w14:textId="145E1EE6" w:rsidR="00B2084D" w:rsidRDefault="00B2084D" w:rsidP="002F15D2">
            <w:pPr>
              <w:cnfStyle w:val="000000000000" w:firstRow="0" w:lastRow="0" w:firstColumn="0" w:lastColumn="0" w:oddVBand="0" w:evenVBand="0" w:oddHBand="0" w:evenHBand="0" w:firstRowFirstColumn="0" w:firstRowLastColumn="0" w:lastRowFirstColumn="0" w:lastRowLastColumn="0"/>
            </w:pPr>
            <w:r w:rsidRPr="00B2084D">
              <w:t xml:space="preserve">I'd have to say that part of </w:t>
            </w:r>
            <w:r>
              <w:t>the challenge</w:t>
            </w:r>
            <w:r w:rsidRPr="00B2084D">
              <w:t xml:space="preserve"> is communication.</w:t>
            </w:r>
            <w:r w:rsidR="00705350">
              <w:t xml:space="preserve"> O</w:t>
            </w:r>
            <w:r w:rsidRPr="00B2084D">
              <w:t>ur admin needs to be talking to us about what they're purchasing when they're purchasing it because they forget about those one or two students</w:t>
            </w:r>
            <w:r>
              <w:t xml:space="preserve">. </w:t>
            </w:r>
            <w:r w:rsidR="00705350">
              <w:t>U</w:t>
            </w:r>
            <w:r w:rsidRPr="00B2084D">
              <w:t>sually when we're talking about the things that need to be ordered, we're not talking about a lot of kiddos. It's a very small group, but I think that</w:t>
            </w:r>
            <w:r w:rsidR="00705350">
              <w:t xml:space="preserve"> it</w:t>
            </w:r>
            <w:r w:rsidRPr="00B2084D">
              <w:t xml:space="preserve"> falls through the cracks for them. </w:t>
            </w:r>
            <w:r w:rsidR="00705350">
              <w:t>I</w:t>
            </w:r>
            <w:r w:rsidRPr="00B2084D">
              <w:t>t's th</w:t>
            </w:r>
            <w:r w:rsidR="00705350">
              <w:t>e</w:t>
            </w:r>
            <w:r w:rsidRPr="00B2084D">
              <w:t xml:space="preserve"> communication between whoever's ordering the materials and the </w:t>
            </w:r>
            <w:r>
              <w:t>S</w:t>
            </w:r>
            <w:r w:rsidRPr="00B2084D">
              <w:t xml:space="preserve">pecial </w:t>
            </w:r>
            <w:r>
              <w:t>E</w:t>
            </w:r>
            <w:r w:rsidRPr="00B2084D">
              <w:t xml:space="preserve">d staff </w:t>
            </w:r>
            <w:r w:rsidR="00705350">
              <w:t xml:space="preserve">that </w:t>
            </w:r>
            <w:r w:rsidRPr="00B2084D">
              <w:t>has to happen ahead of time</w:t>
            </w:r>
            <w:r w:rsidR="00705350">
              <w:t xml:space="preserve"> so </w:t>
            </w:r>
            <w:r w:rsidRPr="00B2084D">
              <w:t>we can get the materials there in time.</w:t>
            </w:r>
            <w:r>
              <w:t xml:space="preserve"> (UT)</w:t>
            </w:r>
          </w:p>
        </w:tc>
      </w:tr>
      <w:tr w:rsidR="00B2084D" w:rsidRPr="00D0758C" w14:paraId="05402AB3" w14:textId="77777777" w:rsidTr="00C74310">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6ABD6CF2" w14:textId="77777777" w:rsidR="00B2084D" w:rsidRDefault="00B2084D" w:rsidP="002F15D2">
            <w:pPr>
              <w:rPr>
                <w:rFonts w:ascii="Calibri" w:hAnsi="Calibri" w:cs="Calibri"/>
                <w:color w:val="000000"/>
              </w:rPr>
            </w:pPr>
          </w:p>
        </w:tc>
        <w:tc>
          <w:tcPr>
            <w:tcW w:w="7020" w:type="dxa"/>
            <w:shd w:val="clear" w:color="auto" w:fill="D9E2F3"/>
          </w:tcPr>
          <w:p w14:paraId="000970FC" w14:textId="34A97429" w:rsidR="00B2084D" w:rsidRDefault="00001364" w:rsidP="002F15D2">
            <w:pPr>
              <w:cnfStyle w:val="000000100000" w:firstRow="0" w:lastRow="0" w:firstColumn="0" w:lastColumn="0" w:oddVBand="0" w:evenVBand="0" w:oddHBand="1" w:evenHBand="0" w:firstRowFirstColumn="0" w:firstRowLastColumn="0" w:lastRowFirstColumn="0" w:lastRowLastColumn="0"/>
            </w:pPr>
            <w:r w:rsidRPr="00001364">
              <w:t>Where my issues arise is the administration in our district not understanding the process and time needed to order curriculum. It gets even more difficult when you add the transition to a new building/staff into the mix. This year my student went from Jr.</w:t>
            </w:r>
            <w:r>
              <w:t xml:space="preserve"> </w:t>
            </w:r>
            <w:r w:rsidRPr="00001364">
              <w:t xml:space="preserve">High to High School. Communications between the district and new teachers </w:t>
            </w:r>
            <w:r w:rsidR="00705350">
              <w:t>are</w:t>
            </w:r>
            <w:r w:rsidRPr="00001364">
              <w:t xml:space="preserve"> where we ran into difficulties</w:t>
            </w:r>
            <w:r>
              <w:t>.</w:t>
            </w:r>
            <w:r w:rsidRPr="00001364">
              <w:t xml:space="preserve"> I have been </w:t>
            </w:r>
            <w:r>
              <w:t>a one-</w:t>
            </w:r>
            <w:r w:rsidRPr="00001364">
              <w:t>on</w:t>
            </w:r>
            <w:r>
              <w:t>-one</w:t>
            </w:r>
            <w:r w:rsidRPr="00001364">
              <w:t xml:space="preserve"> para with </w:t>
            </w:r>
            <w:r w:rsidR="00705350">
              <w:t xml:space="preserve">the </w:t>
            </w:r>
            <w:r w:rsidRPr="00001364">
              <w:t xml:space="preserve">current student since </w:t>
            </w:r>
            <w:r w:rsidR="0067405C" w:rsidRPr="00001364">
              <w:t>kindergarten</w:t>
            </w:r>
            <w:r w:rsidRPr="00001364">
              <w:t>. This has been the most difficult year. As the para who works and orders for her</w:t>
            </w:r>
            <w:r>
              <w:t xml:space="preserve">, I </w:t>
            </w:r>
            <w:r w:rsidRPr="00001364">
              <w:t xml:space="preserve">was not included in the planning and meeting teacher </w:t>
            </w:r>
            <w:r>
              <w:t>process,</w:t>
            </w:r>
            <w:r w:rsidRPr="00001364">
              <w:t xml:space="preserve"> so it made it more difficult.</w:t>
            </w:r>
            <w:r>
              <w:t xml:space="preserve"> (UT)</w:t>
            </w:r>
            <w:r w:rsidR="00B55C67">
              <w:rPr>
                <w:rFonts w:ascii="ZWAdobeF" w:hAnsi="ZWAdobeF" w:cs="ZWAdobeF"/>
                <w:sz w:val="2"/>
                <w:szCs w:val="2"/>
              </w:rPr>
              <w:t>64F</w:t>
            </w:r>
            <w:r>
              <w:rPr>
                <w:rStyle w:val="FootnoteReference"/>
              </w:rPr>
              <w:footnoteReference w:id="66"/>
            </w:r>
          </w:p>
        </w:tc>
      </w:tr>
      <w:tr w:rsidR="003D7AF2" w:rsidRPr="00D0758C" w14:paraId="3722ACF6" w14:textId="77777777" w:rsidTr="00E41FCF">
        <w:trPr>
          <w:trHeight w:val="62"/>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2483E916" w14:textId="77777777" w:rsidR="003D7AF2" w:rsidRDefault="003D7AF2" w:rsidP="002F15D2">
            <w:pPr>
              <w:rPr>
                <w:rFonts w:ascii="Calibri" w:hAnsi="Calibri" w:cs="Calibri"/>
                <w:color w:val="000000"/>
              </w:rPr>
            </w:pPr>
          </w:p>
        </w:tc>
        <w:tc>
          <w:tcPr>
            <w:tcW w:w="7020" w:type="dxa"/>
          </w:tcPr>
          <w:p w14:paraId="7391B03B" w14:textId="2E0F6115" w:rsidR="003D7AF2" w:rsidRDefault="0067405C" w:rsidP="002F15D2">
            <w:pPr>
              <w:cnfStyle w:val="000000000000" w:firstRow="0" w:lastRow="0" w:firstColumn="0" w:lastColumn="0" w:oddVBand="0" w:evenVBand="0" w:oddHBand="0" w:evenHBand="0" w:firstRowFirstColumn="0" w:firstRowLastColumn="0" w:lastRowFirstColumn="0" w:lastRowLastColumn="0"/>
            </w:pPr>
            <w:r>
              <w:t>W</w:t>
            </w:r>
            <w:r w:rsidR="003D7AF2" w:rsidRPr="003D7AF2">
              <w:t xml:space="preserve">e </w:t>
            </w:r>
            <w:r w:rsidR="003D7AF2">
              <w:t>sent</w:t>
            </w:r>
            <w:r w:rsidR="003D7AF2" w:rsidRPr="003D7AF2">
              <w:t xml:space="preserve"> a couple</w:t>
            </w:r>
            <w:r w:rsidR="00705350">
              <w:t xml:space="preserve"> of times some</w:t>
            </w:r>
            <w:r w:rsidR="003D7AF2" w:rsidRPr="003D7AF2">
              <w:t xml:space="preserve"> mass emails</w:t>
            </w:r>
            <w:r w:rsidR="003D7AF2">
              <w:t xml:space="preserve"> about the process for obtaining accessible formats to </w:t>
            </w:r>
            <w:r w:rsidR="003D7AF2" w:rsidRPr="003D7AF2">
              <w:t>principals</w:t>
            </w:r>
            <w:r w:rsidR="003D7AF2">
              <w:t xml:space="preserve"> and</w:t>
            </w:r>
            <w:r w:rsidR="003D7AF2" w:rsidRPr="003D7AF2">
              <w:t xml:space="preserve"> superintendents</w:t>
            </w:r>
            <w:r w:rsidR="00705350">
              <w:t>. We g</w:t>
            </w:r>
            <w:r w:rsidR="003D7AF2" w:rsidRPr="003D7AF2">
              <w:t xml:space="preserve">ot maybe two responses. </w:t>
            </w:r>
            <w:r w:rsidR="00705350">
              <w:t>W</w:t>
            </w:r>
            <w:r w:rsidR="003D7AF2" w:rsidRPr="003D7AF2">
              <w:t xml:space="preserve">e </w:t>
            </w:r>
            <w:proofErr w:type="gramStart"/>
            <w:r w:rsidR="00705350">
              <w:t xml:space="preserve">were </w:t>
            </w:r>
            <w:r w:rsidR="003D7AF2" w:rsidRPr="003D7AF2">
              <w:t>never were</w:t>
            </w:r>
            <w:proofErr w:type="gramEnd"/>
            <w:r w:rsidR="003D7AF2" w:rsidRPr="003D7AF2">
              <w:t xml:space="preserve"> very successful in that way.</w:t>
            </w:r>
            <w:r w:rsidR="003D7AF2">
              <w:t xml:space="preserve"> (IA)</w:t>
            </w:r>
          </w:p>
        </w:tc>
      </w:tr>
      <w:tr w:rsidR="003D7AF2" w:rsidRPr="00D0758C" w14:paraId="5F604795" w14:textId="77777777" w:rsidTr="00C74310">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1D525B7E" w14:textId="77777777" w:rsidR="003D7AF2" w:rsidRDefault="003D7AF2" w:rsidP="002F15D2">
            <w:pPr>
              <w:rPr>
                <w:rFonts w:ascii="Calibri" w:hAnsi="Calibri" w:cs="Calibri"/>
                <w:color w:val="000000"/>
              </w:rPr>
            </w:pPr>
          </w:p>
        </w:tc>
        <w:tc>
          <w:tcPr>
            <w:tcW w:w="7020" w:type="dxa"/>
            <w:shd w:val="clear" w:color="auto" w:fill="D9E2F3"/>
          </w:tcPr>
          <w:p w14:paraId="7B8CB09C" w14:textId="325C9473" w:rsidR="003D7AF2" w:rsidRDefault="003D7AF2" w:rsidP="002F15D2">
            <w:pPr>
              <w:cnfStyle w:val="000000100000" w:firstRow="0" w:lastRow="0" w:firstColumn="0" w:lastColumn="0" w:oddVBand="0" w:evenVBand="0" w:oddHBand="1" w:evenHBand="0" w:firstRowFirstColumn="0" w:firstRowLastColumn="0" w:lastRowFirstColumn="0" w:lastRowLastColumn="0"/>
            </w:pPr>
            <w:r w:rsidRPr="003D7AF2">
              <w:t xml:space="preserve">I worry that if </w:t>
            </w:r>
            <w:r>
              <w:t>emails about the process for obtaining accessible formats are</w:t>
            </w:r>
            <w:r w:rsidRPr="003D7AF2">
              <w:t xml:space="preserve"> sent to superintendents, they don't always know the ins and outs of what every kid in every building </w:t>
            </w:r>
            <w:proofErr w:type="gramStart"/>
            <w:r w:rsidRPr="003D7AF2">
              <w:t>needs</w:t>
            </w:r>
            <w:proofErr w:type="gramEnd"/>
            <w:r w:rsidRPr="003D7AF2">
              <w:t xml:space="preserve">, especially </w:t>
            </w:r>
            <w:r w:rsidR="00705350">
              <w:t>in</w:t>
            </w:r>
            <w:r w:rsidRPr="003D7AF2">
              <w:t xml:space="preserve"> a larger district.</w:t>
            </w:r>
            <w:r w:rsidR="00705350">
              <w:t xml:space="preserve"> Y</w:t>
            </w:r>
            <w:r w:rsidRPr="003D7AF2">
              <w:t xml:space="preserve">ou would hope that they push that onto their </w:t>
            </w:r>
            <w:proofErr w:type="gramStart"/>
            <w:r w:rsidRPr="003D7AF2">
              <w:t>principals</w:t>
            </w:r>
            <w:proofErr w:type="gramEnd"/>
            <w:r w:rsidRPr="003D7AF2">
              <w:t xml:space="preserve"> so that everyone's aware, but I am not sure our superintendent even knows that I have two students that are visually impaired and that need this material.</w:t>
            </w:r>
            <w:r>
              <w:t xml:space="preserve"> (IA)</w:t>
            </w:r>
          </w:p>
        </w:tc>
      </w:tr>
      <w:tr w:rsidR="00E106D8" w:rsidRPr="00D0758C" w14:paraId="0DE30154" w14:textId="77777777" w:rsidTr="002C3BCA">
        <w:trPr>
          <w:trHeight w:val="62"/>
        </w:trPr>
        <w:tc>
          <w:tcPr>
            <w:cnfStyle w:val="001000000000" w:firstRow="0" w:lastRow="0" w:firstColumn="1" w:lastColumn="0" w:oddVBand="0" w:evenVBand="0" w:oddHBand="0" w:evenHBand="0" w:firstRowFirstColumn="0" w:firstRowLastColumn="0" w:lastRowFirstColumn="0" w:lastRowLastColumn="0"/>
            <w:tcW w:w="2335" w:type="dxa"/>
          </w:tcPr>
          <w:p w14:paraId="7BDBD390" w14:textId="42C42B91" w:rsidR="00E106D8" w:rsidRDefault="00E106D8" w:rsidP="002F15D2">
            <w:pPr>
              <w:rPr>
                <w:rFonts w:ascii="Calibri" w:hAnsi="Calibri" w:cs="Calibri"/>
                <w:color w:val="000000"/>
              </w:rPr>
            </w:pPr>
            <w:r>
              <w:rPr>
                <w:rFonts w:cstheme="minorHAnsi"/>
              </w:rPr>
              <w:t>TVIs and support staff have limited bandwidth (23)</w:t>
            </w:r>
          </w:p>
        </w:tc>
        <w:tc>
          <w:tcPr>
            <w:tcW w:w="7020" w:type="dxa"/>
          </w:tcPr>
          <w:p w14:paraId="3B502D34" w14:textId="34206499" w:rsidR="00E106D8" w:rsidRPr="00D167BB" w:rsidRDefault="00E106D8" w:rsidP="002F15D2">
            <w:pPr>
              <w:cnfStyle w:val="000000000000" w:firstRow="0" w:lastRow="0" w:firstColumn="0" w:lastColumn="0" w:oddVBand="0" w:evenVBand="0" w:oddHBand="0" w:evenHBand="0" w:firstRowFirstColumn="0" w:firstRowLastColumn="0" w:lastRowFirstColumn="0" w:lastRowLastColumn="0"/>
            </w:pPr>
            <w:r w:rsidRPr="00CE2394">
              <w:t>I think the rural areas really struggle because the T</w:t>
            </w:r>
            <w:r w:rsidR="005B11E2">
              <w:t>V</w:t>
            </w:r>
            <w:r w:rsidRPr="00CE2394">
              <w:t xml:space="preserve">I is responsible for multiple counties. </w:t>
            </w:r>
            <w:r w:rsidR="0067405C" w:rsidRPr="00CE2394">
              <w:t>So,</w:t>
            </w:r>
            <w:r w:rsidRPr="00CE2394">
              <w:t xml:space="preserve"> I think that's a challenge.</w:t>
            </w:r>
            <w:r>
              <w:t xml:space="preserve"> (OH)</w:t>
            </w:r>
          </w:p>
        </w:tc>
      </w:tr>
      <w:tr w:rsidR="00E106D8" w:rsidRPr="00D0758C" w14:paraId="39156A24" w14:textId="77777777" w:rsidTr="00C74310">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1C60C5D1" w14:textId="77777777" w:rsidR="00E106D8" w:rsidRDefault="00E106D8" w:rsidP="002F15D2">
            <w:pPr>
              <w:rPr>
                <w:rFonts w:ascii="Calibri" w:hAnsi="Calibri" w:cs="Calibri"/>
                <w:color w:val="000000"/>
              </w:rPr>
            </w:pPr>
          </w:p>
        </w:tc>
        <w:tc>
          <w:tcPr>
            <w:tcW w:w="7020" w:type="dxa"/>
            <w:shd w:val="clear" w:color="auto" w:fill="D9E2F3"/>
          </w:tcPr>
          <w:p w14:paraId="4791A28A" w14:textId="6105A008" w:rsidR="00E106D8" w:rsidRPr="00D167BB" w:rsidRDefault="00E106D8" w:rsidP="002F15D2">
            <w:pPr>
              <w:cnfStyle w:val="000000100000" w:firstRow="0" w:lastRow="0" w:firstColumn="0" w:lastColumn="0" w:oddVBand="0" w:evenVBand="0" w:oddHBand="1" w:evenHBand="0" w:firstRowFirstColumn="0" w:firstRowLastColumn="0" w:lastRowFirstColumn="0" w:lastRowLastColumn="0"/>
            </w:pPr>
            <w:r w:rsidRPr="00CE2394">
              <w:t xml:space="preserve">Not all districts have TVIs and therefore may not know how to acquire AEM or about Federal Quota. </w:t>
            </w:r>
            <w:proofErr w:type="gramStart"/>
            <w:r w:rsidRPr="00CE2394">
              <w:t>Or,</w:t>
            </w:r>
            <w:proofErr w:type="gramEnd"/>
            <w:r w:rsidRPr="00CE2394">
              <w:t xml:space="preserve"> there </w:t>
            </w:r>
            <w:r w:rsidR="005D1A05">
              <w:t xml:space="preserve">may be </w:t>
            </w:r>
            <w:r w:rsidRPr="00CE2394">
              <w:t xml:space="preserve">a couple of TVIs with a large caseload, and </w:t>
            </w:r>
            <w:r w:rsidR="005D1A05">
              <w:t xml:space="preserve">they </w:t>
            </w:r>
            <w:r w:rsidRPr="00CE2394">
              <w:t>may find it challenging to keep up.</w:t>
            </w:r>
            <w:r>
              <w:t xml:space="preserve"> (OH)</w:t>
            </w:r>
          </w:p>
        </w:tc>
      </w:tr>
      <w:tr w:rsidR="00E106D8" w:rsidRPr="00D0758C" w14:paraId="5A6FD9E3" w14:textId="77777777" w:rsidTr="002C3BCA">
        <w:trPr>
          <w:trHeight w:val="62"/>
        </w:trPr>
        <w:tc>
          <w:tcPr>
            <w:cnfStyle w:val="001000000000" w:firstRow="0" w:lastRow="0" w:firstColumn="1" w:lastColumn="0" w:oddVBand="0" w:evenVBand="0" w:oddHBand="0" w:evenHBand="0" w:firstRowFirstColumn="0" w:firstRowLastColumn="0" w:lastRowFirstColumn="0" w:lastRowLastColumn="0"/>
            <w:tcW w:w="2335" w:type="dxa"/>
          </w:tcPr>
          <w:p w14:paraId="4C32E8C9" w14:textId="77777777" w:rsidR="00E106D8" w:rsidRDefault="00E106D8" w:rsidP="002F15D2">
            <w:pPr>
              <w:rPr>
                <w:rFonts w:ascii="Calibri" w:hAnsi="Calibri" w:cs="Calibri"/>
                <w:color w:val="000000"/>
              </w:rPr>
            </w:pPr>
          </w:p>
        </w:tc>
        <w:tc>
          <w:tcPr>
            <w:tcW w:w="7020" w:type="dxa"/>
          </w:tcPr>
          <w:p w14:paraId="5819376B" w14:textId="73F44A6C" w:rsidR="00E106D8" w:rsidRPr="00D167BB" w:rsidRDefault="00E106D8" w:rsidP="002F15D2">
            <w:pPr>
              <w:cnfStyle w:val="000000000000" w:firstRow="0" w:lastRow="0" w:firstColumn="0" w:lastColumn="0" w:oddVBand="0" w:evenVBand="0" w:oddHBand="0" w:evenHBand="0" w:firstRowFirstColumn="0" w:firstRowLastColumn="0" w:lastRowFirstColumn="0" w:lastRowLastColumn="0"/>
            </w:pPr>
            <w:r w:rsidRPr="00CE2394">
              <w:t xml:space="preserve">I often feel like, as an itinerant TVI, I'm the </w:t>
            </w:r>
            <w:r w:rsidR="005D1A05">
              <w:t>only</w:t>
            </w:r>
            <w:r w:rsidRPr="00CE2394">
              <w:t xml:space="preserve"> person working to secure accessible materials</w:t>
            </w:r>
            <w:r>
              <w:t>. (OH)</w:t>
            </w:r>
          </w:p>
        </w:tc>
      </w:tr>
      <w:tr w:rsidR="00E106D8" w:rsidRPr="00D0758C" w14:paraId="2FC53CE4" w14:textId="77777777" w:rsidTr="00C74310">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11B62CB8" w14:textId="77777777" w:rsidR="00E106D8" w:rsidRDefault="00E106D8" w:rsidP="002F15D2">
            <w:pPr>
              <w:rPr>
                <w:rFonts w:ascii="Calibri" w:hAnsi="Calibri" w:cs="Calibri"/>
                <w:color w:val="000000"/>
              </w:rPr>
            </w:pPr>
          </w:p>
        </w:tc>
        <w:tc>
          <w:tcPr>
            <w:tcW w:w="7020" w:type="dxa"/>
            <w:shd w:val="clear" w:color="auto" w:fill="D9E2F3"/>
          </w:tcPr>
          <w:p w14:paraId="14DE508F" w14:textId="0BEA453B" w:rsidR="00E106D8" w:rsidRPr="00D167BB" w:rsidRDefault="00E106D8" w:rsidP="002F15D2">
            <w:pPr>
              <w:cnfStyle w:val="000000100000" w:firstRow="0" w:lastRow="0" w:firstColumn="0" w:lastColumn="0" w:oddVBand="0" w:evenVBand="0" w:oddHBand="1" w:evenHBand="0" w:firstRowFirstColumn="0" w:firstRowLastColumn="0" w:lastRowFirstColumn="0" w:lastRowLastColumn="0"/>
            </w:pPr>
            <w:r w:rsidRPr="000D0AC5">
              <w:t>I'm the only TVI for my district</w:t>
            </w:r>
            <w:r w:rsidR="005D1A05">
              <w:t xml:space="preserve"> of</w:t>
            </w:r>
            <w:r w:rsidRPr="000D0AC5">
              <w:t xml:space="preserve"> 15,000 students. We had a new student come in at the beginning of this year</w:t>
            </w:r>
            <w:r w:rsidR="005D1A05">
              <w:t>,</w:t>
            </w:r>
            <w:r w:rsidRPr="000D0AC5">
              <w:t xml:space="preserve"> and the whole middle school staff </w:t>
            </w:r>
            <w:r w:rsidR="005D1A05">
              <w:t>i</w:t>
            </w:r>
            <w:r w:rsidRPr="000D0AC5">
              <w:t xml:space="preserve">n </w:t>
            </w:r>
            <w:r w:rsidRPr="000D0AC5">
              <w:lastRenderedPageBreak/>
              <w:t xml:space="preserve">the building she is in flipped out because they have never had a student with </w:t>
            </w:r>
            <w:proofErr w:type="gramStart"/>
            <w:r w:rsidRPr="000D0AC5">
              <w:t>a visual</w:t>
            </w:r>
            <w:proofErr w:type="gramEnd"/>
            <w:r w:rsidRPr="000D0AC5">
              <w:t xml:space="preserve"> impairment before. This student has 6 different teachers.</w:t>
            </w:r>
            <w:r>
              <w:t xml:space="preserve"> (OH)</w:t>
            </w:r>
          </w:p>
        </w:tc>
      </w:tr>
      <w:tr w:rsidR="00E106D8" w:rsidRPr="00D0758C" w14:paraId="7812E594" w14:textId="77777777" w:rsidTr="002C3BCA">
        <w:trPr>
          <w:trHeight w:val="62"/>
        </w:trPr>
        <w:tc>
          <w:tcPr>
            <w:cnfStyle w:val="001000000000" w:firstRow="0" w:lastRow="0" w:firstColumn="1" w:lastColumn="0" w:oddVBand="0" w:evenVBand="0" w:oddHBand="0" w:evenHBand="0" w:firstRowFirstColumn="0" w:firstRowLastColumn="0" w:lastRowFirstColumn="0" w:lastRowLastColumn="0"/>
            <w:tcW w:w="2335" w:type="dxa"/>
          </w:tcPr>
          <w:p w14:paraId="02A1004D" w14:textId="77777777" w:rsidR="00E106D8" w:rsidRDefault="00E106D8" w:rsidP="002F15D2">
            <w:pPr>
              <w:rPr>
                <w:rFonts w:ascii="Calibri" w:hAnsi="Calibri" w:cs="Calibri"/>
                <w:color w:val="000000"/>
              </w:rPr>
            </w:pPr>
          </w:p>
        </w:tc>
        <w:tc>
          <w:tcPr>
            <w:tcW w:w="7020" w:type="dxa"/>
          </w:tcPr>
          <w:p w14:paraId="759534AE" w14:textId="2C5C4665" w:rsidR="00E106D8" w:rsidRPr="00D167BB" w:rsidRDefault="00E106D8" w:rsidP="002F15D2">
            <w:pPr>
              <w:cnfStyle w:val="000000000000" w:firstRow="0" w:lastRow="0" w:firstColumn="0" w:lastColumn="0" w:oddVBand="0" w:evenVBand="0" w:oddHBand="0" w:evenHBand="0" w:firstRowFirstColumn="0" w:firstRowLastColumn="0" w:lastRowFirstColumn="0" w:lastRowLastColumn="0"/>
            </w:pPr>
            <w:r>
              <w:t xml:space="preserve">If we had someone in the district who could help support these specific needs, we wouldn't be talking about a teacher who is traveling between 20 schools in a </w:t>
            </w:r>
            <w:r w:rsidR="0067405C">
              <w:t>five-day</w:t>
            </w:r>
            <w:r>
              <w:t xml:space="preserve"> work week. And they could teach us how to utilize the supports more effectively within the classroom. (OR)</w:t>
            </w:r>
          </w:p>
        </w:tc>
      </w:tr>
      <w:tr w:rsidR="00E106D8" w:rsidRPr="00D0758C" w14:paraId="38C30BC6" w14:textId="77777777" w:rsidTr="00C74310">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64A08AAD" w14:textId="77777777" w:rsidR="00E106D8" w:rsidRDefault="00E106D8" w:rsidP="002F15D2">
            <w:pPr>
              <w:rPr>
                <w:rFonts w:ascii="Calibri" w:hAnsi="Calibri" w:cs="Calibri"/>
                <w:color w:val="000000"/>
              </w:rPr>
            </w:pPr>
          </w:p>
        </w:tc>
        <w:tc>
          <w:tcPr>
            <w:tcW w:w="7020" w:type="dxa"/>
            <w:shd w:val="clear" w:color="auto" w:fill="D9E2F3"/>
          </w:tcPr>
          <w:p w14:paraId="7DF4F0B3" w14:textId="62B37CAD" w:rsidR="00E106D8" w:rsidRPr="00D167BB" w:rsidRDefault="00E106D8" w:rsidP="002F15D2">
            <w:pPr>
              <w:cnfStyle w:val="000000100000" w:firstRow="0" w:lastRow="0" w:firstColumn="0" w:lastColumn="0" w:oddVBand="0" w:evenVBand="0" w:oddHBand="1" w:evenHBand="0" w:firstRowFirstColumn="0" w:firstRowLastColumn="0" w:lastRowFirstColumn="0" w:lastRowLastColumn="0"/>
            </w:pPr>
            <w:r w:rsidRPr="000D0AC5">
              <w:t xml:space="preserve">There is a process to request that books be brailled, but there is no process to request other curriculum like PowerPoints </w:t>
            </w:r>
            <w:r w:rsidR="00F37A06">
              <w:t xml:space="preserve">to </w:t>
            </w:r>
            <w:r w:rsidRPr="000D0AC5">
              <w:t>be brailled, so TVIs have to do that themselves on top of teaching their caseload.</w:t>
            </w:r>
            <w:r>
              <w:t xml:space="preserve"> (UT)</w:t>
            </w:r>
          </w:p>
        </w:tc>
      </w:tr>
      <w:tr w:rsidR="00E106D8" w:rsidRPr="00D0758C" w14:paraId="601BC31A" w14:textId="77777777" w:rsidTr="002C3BCA">
        <w:trPr>
          <w:trHeight w:val="62"/>
        </w:trPr>
        <w:tc>
          <w:tcPr>
            <w:cnfStyle w:val="001000000000" w:firstRow="0" w:lastRow="0" w:firstColumn="1" w:lastColumn="0" w:oddVBand="0" w:evenVBand="0" w:oddHBand="0" w:evenHBand="0" w:firstRowFirstColumn="0" w:firstRowLastColumn="0" w:lastRowFirstColumn="0" w:lastRowLastColumn="0"/>
            <w:tcW w:w="2335" w:type="dxa"/>
          </w:tcPr>
          <w:p w14:paraId="617A0B61" w14:textId="77777777" w:rsidR="00E106D8" w:rsidRDefault="00E106D8" w:rsidP="002F15D2">
            <w:pPr>
              <w:rPr>
                <w:rFonts w:ascii="Calibri" w:hAnsi="Calibri" w:cs="Calibri"/>
                <w:color w:val="000000"/>
              </w:rPr>
            </w:pPr>
          </w:p>
        </w:tc>
        <w:tc>
          <w:tcPr>
            <w:tcW w:w="7020" w:type="dxa"/>
          </w:tcPr>
          <w:p w14:paraId="22137928" w14:textId="6C7AB8D6" w:rsidR="00E106D8" w:rsidRPr="00D167BB" w:rsidRDefault="00E106D8" w:rsidP="002F15D2">
            <w:pPr>
              <w:cnfStyle w:val="000000000000" w:firstRow="0" w:lastRow="0" w:firstColumn="0" w:lastColumn="0" w:oddVBand="0" w:evenVBand="0" w:oddHBand="0" w:evenHBand="0" w:firstRowFirstColumn="0" w:firstRowLastColumn="0" w:lastRowFirstColumn="0" w:lastRowLastColumn="0"/>
            </w:pPr>
            <w:r>
              <w:t>D</w:t>
            </w:r>
            <w:r w:rsidRPr="00CE2394">
              <w:t>istrict administration do</w:t>
            </w:r>
            <w:r w:rsidR="00F37A06">
              <w:t>es</w:t>
            </w:r>
            <w:r w:rsidRPr="00CE2394">
              <w:t xml:space="preserve"> not understand that 1 vision teacher </w:t>
            </w:r>
            <w:r w:rsidR="00F37A06">
              <w:t>for</w:t>
            </w:r>
            <w:r w:rsidRPr="00CE2394">
              <w:t xml:space="preserve"> 3 full time braille students in </w:t>
            </w:r>
            <w:r w:rsidR="00F37A06">
              <w:t>G</w:t>
            </w:r>
            <w:r w:rsidRPr="00CE2394">
              <w:t xml:space="preserve">en </w:t>
            </w:r>
            <w:r w:rsidR="00F37A06">
              <w:t>E</w:t>
            </w:r>
            <w:r w:rsidRPr="00CE2394">
              <w:t>d secondary schools is a disservice to the students. There is not enough time in a school day to service 3 braille students appropriately, along with other low vision students on the caseload.</w:t>
            </w:r>
            <w:r>
              <w:t xml:space="preserve"> (CA)</w:t>
            </w:r>
          </w:p>
        </w:tc>
      </w:tr>
      <w:tr w:rsidR="00E106D8" w:rsidRPr="00D0758C" w14:paraId="7B538412" w14:textId="77777777" w:rsidTr="00C74310">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225B6A5E" w14:textId="77777777" w:rsidR="00E106D8" w:rsidRDefault="00E106D8" w:rsidP="002F15D2">
            <w:pPr>
              <w:rPr>
                <w:rFonts w:ascii="Calibri" w:hAnsi="Calibri" w:cs="Calibri"/>
                <w:color w:val="000000"/>
              </w:rPr>
            </w:pPr>
          </w:p>
        </w:tc>
        <w:tc>
          <w:tcPr>
            <w:tcW w:w="7020" w:type="dxa"/>
            <w:shd w:val="clear" w:color="auto" w:fill="D9E2F3"/>
          </w:tcPr>
          <w:p w14:paraId="280C4F86" w14:textId="63AC5451" w:rsidR="00E106D8" w:rsidRPr="00D167BB" w:rsidRDefault="00E106D8" w:rsidP="002F15D2">
            <w:pPr>
              <w:cnfStyle w:val="000000100000" w:firstRow="0" w:lastRow="0" w:firstColumn="0" w:lastColumn="0" w:oddVBand="0" w:evenVBand="0" w:oddHBand="1" w:evenHBand="0" w:firstRowFirstColumn="0" w:firstRowLastColumn="0" w:lastRowFirstColumn="0" w:lastRowLastColumn="0"/>
            </w:pPr>
            <w:r w:rsidRPr="00CE2394">
              <w:t>50% of my job as a TVI is preparing materials for one totally blind student (often at the sacrifice of quality instructional time with my other students).</w:t>
            </w:r>
            <w:r>
              <w:t xml:space="preserve"> (DE)</w:t>
            </w:r>
          </w:p>
        </w:tc>
      </w:tr>
      <w:tr w:rsidR="00E106D8" w:rsidRPr="00D0758C" w14:paraId="5F8A9266" w14:textId="77777777" w:rsidTr="002C3BCA">
        <w:trPr>
          <w:trHeight w:val="62"/>
        </w:trPr>
        <w:tc>
          <w:tcPr>
            <w:cnfStyle w:val="001000000000" w:firstRow="0" w:lastRow="0" w:firstColumn="1" w:lastColumn="0" w:oddVBand="0" w:evenVBand="0" w:oddHBand="0" w:evenHBand="0" w:firstRowFirstColumn="0" w:firstRowLastColumn="0" w:lastRowFirstColumn="0" w:lastRowLastColumn="0"/>
            <w:tcW w:w="2335" w:type="dxa"/>
          </w:tcPr>
          <w:p w14:paraId="59650239" w14:textId="77777777" w:rsidR="00E106D8" w:rsidRDefault="00E106D8" w:rsidP="002F15D2">
            <w:pPr>
              <w:rPr>
                <w:rFonts w:ascii="Calibri" w:hAnsi="Calibri" w:cs="Calibri"/>
                <w:color w:val="000000"/>
              </w:rPr>
            </w:pPr>
          </w:p>
        </w:tc>
        <w:tc>
          <w:tcPr>
            <w:tcW w:w="7020" w:type="dxa"/>
          </w:tcPr>
          <w:p w14:paraId="13131EA0" w14:textId="652B83F6" w:rsidR="00E106D8" w:rsidRPr="00D167BB" w:rsidRDefault="00E106D8" w:rsidP="002F15D2">
            <w:pPr>
              <w:cnfStyle w:val="000000000000" w:firstRow="0" w:lastRow="0" w:firstColumn="0" w:lastColumn="0" w:oddVBand="0" w:evenVBand="0" w:oddHBand="0" w:evenHBand="0" w:firstRowFirstColumn="0" w:firstRowLastColumn="0" w:lastRowFirstColumn="0" w:lastRowLastColumn="0"/>
            </w:pPr>
            <w:r w:rsidRPr="00CE2394">
              <w:t>In our districts, BVIs are hard to come by and have limited time.</w:t>
            </w:r>
            <w:r>
              <w:t xml:space="preserve"> (MN)</w:t>
            </w:r>
          </w:p>
        </w:tc>
      </w:tr>
      <w:tr w:rsidR="00E106D8" w:rsidRPr="00D0758C" w14:paraId="55C37286" w14:textId="77777777" w:rsidTr="00C74310">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7C6CFC7D" w14:textId="0B759EE6" w:rsidR="00E106D8" w:rsidRPr="005B11E2" w:rsidRDefault="00E106D8" w:rsidP="002F15D2">
            <w:pPr>
              <w:rPr>
                <w:rFonts w:ascii="Calibri" w:hAnsi="Calibri" w:cs="Calibri"/>
                <w:b w:val="0"/>
                <w:bCs w:val="0"/>
                <w:color w:val="000000"/>
              </w:rPr>
            </w:pPr>
            <w:r>
              <w:rPr>
                <w:rFonts w:ascii="Calibri" w:hAnsi="Calibri" w:cs="Calibri"/>
                <w:color w:val="000000"/>
              </w:rPr>
              <w:t>High teacher turnover (20)</w:t>
            </w:r>
          </w:p>
        </w:tc>
        <w:tc>
          <w:tcPr>
            <w:tcW w:w="7020" w:type="dxa"/>
            <w:shd w:val="clear" w:color="auto" w:fill="D9E2F3"/>
          </w:tcPr>
          <w:p w14:paraId="7C1F3F11" w14:textId="0BD3D4A1" w:rsidR="00E106D8" w:rsidRDefault="0067405C" w:rsidP="002F15D2">
            <w:pPr>
              <w:cnfStyle w:val="000000100000" w:firstRow="0" w:lastRow="0" w:firstColumn="0" w:lastColumn="0" w:oddVBand="0" w:evenVBand="0" w:oddHBand="1" w:evenHBand="0" w:firstRowFirstColumn="0" w:firstRowLastColumn="0" w:lastRowFirstColumn="0" w:lastRowLastColumn="0"/>
            </w:pPr>
            <w:r w:rsidRPr="00D167BB">
              <w:t xml:space="preserve">If a teacher of the visually impaired leaves a school district, they may not take the time to make sure that materials have been ordered for students needing access to print nor be available to consult with </w:t>
            </w:r>
            <w:r>
              <w:t>the replacement</w:t>
            </w:r>
            <w:r w:rsidR="0004445C">
              <w:t xml:space="preserve"> </w:t>
            </w:r>
            <w:r w:rsidRPr="00D167BB">
              <w:t>person hired for their position.</w:t>
            </w:r>
            <w:r>
              <w:t xml:space="preserve"> (OH)</w:t>
            </w:r>
          </w:p>
        </w:tc>
      </w:tr>
      <w:tr w:rsidR="00E106D8" w:rsidRPr="00D0758C" w14:paraId="0C4CFBE4" w14:textId="77777777" w:rsidTr="00E41FCF">
        <w:trPr>
          <w:trHeight w:val="62"/>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056678AA" w14:textId="41AE73B5" w:rsidR="00E106D8" w:rsidRDefault="00E106D8" w:rsidP="002F15D2">
            <w:pPr>
              <w:rPr>
                <w:rFonts w:ascii="Calibri" w:hAnsi="Calibri" w:cs="Calibri"/>
                <w:color w:val="000000"/>
              </w:rPr>
            </w:pPr>
          </w:p>
        </w:tc>
        <w:tc>
          <w:tcPr>
            <w:tcW w:w="7020" w:type="dxa"/>
          </w:tcPr>
          <w:p w14:paraId="472FB559" w14:textId="01FF257A" w:rsidR="00E106D8" w:rsidRPr="00D167BB" w:rsidRDefault="0004445C" w:rsidP="002F15D2">
            <w:pPr>
              <w:cnfStyle w:val="000000000000" w:firstRow="0" w:lastRow="0" w:firstColumn="0" w:lastColumn="0" w:oddVBand="0" w:evenVBand="0" w:oddHBand="0" w:evenHBand="0" w:firstRowFirstColumn="0" w:firstRowLastColumn="0" w:lastRowFirstColumn="0" w:lastRowLastColumn="0"/>
            </w:pPr>
            <w:r>
              <w:t>T</w:t>
            </w:r>
            <w:r w:rsidR="0067405C" w:rsidRPr="00D167BB">
              <w:t xml:space="preserve">urnover of leaders in </w:t>
            </w:r>
            <w:r>
              <w:t>S</w:t>
            </w:r>
            <w:r w:rsidR="0067405C" w:rsidRPr="00D167BB">
              <w:t xml:space="preserve">pecial </w:t>
            </w:r>
            <w:r>
              <w:t>E</w:t>
            </w:r>
            <w:r w:rsidR="0067405C" w:rsidRPr="00D167BB">
              <w:t>d is quite high, so you're constantly redoing that training</w:t>
            </w:r>
            <w:r w:rsidR="0067405C">
              <w:t xml:space="preserve"> </w:t>
            </w:r>
            <w:r>
              <w:t xml:space="preserve">on </w:t>
            </w:r>
            <w:r w:rsidR="0067405C">
              <w:t>obtaining accessible formats. (OH)</w:t>
            </w:r>
          </w:p>
        </w:tc>
      </w:tr>
      <w:tr w:rsidR="00E106D8" w:rsidRPr="00D0758C" w14:paraId="4CE2D187" w14:textId="77777777" w:rsidTr="00C74310">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5EFD1E74" w14:textId="77777777" w:rsidR="00E106D8" w:rsidRDefault="00E106D8" w:rsidP="002F15D2">
            <w:pPr>
              <w:rPr>
                <w:rFonts w:ascii="Calibri" w:hAnsi="Calibri" w:cs="Calibri"/>
                <w:color w:val="000000"/>
              </w:rPr>
            </w:pPr>
          </w:p>
        </w:tc>
        <w:tc>
          <w:tcPr>
            <w:tcW w:w="7020" w:type="dxa"/>
            <w:shd w:val="clear" w:color="auto" w:fill="D9E2F3"/>
          </w:tcPr>
          <w:p w14:paraId="2F8643C6" w14:textId="210855C4" w:rsidR="00E106D8" w:rsidRPr="00D167BB" w:rsidRDefault="00E106D8" w:rsidP="002F15D2">
            <w:pPr>
              <w:cnfStyle w:val="000000100000" w:firstRow="0" w:lastRow="0" w:firstColumn="0" w:lastColumn="0" w:oddVBand="0" w:evenVBand="0" w:oddHBand="1" w:evenHBand="0" w:firstRowFirstColumn="0" w:firstRowLastColumn="0" w:lastRowFirstColumn="0" w:lastRowLastColumn="0"/>
            </w:pPr>
            <w:r w:rsidRPr="00D167BB">
              <w:t xml:space="preserve">Turnover is huge. People </w:t>
            </w:r>
            <w:r w:rsidR="0004445C">
              <w:t xml:space="preserve">are </w:t>
            </w:r>
            <w:r w:rsidRPr="00D167BB">
              <w:t>leaving their position</w:t>
            </w:r>
            <w:r w:rsidR="0004445C">
              <w:t>s,</w:t>
            </w:r>
            <w:r>
              <w:t xml:space="preserve"> </w:t>
            </w:r>
            <w:r w:rsidR="0004445C">
              <w:t xml:space="preserve">and </w:t>
            </w:r>
            <w:r w:rsidRPr="00D167BB">
              <w:t xml:space="preserve">new people </w:t>
            </w:r>
            <w:r w:rsidR="0004445C">
              <w:t xml:space="preserve">are </w:t>
            </w:r>
            <w:r w:rsidRPr="00D167BB">
              <w:t>coming in</w:t>
            </w:r>
            <w:r w:rsidR="0004445C">
              <w:t xml:space="preserve"> who are </w:t>
            </w:r>
            <w:r w:rsidRPr="00D167BB">
              <w:t>overwhelmed</w:t>
            </w:r>
            <w:r w:rsidR="0004445C">
              <w:t xml:space="preserve">, with </w:t>
            </w:r>
            <w:r w:rsidRPr="00D167BB">
              <w:t>high caseloads and all of these things going on</w:t>
            </w:r>
            <w:r>
              <w:t>. H</w:t>
            </w:r>
            <w:r w:rsidRPr="00D167BB">
              <w:t xml:space="preserve">ow can we be sure that they are getting the proper training, particularly when the person with the expertise just exited stage left and </w:t>
            </w:r>
            <w:r>
              <w:t xml:space="preserve">there is </w:t>
            </w:r>
            <w:r w:rsidRPr="00D167BB">
              <w:t>so much to know</w:t>
            </w:r>
            <w:r w:rsidR="0004445C">
              <w:t xml:space="preserve">? </w:t>
            </w:r>
            <w:r>
              <w:t>(OR)</w:t>
            </w:r>
          </w:p>
        </w:tc>
      </w:tr>
      <w:tr w:rsidR="00E106D8" w:rsidRPr="00D0758C" w14:paraId="4C7DCF6B" w14:textId="77777777" w:rsidTr="00E41FCF">
        <w:trPr>
          <w:trHeight w:val="62"/>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56BD7508" w14:textId="77777777" w:rsidR="00E106D8" w:rsidRDefault="00E106D8" w:rsidP="002F15D2">
            <w:pPr>
              <w:rPr>
                <w:rFonts w:ascii="Calibri" w:hAnsi="Calibri" w:cs="Calibri"/>
                <w:color w:val="000000"/>
              </w:rPr>
            </w:pPr>
          </w:p>
        </w:tc>
        <w:tc>
          <w:tcPr>
            <w:tcW w:w="7020" w:type="dxa"/>
          </w:tcPr>
          <w:p w14:paraId="3D3F9D2E" w14:textId="789132BC" w:rsidR="00E106D8" w:rsidRPr="00D167BB" w:rsidRDefault="00E106D8" w:rsidP="002F15D2">
            <w:pPr>
              <w:cnfStyle w:val="000000000000" w:firstRow="0" w:lastRow="0" w:firstColumn="0" w:lastColumn="0" w:oddVBand="0" w:evenVBand="0" w:oddHBand="0" w:evenHBand="0" w:firstRowFirstColumn="0" w:firstRowLastColumn="0" w:lastRowFirstColumn="0" w:lastRowLastColumn="0"/>
            </w:pPr>
            <w:r w:rsidRPr="00D167BB">
              <w:t>Sometimes the school doesn't even know</w:t>
            </w:r>
            <w:r>
              <w:t xml:space="preserve"> who the teachers will be next year</w:t>
            </w:r>
            <w:r w:rsidRPr="00D167BB">
              <w:t xml:space="preserve"> because they haven't hired that person</w:t>
            </w:r>
            <w:r w:rsidR="00652D66">
              <w:t>.</w:t>
            </w:r>
            <w:r w:rsidRPr="00D167BB">
              <w:t xml:space="preserve"> Somebody left or retired in the summer, and so they're looking for a new teacher. And the first day of school is when the new teacher hits and then she has her ideas about</w:t>
            </w:r>
            <w:r w:rsidR="00652D66">
              <w:t xml:space="preserve"> </w:t>
            </w:r>
            <w:r w:rsidRPr="00D167BB">
              <w:t>what curriculum is needed</w:t>
            </w:r>
            <w:r w:rsidR="00652D66">
              <w:t>,</w:t>
            </w:r>
            <w:r w:rsidRPr="00D167BB">
              <w:t xml:space="preserve"> and we have to change pace and pretty much scratch what we did all summer and start new. And that's painful.</w:t>
            </w:r>
            <w:r>
              <w:t xml:space="preserve"> (UT)</w:t>
            </w:r>
          </w:p>
        </w:tc>
      </w:tr>
      <w:tr w:rsidR="00E106D8" w:rsidRPr="00D0758C" w14:paraId="2D20AFB8" w14:textId="77777777" w:rsidTr="00C74310">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080C2EA6" w14:textId="77777777" w:rsidR="00E106D8" w:rsidRDefault="00E106D8" w:rsidP="002F15D2">
            <w:pPr>
              <w:rPr>
                <w:rFonts w:ascii="Calibri" w:hAnsi="Calibri" w:cs="Calibri"/>
                <w:color w:val="000000"/>
              </w:rPr>
            </w:pPr>
          </w:p>
        </w:tc>
        <w:tc>
          <w:tcPr>
            <w:tcW w:w="7020" w:type="dxa"/>
            <w:shd w:val="clear" w:color="auto" w:fill="D9E2F3"/>
          </w:tcPr>
          <w:p w14:paraId="5666498E" w14:textId="755461CF" w:rsidR="00E106D8" w:rsidRPr="00D167BB" w:rsidRDefault="00E106D8" w:rsidP="002F15D2">
            <w:pPr>
              <w:cnfStyle w:val="000000100000" w:firstRow="0" w:lastRow="0" w:firstColumn="0" w:lastColumn="0" w:oddVBand="0" w:evenVBand="0" w:oddHBand="1" w:evenHBand="0" w:firstRowFirstColumn="0" w:firstRowLastColumn="0" w:lastRowFirstColumn="0" w:lastRowLastColumn="0"/>
            </w:pPr>
            <w:r w:rsidRPr="00D167BB">
              <w:t xml:space="preserve">There's so much turnover in </w:t>
            </w:r>
            <w:r>
              <w:t>S</w:t>
            </w:r>
            <w:r w:rsidRPr="00D167BB">
              <w:t xml:space="preserve">pecial </w:t>
            </w:r>
            <w:r>
              <w:t>E</w:t>
            </w:r>
            <w:r w:rsidRPr="00D167BB">
              <w:t xml:space="preserve">d directors and </w:t>
            </w:r>
            <w:r>
              <w:t>C</w:t>
            </w:r>
            <w:r w:rsidRPr="00D167BB">
              <w:t xml:space="preserve">urriculum </w:t>
            </w:r>
            <w:r>
              <w:t>D</w:t>
            </w:r>
            <w:r w:rsidRPr="00D167BB">
              <w:t xml:space="preserve">irectors, and even </w:t>
            </w:r>
            <w:r>
              <w:t>Su</w:t>
            </w:r>
            <w:r w:rsidRPr="00D167BB">
              <w:t>perintendents and</w:t>
            </w:r>
            <w:r>
              <w:t xml:space="preserve"> Di</w:t>
            </w:r>
            <w:r w:rsidRPr="00D167BB">
              <w:t xml:space="preserve">rectors of </w:t>
            </w:r>
            <w:r>
              <w:t>C</w:t>
            </w:r>
            <w:r w:rsidRPr="00D167BB">
              <w:t xml:space="preserve">harter </w:t>
            </w:r>
            <w:r>
              <w:t>S</w:t>
            </w:r>
            <w:r w:rsidRPr="00D167BB">
              <w:t>chools. I mean, turnover is constant.</w:t>
            </w:r>
            <w:r>
              <w:t xml:space="preserve"> (UT)</w:t>
            </w:r>
          </w:p>
        </w:tc>
      </w:tr>
      <w:tr w:rsidR="00E106D8" w:rsidRPr="00D0758C" w14:paraId="7B6C7C4F" w14:textId="77777777" w:rsidTr="00E41FCF">
        <w:trPr>
          <w:trHeight w:val="62"/>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1AA37CE0" w14:textId="77777777" w:rsidR="00E106D8" w:rsidRDefault="00E106D8" w:rsidP="002F15D2">
            <w:pPr>
              <w:rPr>
                <w:rFonts w:ascii="Calibri" w:hAnsi="Calibri" w:cs="Calibri"/>
                <w:color w:val="000000"/>
              </w:rPr>
            </w:pPr>
          </w:p>
        </w:tc>
        <w:tc>
          <w:tcPr>
            <w:tcW w:w="7020" w:type="dxa"/>
          </w:tcPr>
          <w:p w14:paraId="0CFA5A72" w14:textId="44D0517A" w:rsidR="00E106D8" w:rsidRPr="00D167BB" w:rsidRDefault="00652D66" w:rsidP="002F15D2">
            <w:pPr>
              <w:cnfStyle w:val="000000000000" w:firstRow="0" w:lastRow="0" w:firstColumn="0" w:lastColumn="0" w:oddVBand="0" w:evenVBand="0" w:oddHBand="0" w:evenHBand="0" w:firstRowFirstColumn="0" w:firstRowLastColumn="0" w:lastRowFirstColumn="0" w:lastRowLastColumn="0"/>
            </w:pPr>
            <w:r>
              <w:t>TVIs</w:t>
            </w:r>
            <w:r w:rsidR="00E106D8">
              <w:t xml:space="preserve"> also tend to fluctuate quite a bit</w:t>
            </w:r>
            <w:r>
              <w:t xml:space="preserve">, </w:t>
            </w:r>
            <w:r w:rsidR="0067405C">
              <w:t>so,</w:t>
            </w:r>
            <w:r w:rsidR="00E106D8">
              <w:t xml:space="preserve"> when they change a TVI, we don't know them. </w:t>
            </w:r>
            <w:r>
              <w:t>So,</w:t>
            </w:r>
            <w:r w:rsidR="00E106D8">
              <w:t xml:space="preserve"> sometimes you could be sending an accessible format to the wrong place because the contact has changed. And that's a hindrance, obviously</w:t>
            </w:r>
            <w:r>
              <w:t>. B</w:t>
            </w:r>
            <w:r w:rsidR="00E106D8">
              <w:t xml:space="preserve">ut it sort of breaks my heart when that happens. We put a lot of </w:t>
            </w:r>
            <w:r w:rsidR="00E106D8">
              <w:lastRenderedPageBreak/>
              <w:t>work into producing the accessible format</w:t>
            </w:r>
            <w:r>
              <w:t>,</w:t>
            </w:r>
            <w:r w:rsidR="00E106D8">
              <w:t xml:space="preserve"> and then it comes back unused because it was left somewhere. (UT)</w:t>
            </w:r>
          </w:p>
        </w:tc>
      </w:tr>
      <w:tr w:rsidR="00E106D8" w:rsidRPr="00D0758C" w14:paraId="56B6B5C5" w14:textId="77777777" w:rsidTr="00C74310">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6DF7391B" w14:textId="77777777" w:rsidR="00E106D8" w:rsidRDefault="00E106D8" w:rsidP="002F15D2">
            <w:pPr>
              <w:rPr>
                <w:rFonts w:ascii="Calibri" w:hAnsi="Calibri" w:cs="Calibri"/>
                <w:color w:val="000000"/>
              </w:rPr>
            </w:pPr>
          </w:p>
        </w:tc>
        <w:tc>
          <w:tcPr>
            <w:tcW w:w="7020" w:type="dxa"/>
            <w:shd w:val="clear" w:color="auto" w:fill="D9E2F3"/>
          </w:tcPr>
          <w:p w14:paraId="4056A2F7" w14:textId="06CC04C3" w:rsidR="00E106D8" w:rsidRPr="00D167BB" w:rsidRDefault="00E106D8" w:rsidP="002F15D2">
            <w:pPr>
              <w:cnfStyle w:val="000000100000" w:firstRow="0" w:lastRow="0" w:firstColumn="0" w:lastColumn="0" w:oddVBand="0" w:evenVBand="0" w:oddHBand="1" w:evenHBand="0" w:firstRowFirstColumn="0" w:firstRowLastColumn="0" w:lastRowFirstColumn="0" w:lastRowLastColumn="0"/>
            </w:pPr>
            <w:r w:rsidRPr="00D167BB">
              <w:t>We're still noticing a huge turnover and still don't have as many certified teachers with the visually impaired that we had before the pandemic. And I don't know where those people went.</w:t>
            </w:r>
            <w:r>
              <w:t xml:space="preserve"> (MA)</w:t>
            </w:r>
          </w:p>
        </w:tc>
      </w:tr>
      <w:tr w:rsidR="00E106D8" w:rsidRPr="00D0758C" w14:paraId="4CD5B024" w14:textId="77777777" w:rsidTr="00E41FCF">
        <w:trPr>
          <w:trHeight w:val="62"/>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0C82759E" w14:textId="77777777" w:rsidR="00E106D8" w:rsidRDefault="00E106D8" w:rsidP="002F15D2">
            <w:pPr>
              <w:rPr>
                <w:rFonts w:ascii="Calibri" w:hAnsi="Calibri" w:cs="Calibri"/>
                <w:color w:val="000000"/>
              </w:rPr>
            </w:pPr>
          </w:p>
        </w:tc>
        <w:tc>
          <w:tcPr>
            <w:tcW w:w="7020" w:type="dxa"/>
          </w:tcPr>
          <w:p w14:paraId="03E6EB18" w14:textId="403B72CC" w:rsidR="00E106D8" w:rsidRPr="00D167BB" w:rsidRDefault="00E106D8" w:rsidP="002F15D2">
            <w:pPr>
              <w:cnfStyle w:val="000000000000" w:firstRow="0" w:lastRow="0" w:firstColumn="0" w:lastColumn="0" w:oddVBand="0" w:evenVBand="0" w:oddHBand="0" w:evenHBand="0" w:firstRowFirstColumn="0" w:firstRowLastColumn="0" w:lastRowFirstColumn="0" w:lastRowLastColumn="0"/>
            </w:pPr>
            <w:r w:rsidRPr="00B5018B">
              <w:t>At our school we are experiencing high turnover and difficulty acquiring necessary equipment for producing materials.</w:t>
            </w:r>
            <w:r>
              <w:t xml:space="preserve"> </w:t>
            </w:r>
            <w:r w:rsidR="00652D66">
              <w:t>T</w:t>
            </w:r>
            <w:r w:rsidRPr="00B5018B">
              <w:t xml:space="preserve">he school </w:t>
            </w:r>
            <w:proofErr w:type="gramStart"/>
            <w:r w:rsidRPr="00B5018B">
              <w:t>went</w:t>
            </w:r>
            <w:proofErr w:type="gramEnd"/>
            <w:r w:rsidRPr="00B5018B">
              <w:t xml:space="preserve"> two years between braille transcribers.</w:t>
            </w:r>
            <w:r>
              <w:t xml:space="preserve"> </w:t>
            </w:r>
            <w:r w:rsidRPr="00B5018B">
              <w:t>It will happen again if hiring practices are not changed.</w:t>
            </w:r>
            <w:r>
              <w:t xml:space="preserve"> (NC)</w:t>
            </w:r>
          </w:p>
        </w:tc>
      </w:tr>
      <w:tr w:rsidR="00E106D8" w:rsidRPr="00D0758C" w14:paraId="056B1F40" w14:textId="77777777" w:rsidTr="00C74310">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0BA06A11" w14:textId="5494E7F5" w:rsidR="00E106D8" w:rsidRDefault="00E106D8" w:rsidP="002F15D2">
            <w:pPr>
              <w:rPr>
                <w:rFonts w:ascii="Calibri" w:hAnsi="Calibri" w:cs="Calibri"/>
                <w:b w:val="0"/>
                <w:bCs w:val="0"/>
                <w:color w:val="000000"/>
              </w:rPr>
            </w:pPr>
            <w:r>
              <w:rPr>
                <w:rFonts w:ascii="Calibri" w:hAnsi="Calibri" w:cs="Calibri"/>
                <w:color w:val="000000"/>
              </w:rPr>
              <w:t>Lack of accountability mechanisms to promote timely delivery (20)</w:t>
            </w:r>
          </w:p>
          <w:p w14:paraId="03C0C2E8" w14:textId="252D0FD3" w:rsidR="00E106D8" w:rsidRDefault="00E106D8" w:rsidP="002F15D2">
            <w:pPr>
              <w:rPr>
                <w:rFonts w:ascii="Calibri" w:hAnsi="Calibri" w:cs="Calibri"/>
                <w:color w:val="000000"/>
              </w:rPr>
            </w:pPr>
          </w:p>
        </w:tc>
        <w:tc>
          <w:tcPr>
            <w:tcW w:w="7020" w:type="dxa"/>
            <w:shd w:val="clear" w:color="auto" w:fill="D9E2F3"/>
          </w:tcPr>
          <w:p w14:paraId="1501E998" w14:textId="042A3CE3" w:rsidR="00E106D8" w:rsidRDefault="007B483F" w:rsidP="002F15D2">
            <w:pPr>
              <w:cnfStyle w:val="000000100000" w:firstRow="0" w:lastRow="0" w:firstColumn="0" w:lastColumn="0" w:oddVBand="0" w:evenVBand="0" w:oddHBand="1" w:evenHBand="0" w:firstRowFirstColumn="0" w:firstRowLastColumn="0" w:lastRowFirstColumn="0" w:lastRowLastColumn="0"/>
            </w:pPr>
            <w:r>
              <w:t>T</w:t>
            </w:r>
            <w:r w:rsidR="00E106D8" w:rsidRPr="008D1BBB">
              <w:t>here's a system in Ohio</w:t>
            </w:r>
            <w:r w:rsidR="00E106D8">
              <w:t xml:space="preserve"> </w:t>
            </w:r>
            <w:r>
              <w:t xml:space="preserve">where </w:t>
            </w:r>
            <w:r w:rsidR="00E106D8" w:rsidRPr="008D1BBB">
              <w:t xml:space="preserve">you cannot score well on </w:t>
            </w:r>
            <w:r>
              <w:t xml:space="preserve">evaluations </w:t>
            </w:r>
            <w:r w:rsidR="00E106D8" w:rsidRPr="008D1BBB">
              <w:t>if you don't do th</w:t>
            </w:r>
            <w:r>
              <w:t>e</w:t>
            </w:r>
            <w:r w:rsidR="00E106D8" w:rsidRPr="008D1BBB">
              <w:t xml:space="preserve"> work of providing </w:t>
            </w:r>
            <w:r w:rsidR="00E106D8">
              <w:t xml:space="preserve">accessible </w:t>
            </w:r>
            <w:r w:rsidR="00E106D8" w:rsidRPr="008D1BBB">
              <w:t xml:space="preserve">materials. </w:t>
            </w:r>
            <w:r>
              <w:t>I</w:t>
            </w:r>
            <w:r w:rsidR="00E106D8" w:rsidRPr="008D1BBB">
              <w:t xml:space="preserve">t's a small accountability piece. But if the person who is administering that assessment for the teacher or the principal doesn't know </w:t>
            </w:r>
            <w:r>
              <w:t>the system</w:t>
            </w:r>
            <w:r w:rsidR="00E106D8" w:rsidRPr="008D1BBB">
              <w:t>, they may be okay check</w:t>
            </w:r>
            <w:r>
              <w:t>ing</w:t>
            </w:r>
            <w:r w:rsidR="00E106D8" w:rsidRPr="008D1BBB">
              <w:t xml:space="preserve"> that piece off.</w:t>
            </w:r>
            <w:r w:rsidR="00E106D8">
              <w:t xml:space="preserve"> (OH)</w:t>
            </w:r>
          </w:p>
        </w:tc>
      </w:tr>
      <w:tr w:rsidR="00E106D8" w:rsidRPr="00D0758C" w14:paraId="372B421E" w14:textId="77777777" w:rsidTr="00E41FCF">
        <w:trPr>
          <w:trHeight w:val="62"/>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545CDFFD" w14:textId="77777777" w:rsidR="00E106D8" w:rsidRDefault="00E106D8" w:rsidP="002F15D2">
            <w:pPr>
              <w:rPr>
                <w:rFonts w:ascii="Calibri" w:hAnsi="Calibri" w:cs="Calibri"/>
                <w:color w:val="000000"/>
              </w:rPr>
            </w:pPr>
          </w:p>
        </w:tc>
        <w:tc>
          <w:tcPr>
            <w:tcW w:w="7020" w:type="dxa"/>
          </w:tcPr>
          <w:p w14:paraId="0A09DB35" w14:textId="62CEFF22" w:rsidR="00E106D8" w:rsidRDefault="00E106D8" w:rsidP="002F15D2">
            <w:pPr>
              <w:cnfStyle w:val="000000000000" w:firstRow="0" w:lastRow="0" w:firstColumn="0" w:lastColumn="0" w:oddVBand="0" w:evenVBand="0" w:oddHBand="0" w:evenHBand="0" w:firstRowFirstColumn="0" w:firstRowLastColumn="0" w:lastRowFirstColumn="0" w:lastRowLastColumn="0"/>
            </w:pPr>
            <w:r w:rsidRPr="00DB2237">
              <w:t>Once access is deferred to the state/local level</w:t>
            </w:r>
            <w:r w:rsidR="007B483F">
              <w:t>,</w:t>
            </w:r>
            <w:r w:rsidRPr="00DB2237">
              <w:t xml:space="preserve"> it leaves too much to chance. Do the locals have the tools, knowledge, </w:t>
            </w:r>
            <w:r>
              <w:t xml:space="preserve">and </w:t>
            </w:r>
            <w:r w:rsidRPr="00DB2237">
              <w:t>urgency needed to produce accessible formats? Who provides oversight/quality control?</w:t>
            </w:r>
            <w:r>
              <w:t xml:space="preserve"> (OH)</w:t>
            </w:r>
          </w:p>
        </w:tc>
      </w:tr>
      <w:tr w:rsidR="00E106D8" w:rsidRPr="00D0758C" w14:paraId="1B24698B" w14:textId="77777777" w:rsidTr="00C74310">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0ACC7D30" w14:textId="77777777" w:rsidR="00E106D8" w:rsidRDefault="00E106D8" w:rsidP="002F15D2">
            <w:pPr>
              <w:rPr>
                <w:rFonts w:ascii="Calibri" w:hAnsi="Calibri" w:cs="Calibri"/>
                <w:color w:val="000000"/>
              </w:rPr>
            </w:pPr>
          </w:p>
        </w:tc>
        <w:tc>
          <w:tcPr>
            <w:tcW w:w="7020" w:type="dxa"/>
            <w:shd w:val="clear" w:color="auto" w:fill="D9E2F3"/>
          </w:tcPr>
          <w:p w14:paraId="61EB4E36" w14:textId="1BEC9590" w:rsidR="00E106D8" w:rsidRDefault="00E106D8" w:rsidP="002F15D2">
            <w:pPr>
              <w:cnfStyle w:val="000000100000" w:firstRow="0" w:lastRow="0" w:firstColumn="0" w:lastColumn="0" w:oddVBand="0" w:evenVBand="0" w:oddHBand="1" w:evenHBand="0" w:firstRowFirstColumn="0" w:firstRowLastColumn="0" w:lastRowFirstColumn="0" w:lastRowLastColumn="0"/>
            </w:pPr>
            <w:r>
              <w:t>I</w:t>
            </w:r>
            <w:r w:rsidRPr="00DB2237">
              <w:t xml:space="preserve">n standards and instructional support for our </w:t>
            </w:r>
            <w:r>
              <w:t>Instructional Materials</w:t>
            </w:r>
            <w:r w:rsidR="007B483F">
              <w:t xml:space="preserve"> </w:t>
            </w:r>
            <w:r w:rsidRPr="00DB2237">
              <w:t>program, th</w:t>
            </w:r>
            <w:r w:rsidR="007B483F">
              <w:t xml:space="preserve">e </w:t>
            </w:r>
            <w:r>
              <w:t xml:space="preserve">NIMAS requirement </w:t>
            </w:r>
            <w:r w:rsidRPr="00DB2237">
              <w:t>language is already included. So, the support that's really needed is on the enforcement side, and we only know if there's noncompliance if it's reported to us by a district. So that is hard. We don't have anybody checking the assurances.</w:t>
            </w:r>
            <w:r>
              <w:t xml:space="preserve"> (OR)</w:t>
            </w:r>
          </w:p>
        </w:tc>
      </w:tr>
      <w:tr w:rsidR="00E106D8" w:rsidRPr="00D0758C" w14:paraId="5AA09918" w14:textId="77777777" w:rsidTr="00E41FCF">
        <w:trPr>
          <w:trHeight w:val="62"/>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22AB3FC3" w14:textId="77777777" w:rsidR="00E106D8" w:rsidRDefault="00E106D8" w:rsidP="002F15D2">
            <w:pPr>
              <w:rPr>
                <w:rFonts w:ascii="Calibri" w:hAnsi="Calibri" w:cs="Calibri"/>
                <w:color w:val="000000"/>
              </w:rPr>
            </w:pPr>
          </w:p>
        </w:tc>
        <w:tc>
          <w:tcPr>
            <w:tcW w:w="7020" w:type="dxa"/>
          </w:tcPr>
          <w:p w14:paraId="1EB9D802" w14:textId="285EB532" w:rsidR="00E106D8" w:rsidRDefault="00E106D8" w:rsidP="002F15D2">
            <w:pPr>
              <w:cnfStyle w:val="000000000000" w:firstRow="0" w:lastRow="0" w:firstColumn="0" w:lastColumn="0" w:oddVBand="0" w:evenVBand="0" w:oddHBand="0" w:evenHBand="0" w:firstRowFirstColumn="0" w:firstRowLastColumn="0" w:lastRowFirstColumn="0" w:lastRowLastColumn="0"/>
            </w:pPr>
            <w:r w:rsidRPr="003844BC">
              <w:t>NIMAS requirements/timelines and adoption timelines are included but there's no follow-through to check if the publishers complied</w:t>
            </w:r>
            <w:r>
              <w:t>. (MD)</w:t>
            </w:r>
          </w:p>
        </w:tc>
      </w:tr>
      <w:tr w:rsidR="00E106D8" w:rsidRPr="00D0758C" w14:paraId="05ABDD40" w14:textId="77777777" w:rsidTr="00C74310">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05F408F0" w14:textId="1D7C6239" w:rsidR="00E106D8" w:rsidRDefault="00E106D8" w:rsidP="002F15D2">
            <w:pPr>
              <w:rPr>
                <w:rFonts w:ascii="Calibri" w:hAnsi="Calibri" w:cs="Calibri"/>
                <w:color w:val="000000"/>
              </w:rPr>
            </w:pPr>
            <w:r>
              <w:rPr>
                <w:rFonts w:ascii="Calibri" w:hAnsi="Calibri" w:cs="Calibri"/>
                <w:color w:val="000000"/>
              </w:rPr>
              <w:t xml:space="preserve">Teachers use different curricula without sufficient communication/lead </w:t>
            </w:r>
            <w:r>
              <w:rPr>
                <w:rFonts w:ascii="Calibri" w:hAnsi="Calibri" w:cs="Calibri"/>
                <w:color w:val="000000"/>
              </w:rPr>
              <w:br/>
              <w:t>time for production (19)</w:t>
            </w:r>
          </w:p>
        </w:tc>
        <w:tc>
          <w:tcPr>
            <w:tcW w:w="7020" w:type="dxa"/>
            <w:shd w:val="clear" w:color="auto" w:fill="D9E2F3"/>
          </w:tcPr>
          <w:p w14:paraId="7E07A0AC" w14:textId="089C0D36" w:rsidR="00E106D8" w:rsidRDefault="00E106D8" w:rsidP="002F15D2">
            <w:pPr>
              <w:cnfStyle w:val="000000100000" w:firstRow="0" w:lastRow="0" w:firstColumn="0" w:lastColumn="0" w:oddVBand="0" w:evenVBand="0" w:oddHBand="1" w:evenHBand="0" w:firstRowFirstColumn="0" w:firstRowLastColumn="0" w:lastRowFirstColumn="0" w:lastRowLastColumn="0"/>
            </w:pPr>
            <w:r w:rsidRPr="003844BC">
              <w:t xml:space="preserve">Unexpected classroom plans are a big </w:t>
            </w:r>
            <w:r>
              <w:t>challenge. T</w:t>
            </w:r>
            <w:r w:rsidRPr="003844BC">
              <w:t xml:space="preserve">eachers rightly may change their lesson plans as they prep the weekend before. I believe if a </w:t>
            </w:r>
            <w:r>
              <w:t>G</w:t>
            </w:r>
            <w:r w:rsidRPr="003844BC">
              <w:t xml:space="preserve">eneral </w:t>
            </w:r>
            <w:r>
              <w:t>E</w:t>
            </w:r>
            <w:r w:rsidRPr="003844BC">
              <w:t>d teacher has a B/VI student, they should have basic awareness of how to make last minute materials accessible.</w:t>
            </w:r>
            <w:r>
              <w:t xml:space="preserve"> (OH)</w:t>
            </w:r>
          </w:p>
        </w:tc>
      </w:tr>
      <w:tr w:rsidR="00E106D8" w:rsidRPr="00D0758C" w14:paraId="1F61A3E5" w14:textId="77777777" w:rsidTr="00E41FCF">
        <w:trPr>
          <w:trHeight w:val="62"/>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154DBF8D" w14:textId="77777777" w:rsidR="00E106D8" w:rsidRDefault="00E106D8" w:rsidP="002F15D2">
            <w:pPr>
              <w:rPr>
                <w:rFonts w:ascii="Calibri" w:hAnsi="Calibri" w:cs="Calibri"/>
                <w:color w:val="000000"/>
              </w:rPr>
            </w:pPr>
          </w:p>
        </w:tc>
        <w:tc>
          <w:tcPr>
            <w:tcW w:w="7020" w:type="dxa"/>
          </w:tcPr>
          <w:p w14:paraId="62BA47CE" w14:textId="00915B0A" w:rsidR="00E106D8" w:rsidRDefault="00E106D8" w:rsidP="002F15D2">
            <w:pPr>
              <w:cnfStyle w:val="000000000000" w:firstRow="0" w:lastRow="0" w:firstColumn="0" w:lastColumn="0" w:oddVBand="0" w:evenVBand="0" w:oddHBand="0" w:evenHBand="0" w:firstRowFirstColumn="0" w:firstRowLastColumn="0" w:lastRowFirstColumn="0" w:lastRowLastColumn="0"/>
            </w:pPr>
            <w:r>
              <w:t>W</w:t>
            </w:r>
            <w:r w:rsidRPr="003844BC">
              <w:t>hen we ask for braille to be produced, we ask for an explicit timeline from teachers</w:t>
            </w:r>
            <w:r w:rsidR="004C33DC">
              <w:t xml:space="preserve">: </w:t>
            </w:r>
            <w:r w:rsidRPr="003844BC">
              <w:t>When does this need to be physically in that kid's hand so that we know we can mail it out the week before</w:t>
            </w:r>
            <w:r>
              <w:t>?</w:t>
            </w:r>
            <w:r w:rsidR="004C33DC">
              <w:t xml:space="preserve"> S</w:t>
            </w:r>
            <w:r w:rsidRPr="003844BC">
              <w:t>ometimes there's a big disconnect between what's happening in the classroom and what the TSVI gave us because they start speeding up or they slow down because state testing happened and then</w:t>
            </w:r>
            <w:r w:rsidR="004C33DC">
              <w:t>,</w:t>
            </w:r>
            <w:r w:rsidRPr="003844BC">
              <w:t xml:space="preserve"> all of a sudden</w:t>
            </w:r>
            <w:r w:rsidR="004C33DC">
              <w:t>,</w:t>
            </w:r>
            <w:r w:rsidRPr="003844BC">
              <w:t xml:space="preserve"> they haven't touched the book in three weeks</w:t>
            </w:r>
            <w:r>
              <w:t>.</w:t>
            </w:r>
            <w:r w:rsidRPr="003844BC">
              <w:t xml:space="preserve"> And then we're way off schedule</w:t>
            </w:r>
            <w:r w:rsidR="004C33DC">
              <w:t>,</w:t>
            </w:r>
            <w:r w:rsidRPr="003844BC">
              <w:t xml:space="preserve"> and we don't know until that TSVI has time to pop back into the room a month later</w:t>
            </w:r>
            <w:r w:rsidR="004C33DC">
              <w:t>, asking why no one told them t</w:t>
            </w:r>
            <w:r w:rsidRPr="003844BC">
              <w:t xml:space="preserve">hat </w:t>
            </w:r>
            <w:r w:rsidR="004C33DC">
              <w:t xml:space="preserve">their </w:t>
            </w:r>
            <w:r w:rsidRPr="003844BC">
              <w:t>kid hasn't been keeping up with everyone</w:t>
            </w:r>
            <w:r w:rsidR="004C33DC">
              <w:t>.</w:t>
            </w:r>
            <w:r w:rsidRPr="003844BC">
              <w:t xml:space="preserve"> </w:t>
            </w:r>
            <w:r w:rsidR="004C33DC">
              <w:t>Th</w:t>
            </w:r>
            <w:r w:rsidRPr="003844BC">
              <w:t xml:space="preserve">at's a big </w:t>
            </w:r>
            <w:proofErr w:type="gramStart"/>
            <w:r w:rsidRPr="003844BC">
              <w:t>thing</w:t>
            </w:r>
            <w:r w:rsidR="004C33DC">
              <w:t>—</w:t>
            </w:r>
            <w:proofErr w:type="gramEnd"/>
            <w:r w:rsidR="004C33DC">
              <w:t xml:space="preserve">the </w:t>
            </w:r>
            <w:r w:rsidRPr="003844BC">
              <w:t>timeline and teachers going off the cuff or going way quicker than they anticipated and then not letting us know.</w:t>
            </w:r>
            <w:r>
              <w:t xml:space="preserve"> (OR)</w:t>
            </w:r>
          </w:p>
        </w:tc>
      </w:tr>
      <w:tr w:rsidR="00E106D8" w:rsidRPr="00D0758C" w14:paraId="7DF6B3D2" w14:textId="77777777" w:rsidTr="00C74310">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4FB9AD3E" w14:textId="77777777" w:rsidR="00E106D8" w:rsidRDefault="00E106D8" w:rsidP="002F15D2">
            <w:pPr>
              <w:rPr>
                <w:rFonts w:ascii="Calibri" w:hAnsi="Calibri" w:cs="Calibri"/>
                <w:color w:val="000000"/>
              </w:rPr>
            </w:pPr>
          </w:p>
        </w:tc>
        <w:tc>
          <w:tcPr>
            <w:tcW w:w="7020" w:type="dxa"/>
            <w:shd w:val="clear" w:color="auto" w:fill="D9E2F3"/>
          </w:tcPr>
          <w:p w14:paraId="21380A7A" w14:textId="7301347A" w:rsidR="00E106D8" w:rsidRDefault="00E106D8" w:rsidP="002F15D2">
            <w:pPr>
              <w:cnfStyle w:val="000000100000" w:firstRow="0" w:lastRow="0" w:firstColumn="0" w:lastColumn="0" w:oddVBand="0" w:evenVBand="0" w:oddHBand="1" w:evenHBand="0" w:firstRowFirstColumn="0" w:firstRowLastColumn="0" w:lastRowFirstColumn="0" w:lastRowLastColumn="0"/>
            </w:pPr>
            <w:r>
              <w:t>G</w:t>
            </w:r>
            <w:r w:rsidRPr="003844BC">
              <w:t xml:space="preserve">eneral </w:t>
            </w:r>
            <w:r>
              <w:t>E</w:t>
            </w:r>
            <w:r w:rsidRPr="003844BC">
              <w:t>ducation teachers often decide last-minute to do worksheets or give presentations without giving adequate notice to the TVI, so there is no time to braille these activities for the student.</w:t>
            </w:r>
            <w:r>
              <w:t xml:space="preserve"> (UT)</w:t>
            </w:r>
          </w:p>
        </w:tc>
      </w:tr>
      <w:tr w:rsidR="00E106D8" w:rsidRPr="00D0758C" w14:paraId="36ED1B40" w14:textId="77777777" w:rsidTr="00E41FCF">
        <w:trPr>
          <w:trHeight w:val="62"/>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600DCC45" w14:textId="77777777" w:rsidR="00E106D8" w:rsidRDefault="00E106D8" w:rsidP="002F15D2">
            <w:pPr>
              <w:rPr>
                <w:rFonts w:ascii="Calibri" w:hAnsi="Calibri" w:cs="Calibri"/>
                <w:color w:val="000000"/>
              </w:rPr>
            </w:pPr>
          </w:p>
        </w:tc>
        <w:tc>
          <w:tcPr>
            <w:tcW w:w="7020" w:type="dxa"/>
          </w:tcPr>
          <w:p w14:paraId="0C626C9B" w14:textId="1047319F" w:rsidR="00E106D8" w:rsidRDefault="00E106D8" w:rsidP="002F15D2">
            <w:pPr>
              <w:cnfStyle w:val="000000000000" w:firstRow="0" w:lastRow="0" w:firstColumn="0" w:lastColumn="0" w:oddVBand="0" w:evenVBand="0" w:oddHBand="0" w:evenHBand="0" w:firstRowFirstColumn="0" w:firstRowLastColumn="0" w:lastRowFirstColumn="0" w:lastRowLastColumn="0"/>
            </w:pPr>
            <w:r w:rsidRPr="003844BC">
              <w:t>My personal experience is getting materials late or not at all, changing curriculum at the last minute, not knowing over the summer what the curriculum in the fall will be</w:t>
            </w:r>
            <w:r>
              <w:t>,</w:t>
            </w:r>
            <w:r w:rsidRPr="003844BC">
              <w:t xml:space="preserve"> and teachers changing or altering instructional materials on the fly.</w:t>
            </w:r>
            <w:r>
              <w:t xml:space="preserve"> (DE)</w:t>
            </w:r>
          </w:p>
        </w:tc>
      </w:tr>
      <w:tr w:rsidR="00E106D8" w:rsidRPr="00D0758C" w14:paraId="73BA8C3C" w14:textId="77777777" w:rsidTr="00C74310">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0E4A4D31" w14:textId="77777777" w:rsidR="00E106D8" w:rsidRDefault="00E106D8" w:rsidP="002F15D2">
            <w:pPr>
              <w:rPr>
                <w:rFonts w:ascii="Calibri" w:hAnsi="Calibri" w:cs="Calibri"/>
                <w:color w:val="000000"/>
              </w:rPr>
            </w:pPr>
          </w:p>
        </w:tc>
        <w:tc>
          <w:tcPr>
            <w:tcW w:w="7020" w:type="dxa"/>
            <w:shd w:val="clear" w:color="auto" w:fill="D9E2F3"/>
          </w:tcPr>
          <w:p w14:paraId="53801536" w14:textId="5C9DEE23" w:rsidR="00E106D8" w:rsidRDefault="00E106D8" w:rsidP="002F15D2">
            <w:pPr>
              <w:cnfStyle w:val="000000100000" w:firstRow="0" w:lastRow="0" w:firstColumn="0" w:lastColumn="0" w:oddVBand="0" w:evenVBand="0" w:oddHBand="1" w:evenHBand="0" w:firstRowFirstColumn="0" w:firstRowLastColumn="0" w:lastRowFirstColumn="0" w:lastRowLastColumn="0"/>
            </w:pPr>
            <w:r>
              <w:t>W</w:t>
            </w:r>
            <w:r w:rsidRPr="00B50654">
              <w:t>orking in public schools with constantly changing plans and curriculums makes it hard to obtain materials in advance enough to produce materials in a timely manner</w:t>
            </w:r>
            <w:r>
              <w:t>. (VA)</w:t>
            </w:r>
          </w:p>
        </w:tc>
      </w:tr>
      <w:tr w:rsidR="00E106D8" w:rsidRPr="00D0758C" w14:paraId="3AD88F0C" w14:textId="77777777" w:rsidTr="00EC7554">
        <w:trPr>
          <w:trHeight w:val="1142"/>
        </w:trPr>
        <w:tc>
          <w:tcPr>
            <w:cnfStyle w:val="001000000000" w:firstRow="0" w:lastRow="0" w:firstColumn="1" w:lastColumn="0" w:oddVBand="0" w:evenVBand="0" w:oddHBand="0" w:evenHBand="0" w:firstRowFirstColumn="0" w:firstRowLastColumn="0" w:lastRowFirstColumn="0" w:lastRowLastColumn="0"/>
            <w:tcW w:w="2335" w:type="dxa"/>
          </w:tcPr>
          <w:p w14:paraId="70892D61" w14:textId="514D13AB" w:rsidR="00E106D8" w:rsidRDefault="00E106D8" w:rsidP="004D7EE9">
            <w:pPr>
              <w:rPr>
                <w:rFonts w:ascii="Calibri" w:hAnsi="Calibri" w:cs="Calibri"/>
                <w:color w:val="000000"/>
              </w:rPr>
            </w:pPr>
            <w:r>
              <w:rPr>
                <w:rFonts w:ascii="Calibri" w:hAnsi="Calibri" w:cs="Calibri"/>
                <w:color w:val="000000"/>
              </w:rPr>
              <w:t>Open territory policies that often lead to rotating requests (10)</w:t>
            </w:r>
          </w:p>
        </w:tc>
        <w:tc>
          <w:tcPr>
            <w:tcW w:w="7020" w:type="dxa"/>
          </w:tcPr>
          <w:p w14:paraId="599EC42B" w14:textId="585FE6AA" w:rsidR="00E106D8" w:rsidRDefault="004D7EE9" w:rsidP="002F15D2">
            <w:pPr>
              <w:cnfStyle w:val="000000000000" w:firstRow="0" w:lastRow="0" w:firstColumn="0" w:lastColumn="0" w:oddVBand="0" w:evenVBand="0" w:oddHBand="0" w:evenHBand="0" w:firstRowFirstColumn="0" w:firstRowLastColumn="0" w:lastRowFirstColumn="0" w:lastRowLastColumn="0"/>
            </w:pPr>
            <w:r>
              <w:t>O</w:t>
            </w:r>
            <w:r w:rsidR="00E106D8" w:rsidRPr="00AD6D8A">
              <w:t xml:space="preserve">ur state is a local control state, and sometimes because every district has a different process for how </w:t>
            </w:r>
            <w:r>
              <w:t>to</w:t>
            </w:r>
            <w:r w:rsidR="00E106D8" w:rsidRPr="00AD6D8A">
              <w:t xml:space="preserve"> get materials, it can mean a student in district A might get things on time and a student in District B may not. So</w:t>
            </w:r>
            <w:r w:rsidR="005C55DB">
              <w:t>,</w:t>
            </w:r>
            <w:r w:rsidR="00E106D8" w:rsidRPr="00AD6D8A">
              <w:t xml:space="preserve"> sometimes not having a consistent statewide process could interfere.</w:t>
            </w:r>
            <w:r w:rsidR="00E106D8">
              <w:t xml:space="preserve"> (OH)</w:t>
            </w:r>
          </w:p>
        </w:tc>
      </w:tr>
      <w:tr w:rsidR="00E106D8" w:rsidRPr="00D0758C" w14:paraId="579C5810" w14:textId="77777777" w:rsidTr="00C74310">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385783AF" w14:textId="77777777" w:rsidR="00E106D8" w:rsidRDefault="00E106D8" w:rsidP="002F15D2">
            <w:pPr>
              <w:rPr>
                <w:rFonts w:ascii="Calibri" w:hAnsi="Calibri" w:cs="Calibri"/>
                <w:color w:val="000000"/>
              </w:rPr>
            </w:pPr>
          </w:p>
        </w:tc>
        <w:tc>
          <w:tcPr>
            <w:tcW w:w="7020" w:type="dxa"/>
            <w:shd w:val="clear" w:color="auto" w:fill="D9E2F3"/>
          </w:tcPr>
          <w:p w14:paraId="106396C9" w14:textId="54CBEA94" w:rsidR="00E106D8" w:rsidRDefault="00E106D8" w:rsidP="002F15D2">
            <w:pPr>
              <w:cnfStyle w:val="000000100000" w:firstRow="0" w:lastRow="0" w:firstColumn="0" w:lastColumn="0" w:oddVBand="0" w:evenVBand="0" w:oddHBand="1" w:evenHBand="0" w:firstRowFirstColumn="0" w:firstRowLastColumn="0" w:lastRowFirstColumn="0" w:lastRowLastColumn="0"/>
            </w:pPr>
            <w:r>
              <w:t>I</w:t>
            </w:r>
            <w:r w:rsidRPr="00AD6D8A">
              <w:t>n Oregon</w:t>
            </w:r>
            <w:r>
              <w:t>,</w:t>
            </w:r>
            <w:r w:rsidRPr="00AD6D8A">
              <w:t xml:space="preserve"> we vet a list of state approved curricul</w:t>
            </w:r>
            <w:r>
              <w:t>a</w:t>
            </w:r>
            <w:r w:rsidRPr="00AD6D8A">
              <w:t xml:space="preserve">, but there's no rule that any district has to accept </w:t>
            </w:r>
            <w:r w:rsidR="004D7EE9">
              <w:t>it</w:t>
            </w:r>
            <w:r w:rsidRPr="00AD6D8A">
              <w:t>. They can go off</w:t>
            </w:r>
            <w:r>
              <w:t>-</w:t>
            </w:r>
            <w:r w:rsidRPr="00AD6D8A">
              <w:t>book and choose whatever curricula they want to choose. I just recently ran into an example of that where a parent was asking about accessibility of a health curriculum</w:t>
            </w:r>
            <w:r w:rsidR="004D7EE9">
              <w:t xml:space="preserve">, which </w:t>
            </w:r>
            <w:r w:rsidRPr="00AD6D8A">
              <w:t>wasn't accessible and had some other problems</w:t>
            </w:r>
            <w:r w:rsidR="004D7EE9">
              <w:t xml:space="preserve">. But </w:t>
            </w:r>
            <w:r w:rsidRPr="00AD6D8A">
              <w:t>when I talked to</w:t>
            </w:r>
            <w:r>
              <w:t xml:space="preserve"> a curriculum representative about this</w:t>
            </w:r>
            <w:r w:rsidRPr="00AD6D8A">
              <w:t xml:space="preserve">, she said, </w:t>
            </w:r>
            <w:r>
              <w:t>“W</w:t>
            </w:r>
            <w:r w:rsidRPr="00AD6D8A">
              <w:t>ell, that's not on our list</w:t>
            </w:r>
            <w:r w:rsidR="004D7EE9">
              <w:t xml:space="preserve">. </w:t>
            </w:r>
            <w:r>
              <w:t>W</w:t>
            </w:r>
            <w:r w:rsidRPr="00AD6D8A">
              <w:t>e don't have any control over whether or not the district adopts what's on our list</w:t>
            </w:r>
            <w:r w:rsidR="004D7EE9">
              <w:t>.”</w:t>
            </w:r>
            <w:r>
              <w:t xml:space="preserve"> (OR)</w:t>
            </w:r>
          </w:p>
        </w:tc>
      </w:tr>
      <w:tr w:rsidR="00E106D8" w:rsidRPr="00D0758C" w14:paraId="49DA2421" w14:textId="77777777" w:rsidTr="00E41FCF">
        <w:trPr>
          <w:trHeight w:val="62"/>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44E6AA8F" w14:textId="77777777" w:rsidR="00E106D8" w:rsidRDefault="00E106D8" w:rsidP="002F15D2">
            <w:pPr>
              <w:rPr>
                <w:rFonts w:ascii="Calibri" w:hAnsi="Calibri" w:cs="Calibri"/>
                <w:color w:val="000000"/>
              </w:rPr>
            </w:pPr>
          </w:p>
        </w:tc>
        <w:tc>
          <w:tcPr>
            <w:tcW w:w="7020" w:type="dxa"/>
          </w:tcPr>
          <w:p w14:paraId="602A17A6" w14:textId="0F89D102" w:rsidR="00E106D8" w:rsidRDefault="00E106D8" w:rsidP="002F15D2">
            <w:pPr>
              <w:cnfStyle w:val="000000000000" w:firstRow="0" w:lastRow="0" w:firstColumn="0" w:lastColumn="0" w:oddVBand="0" w:evenVBand="0" w:oddHBand="0" w:evenHBand="0" w:firstRowFirstColumn="0" w:firstRowLastColumn="0" w:lastRowFirstColumn="0" w:lastRowLastColumn="0"/>
            </w:pPr>
            <w:r>
              <w:t>C</w:t>
            </w:r>
            <w:r w:rsidRPr="00BE7953">
              <w:t>urriculum adoption for sure is one</w:t>
            </w:r>
            <w:r>
              <w:t xml:space="preserve"> challenge. W</w:t>
            </w:r>
            <w:r w:rsidRPr="00BE7953">
              <w:t xml:space="preserve">e've had that experience this year where the whole district is supposed to be on a math curriculum, but the one teacher we're working with is not on that math curriculum. So again, </w:t>
            </w:r>
            <w:r w:rsidR="004D7EE9">
              <w:t xml:space="preserve">we have </w:t>
            </w:r>
            <w:r w:rsidRPr="00BE7953">
              <w:t>to go back, get the new curriculum</w:t>
            </w:r>
            <w:r w:rsidR="004D7EE9">
              <w:t>,</w:t>
            </w:r>
            <w:r w:rsidRPr="00BE7953">
              <w:t xml:space="preserve"> and have all the information ready.</w:t>
            </w:r>
            <w:r>
              <w:t xml:space="preserve"> (OR)</w:t>
            </w:r>
          </w:p>
        </w:tc>
      </w:tr>
      <w:tr w:rsidR="00E106D8" w:rsidRPr="00D0758C" w14:paraId="37D2F98C" w14:textId="77777777" w:rsidTr="00C74310">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651235E0" w14:textId="77777777" w:rsidR="00E106D8" w:rsidRDefault="00E106D8" w:rsidP="002F15D2">
            <w:pPr>
              <w:rPr>
                <w:rFonts w:ascii="Calibri" w:hAnsi="Calibri" w:cs="Calibri"/>
                <w:color w:val="000000"/>
              </w:rPr>
            </w:pPr>
          </w:p>
        </w:tc>
        <w:tc>
          <w:tcPr>
            <w:tcW w:w="7020" w:type="dxa"/>
            <w:shd w:val="clear" w:color="auto" w:fill="D9E2F3"/>
          </w:tcPr>
          <w:p w14:paraId="06A9B6B5" w14:textId="333CE00D" w:rsidR="00E106D8" w:rsidRDefault="00E106D8" w:rsidP="002F15D2">
            <w:pPr>
              <w:cnfStyle w:val="000000100000" w:firstRow="0" w:lastRow="0" w:firstColumn="0" w:lastColumn="0" w:oddVBand="0" w:evenVBand="0" w:oddHBand="1" w:evenHBand="0" w:firstRowFirstColumn="0" w:firstRowLastColumn="0" w:lastRowFirstColumn="0" w:lastRowLastColumn="0"/>
            </w:pPr>
            <w:r w:rsidRPr="00AD6D8A">
              <w:t>Our challenge is all the differing curriculums and over 3000 BVI students</w:t>
            </w:r>
            <w:r>
              <w:t>. (MA)</w:t>
            </w:r>
          </w:p>
        </w:tc>
      </w:tr>
      <w:tr w:rsidR="00E106D8" w:rsidRPr="00D0758C" w14:paraId="40AEF9C9" w14:textId="77777777" w:rsidTr="005B11E2">
        <w:trPr>
          <w:trHeight w:val="521"/>
        </w:trPr>
        <w:tc>
          <w:tcPr>
            <w:cnfStyle w:val="001000000000" w:firstRow="0" w:lastRow="0" w:firstColumn="1" w:lastColumn="0" w:oddVBand="0" w:evenVBand="0" w:oddHBand="0" w:evenHBand="0" w:firstRowFirstColumn="0" w:firstRowLastColumn="0" w:lastRowFirstColumn="0" w:lastRowLastColumn="0"/>
            <w:tcW w:w="2335" w:type="dxa"/>
          </w:tcPr>
          <w:p w14:paraId="643F1314" w14:textId="439AC169" w:rsidR="00E106D8" w:rsidRPr="005B11E2" w:rsidRDefault="00E106D8" w:rsidP="002F15D2">
            <w:pPr>
              <w:rPr>
                <w:rFonts w:ascii="Calibri" w:hAnsi="Calibri" w:cs="Calibri"/>
                <w:b w:val="0"/>
                <w:bCs w:val="0"/>
                <w:color w:val="000000"/>
              </w:rPr>
            </w:pPr>
            <w:r>
              <w:rPr>
                <w:rFonts w:ascii="Calibri" w:hAnsi="Calibri" w:cs="Calibri"/>
                <w:color w:val="000000"/>
              </w:rPr>
              <w:t>Curriculum changes at state/district level that are not communicated to schools/teachers (9)</w:t>
            </w:r>
          </w:p>
        </w:tc>
        <w:tc>
          <w:tcPr>
            <w:tcW w:w="7020" w:type="dxa"/>
          </w:tcPr>
          <w:p w14:paraId="62CBD4C8" w14:textId="0C2621FF" w:rsidR="00E106D8" w:rsidRDefault="00E106D8" w:rsidP="002F15D2">
            <w:pPr>
              <w:cnfStyle w:val="000000000000" w:firstRow="0" w:lastRow="0" w:firstColumn="0" w:lastColumn="0" w:oddVBand="0" w:evenVBand="0" w:oddHBand="0" w:evenHBand="0" w:firstRowFirstColumn="0" w:firstRowLastColumn="0" w:lastRowFirstColumn="0" w:lastRowLastColumn="0"/>
            </w:pPr>
            <w:r>
              <w:t>At the district level, I had intervention specialists and classroom teachers that didn't even know their curriculum was changing until pre-service days before school started. So</w:t>
            </w:r>
            <w:r w:rsidR="00CF6095">
              <w:t>,</w:t>
            </w:r>
            <w:r>
              <w:t xml:space="preserve"> in spring I'm reaching out to Bookshare and to all those other sources and making sure my students are ready for the materials that the teachers have indicated, like the textbooks and curriculum materials</w:t>
            </w:r>
            <w:r w:rsidR="00CF6095">
              <w:t>. T</w:t>
            </w:r>
            <w:r>
              <w:t>hen we come back for pre-service meetings</w:t>
            </w:r>
            <w:r w:rsidR="00CF6095">
              <w:t xml:space="preserve">. </w:t>
            </w:r>
            <w:r>
              <w:t>I'm talking with the teacher</w:t>
            </w:r>
            <w:r w:rsidR="00CF6095">
              <w:t>,</w:t>
            </w:r>
            <w:r>
              <w:t xml:space="preserve"> </w:t>
            </w:r>
            <w:r w:rsidR="00CF6095">
              <w:t xml:space="preserve">and </w:t>
            </w:r>
            <w:r>
              <w:t xml:space="preserve">she's </w:t>
            </w:r>
            <w:r w:rsidR="00CF6095">
              <w:t>asks</w:t>
            </w:r>
            <w:r>
              <w:t xml:space="preserve">, </w:t>
            </w:r>
            <w:r w:rsidR="00CF6095">
              <w:t>“D</w:t>
            </w:r>
            <w:r>
              <w:t>id you hear?</w:t>
            </w:r>
            <w:r w:rsidR="00CF6095">
              <w:t>”</w:t>
            </w:r>
            <w:r>
              <w:t xml:space="preserve"> </w:t>
            </w:r>
            <w:r w:rsidR="00CF6095">
              <w:t xml:space="preserve">Now </w:t>
            </w:r>
            <w:r>
              <w:t>it's starting over from scratch</w:t>
            </w:r>
            <w:r w:rsidR="00CF6095">
              <w:t>,</w:t>
            </w:r>
            <w:r>
              <w:t xml:space="preserve"> and I have 48 hours to prepare before the student gets in the room. (OH)</w:t>
            </w:r>
          </w:p>
        </w:tc>
      </w:tr>
      <w:tr w:rsidR="00E106D8" w:rsidRPr="00D0758C" w14:paraId="0205F9C0" w14:textId="77777777" w:rsidTr="00C74310">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086D5D6D" w14:textId="77777777" w:rsidR="00E106D8" w:rsidRDefault="00E106D8" w:rsidP="002F15D2">
            <w:pPr>
              <w:rPr>
                <w:rFonts w:ascii="Calibri" w:hAnsi="Calibri" w:cs="Calibri"/>
                <w:color w:val="000000"/>
              </w:rPr>
            </w:pPr>
          </w:p>
        </w:tc>
        <w:tc>
          <w:tcPr>
            <w:tcW w:w="7020" w:type="dxa"/>
            <w:shd w:val="clear" w:color="auto" w:fill="D9E2F3"/>
          </w:tcPr>
          <w:p w14:paraId="66A5CF13" w14:textId="2949057C" w:rsidR="00E106D8" w:rsidRDefault="00E106D8" w:rsidP="002F15D2">
            <w:pPr>
              <w:cnfStyle w:val="000000100000" w:firstRow="0" w:lastRow="0" w:firstColumn="0" w:lastColumn="0" w:oddVBand="0" w:evenVBand="0" w:oddHBand="1" w:evenHBand="0" w:firstRowFirstColumn="0" w:firstRowLastColumn="0" w:lastRowFirstColumn="0" w:lastRowLastColumn="0"/>
            </w:pPr>
            <w:r w:rsidRPr="00BE7953">
              <w:t>District curriculum and technology staff do not fully understand accessibility for students who are B/VI. Many curriculum decisions are made over the summer and not communicated to the TVI. As an itinerant TVI, I'm not included in district communication regarding curriculum changes (even though I sometimes feel like I'm begging for information).</w:t>
            </w:r>
            <w:r>
              <w:t xml:space="preserve"> (OH)</w:t>
            </w:r>
          </w:p>
        </w:tc>
      </w:tr>
      <w:tr w:rsidR="00E106D8" w:rsidRPr="00D0758C" w14:paraId="37C5F25B" w14:textId="77777777" w:rsidTr="00E41FCF">
        <w:trPr>
          <w:trHeight w:val="62"/>
        </w:trPr>
        <w:tc>
          <w:tcPr>
            <w:cnfStyle w:val="001000000000" w:firstRow="0" w:lastRow="0" w:firstColumn="1" w:lastColumn="0" w:oddVBand="0" w:evenVBand="0" w:oddHBand="0" w:evenHBand="0" w:firstRowFirstColumn="0" w:firstRowLastColumn="0" w:lastRowFirstColumn="0" w:lastRowLastColumn="0"/>
            <w:tcW w:w="2335" w:type="dxa"/>
            <w:vAlign w:val="bottom"/>
          </w:tcPr>
          <w:p w14:paraId="2FF8E574" w14:textId="77777777" w:rsidR="00E106D8" w:rsidRDefault="00E106D8" w:rsidP="002F15D2">
            <w:pPr>
              <w:rPr>
                <w:rFonts w:ascii="Calibri" w:hAnsi="Calibri" w:cs="Calibri"/>
                <w:color w:val="000000"/>
              </w:rPr>
            </w:pPr>
          </w:p>
        </w:tc>
        <w:tc>
          <w:tcPr>
            <w:tcW w:w="7020" w:type="dxa"/>
          </w:tcPr>
          <w:p w14:paraId="7A8768A1" w14:textId="5FD7DCCC" w:rsidR="00E106D8" w:rsidRDefault="00E106D8" w:rsidP="002F15D2">
            <w:pPr>
              <w:cnfStyle w:val="000000000000" w:firstRow="0" w:lastRow="0" w:firstColumn="0" w:lastColumn="0" w:oddVBand="0" w:evenVBand="0" w:oddHBand="0" w:evenHBand="0" w:firstRowFirstColumn="0" w:firstRowLastColumn="0" w:lastRowFirstColumn="0" w:lastRowLastColumn="0"/>
            </w:pPr>
            <w:r w:rsidRPr="00BE7953">
              <w:t>Our district has changed curriculum</w:t>
            </w:r>
            <w:r w:rsidR="00CF6095">
              <w:t>,</w:t>
            </w:r>
            <w:r w:rsidRPr="00BE7953">
              <w:t xml:space="preserve"> and we don't get the material in a timely manner.</w:t>
            </w:r>
            <w:r>
              <w:t xml:space="preserve"> (UT)</w:t>
            </w:r>
          </w:p>
        </w:tc>
      </w:tr>
      <w:tr w:rsidR="00E106D8" w:rsidRPr="00D0758C" w14:paraId="6B4C13CC" w14:textId="77777777" w:rsidTr="00C74310">
        <w:trPr>
          <w:cnfStyle w:val="000000100000" w:firstRow="0" w:lastRow="0" w:firstColumn="0" w:lastColumn="0" w:oddVBand="0" w:evenVBand="0" w:oddHBand="1" w:evenHBand="0" w:firstRowFirstColumn="0" w:firstRowLastColumn="0" w:lastRowFirstColumn="0" w:lastRowLastColumn="0"/>
          <w:trHeight w:val="62"/>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4A2C7937" w14:textId="77777777" w:rsidR="00E106D8" w:rsidRDefault="00E106D8" w:rsidP="002F15D2">
            <w:pPr>
              <w:rPr>
                <w:rFonts w:ascii="Calibri" w:hAnsi="Calibri" w:cs="Calibri"/>
                <w:color w:val="000000"/>
              </w:rPr>
            </w:pPr>
          </w:p>
        </w:tc>
        <w:tc>
          <w:tcPr>
            <w:tcW w:w="7020" w:type="dxa"/>
            <w:shd w:val="clear" w:color="auto" w:fill="D9E2F3"/>
          </w:tcPr>
          <w:p w14:paraId="273304CE" w14:textId="39123FCB" w:rsidR="00E106D8" w:rsidRDefault="00E106D8" w:rsidP="002F15D2">
            <w:pPr>
              <w:tabs>
                <w:tab w:val="left" w:pos="1693"/>
              </w:tabs>
              <w:cnfStyle w:val="000000100000" w:firstRow="0" w:lastRow="0" w:firstColumn="0" w:lastColumn="0" w:oddVBand="0" w:evenVBand="0" w:oddHBand="1" w:evenHBand="0" w:firstRowFirstColumn="0" w:firstRowLastColumn="0" w:lastRowFirstColumn="0" w:lastRowLastColumn="0"/>
            </w:pPr>
            <w:r w:rsidRPr="00BE7953">
              <w:t xml:space="preserve">Even though I am sometimes given the ensuing semester's curriculum, it </w:t>
            </w:r>
            <w:r w:rsidR="00CF6095">
              <w:t>rarely</w:t>
            </w:r>
            <w:r w:rsidRPr="00BE7953">
              <w:t xml:space="preserve"> is the same. Sometimes I think it is just to appease my requests, but this material is prepared and then not used. What a complete waste of time for not only me but our materials center </w:t>
            </w:r>
            <w:r w:rsidR="00CF6095">
              <w:t>that</w:t>
            </w:r>
            <w:r w:rsidRPr="00BE7953">
              <w:t xml:space="preserve"> prepare</w:t>
            </w:r>
            <w:r w:rsidR="00CF6095">
              <w:t>s</w:t>
            </w:r>
            <w:r w:rsidRPr="00BE7953">
              <w:t xml:space="preserve"> large textbook materials and tactile graphics.</w:t>
            </w:r>
            <w:r>
              <w:t xml:space="preserve"> (DE)</w:t>
            </w:r>
          </w:p>
        </w:tc>
      </w:tr>
      <w:tr w:rsidR="00E106D8" w:rsidRPr="00D0758C" w14:paraId="0734DB52" w14:textId="77777777" w:rsidTr="00B475A9">
        <w:tc>
          <w:tcPr>
            <w:cnfStyle w:val="001000000000" w:firstRow="0" w:lastRow="0" w:firstColumn="1" w:lastColumn="0" w:oddVBand="0" w:evenVBand="0" w:oddHBand="0" w:evenHBand="0" w:firstRowFirstColumn="0" w:firstRowLastColumn="0" w:lastRowFirstColumn="0" w:lastRowLastColumn="0"/>
            <w:tcW w:w="2335" w:type="dxa"/>
            <w:vAlign w:val="bottom"/>
          </w:tcPr>
          <w:p w14:paraId="2B87A94F" w14:textId="5BA18572" w:rsidR="00E106D8" w:rsidRPr="0017412C" w:rsidRDefault="00E106D8" w:rsidP="002F15D2">
            <w:pPr>
              <w:rPr>
                <w:rFonts w:cstheme="minorHAnsi"/>
              </w:rPr>
            </w:pPr>
            <w:r>
              <w:rPr>
                <w:rFonts w:ascii="Calibri" w:hAnsi="Calibri" w:cs="Calibri"/>
                <w:color w:val="000000"/>
              </w:rPr>
              <w:t>Students change schools/districts (7)</w:t>
            </w:r>
          </w:p>
        </w:tc>
        <w:tc>
          <w:tcPr>
            <w:tcW w:w="7020" w:type="dxa"/>
          </w:tcPr>
          <w:p w14:paraId="0E77062E" w14:textId="1CB7D81B" w:rsidR="00E106D8" w:rsidRPr="0017412C" w:rsidRDefault="00E106D8" w:rsidP="002F15D2">
            <w:pPr>
              <w:cnfStyle w:val="000000000000" w:firstRow="0" w:lastRow="0" w:firstColumn="0" w:lastColumn="0" w:oddVBand="0" w:evenVBand="0" w:oddHBand="0" w:evenHBand="0" w:firstRowFirstColumn="0" w:firstRowLastColumn="0" w:lastRowFirstColumn="0" w:lastRowLastColumn="0"/>
            </w:pPr>
            <w:r>
              <w:t xml:space="preserve">One challenge is </w:t>
            </w:r>
            <w:r w:rsidRPr="00BE7953">
              <w:t>accessible formats not arriving in time due to students moving during the school year</w:t>
            </w:r>
            <w:r>
              <w:t>. (UT)</w:t>
            </w:r>
          </w:p>
        </w:tc>
      </w:tr>
      <w:tr w:rsidR="00E106D8" w:rsidRPr="00D0758C" w14:paraId="5BBE5F79"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0A5D3AA9" w14:textId="77777777" w:rsidR="00E106D8" w:rsidRDefault="00E106D8" w:rsidP="002F15D2">
            <w:pPr>
              <w:rPr>
                <w:rFonts w:ascii="Calibri" w:hAnsi="Calibri" w:cs="Calibri"/>
                <w:color w:val="000000"/>
              </w:rPr>
            </w:pPr>
          </w:p>
        </w:tc>
        <w:tc>
          <w:tcPr>
            <w:tcW w:w="7020" w:type="dxa"/>
            <w:shd w:val="clear" w:color="auto" w:fill="D9E2F3"/>
          </w:tcPr>
          <w:p w14:paraId="35A02529" w14:textId="5883BC5D" w:rsidR="00E106D8" w:rsidRPr="0017412C" w:rsidRDefault="00E106D8" w:rsidP="002F15D2">
            <w:pPr>
              <w:cnfStyle w:val="000000100000" w:firstRow="0" w:lastRow="0" w:firstColumn="0" w:lastColumn="0" w:oddVBand="0" w:evenVBand="0" w:oddHBand="1" w:evenHBand="0" w:firstRowFirstColumn="0" w:firstRowLastColumn="0" w:lastRowFirstColumn="0" w:lastRowLastColumn="0"/>
            </w:pPr>
            <w:r w:rsidRPr="00BE7953">
              <w:t>A big factor is the amount of time it takes to prepare braille material. When students move into a district partway through the year, it can be weeks or months before braille books can be prepared for them.</w:t>
            </w:r>
            <w:r>
              <w:t xml:space="preserve"> (UT)</w:t>
            </w:r>
          </w:p>
        </w:tc>
      </w:tr>
      <w:tr w:rsidR="00E106D8" w:rsidRPr="00D0758C" w14:paraId="4CD5482F" w14:textId="77777777" w:rsidTr="00B475A9">
        <w:tc>
          <w:tcPr>
            <w:cnfStyle w:val="001000000000" w:firstRow="0" w:lastRow="0" w:firstColumn="1" w:lastColumn="0" w:oddVBand="0" w:evenVBand="0" w:oddHBand="0" w:evenHBand="0" w:firstRowFirstColumn="0" w:firstRowLastColumn="0" w:lastRowFirstColumn="0" w:lastRowLastColumn="0"/>
            <w:tcW w:w="2335" w:type="dxa"/>
            <w:vAlign w:val="bottom"/>
          </w:tcPr>
          <w:p w14:paraId="32FC294B" w14:textId="77777777" w:rsidR="00E106D8" w:rsidRDefault="00E106D8" w:rsidP="002F15D2">
            <w:pPr>
              <w:rPr>
                <w:rFonts w:ascii="Calibri" w:hAnsi="Calibri" w:cs="Calibri"/>
                <w:color w:val="000000"/>
              </w:rPr>
            </w:pPr>
          </w:p>
        </w:tc>
        <w:tc>
          <w:tcPr>
            <w:tcW w:w="7020" w:type="dxa"/>
          </w:tcPr>
          <w:p w14:paraId="0EC8EA68" w14:textId="7E69A082" w:rsidR="00E106D8" w:rsidRPr="0017412C" w:rsidRDefault="005C55DB" w:rsidP="002F15D2">
            <w:pPr>
              <w:cnfStyle w:val="000000000000" w:firstRow="0" w:lastRow="0" w:firstColumn="0" w:lastColumn="0" w:oddVBand="0" w:evenVBand="0" w:oddHBand="0" w:evenHBand="0" w:firstRowFirstColumn="0" w:firstRowLastColumn="0" w:lastRowFirstColumn="0" w:lastRowLastColumn="0"/>
            </w:pPr>
            <w:r w:rsidRPr="00BE7953">
              <w:t>Unfortunately,</w:t>
            </w:r>
            <w:r w:rsidR="00E106D8" w:rsidRPr="00BE7953">
              <w:t xml:space="preserve"> not all requests for accessible formats can be made well in advance, especially as we have students moving in and out of districts using different curriculums. Sometimes we don't have a need until a student enrolls at the beginning of a school year and or anytime throughout the school year</w:t>
            </w:r>
            <w:r w:rsidR="00E309E2">
              <w:t xml:space="preserve">. This </w:t>
            </w:r>
            <w:r w:rsidR="00E106D8" w:rsidRPr="00BE7953">
              <w:t>then leaves a large gap in time between the request and the receipt of accessible materials.</w:t>
            </w:r>
            <w:r w:rsidR="00E106D8">
              <w:t xml:space="preserve"> (TX)</w:t>
            </w:r>
          </w:p>
        </w:tc>
      </w:tr>
      <w:tr w:rsidR="00E106D8" w:rsidRPr="00D0758C" w14:paraId="623EBF21"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2756F734" w14:textId="4CD5C648" w:rsidR="00E106D8" w:rsidRPr="0017412C" w:rsidRDefault="00E106D8" w:rsidP="002F15D2">
            <w:pPr>
              <w:rPr>
                <w:rFonts w:cstheme="minorHAnsi"/>
              </w:rPr>
            </w:pPr>
            <w:r>
              <w:rPr>
                <w:rFonts w:cstheme="minorHAnsi"/>
              </w:rPr>
              <w:t>Anti-</w:t>
            </w:r>
            <w:r w:rsidR="00665ACB">
              <w:rPr>
                <w:rFonts w:cstheme="minorHAnsi"/>
              </w:rPr>
              <w:t>d</w:t>
            </w:r>
            <w:r>
              <w:rPr>
                <w:rFonts w:cstheme="minorHAnsi"/>
              </w:rPr>
              <w:t xml:space="preserve">isability </w:t>
            </w:r>
            <w:r w:rsidR="00665ACB">
              <w:rPr>
                <w:rFonts w:cstheme="minorHAnsi"/>
              </w:rPr>
              <w:t>b</w:t>
            </w:r>
            <w:r>
              <w:rPr>
                <w:rFonts w:cstheme="minorHAnsi"/>
              </w:rPr>
              <w:t xml:space="preserve">eliefs (7) </w:t>
            </w:r>
          </w:p>
        </w:tc>
        <w:tc>
          <w:tcPr>
            <w:tcW w:w="7020" w:type="dxa"/>
            <w:shd w:val="clear" w:color="auto" w:fill="D9E2F3"/>
          </w:tcPr>
          <w:p w14:paraId="4E565D1B" w14:textId="4C2CCBDA" w:rsidR="00E106D8" w:rsidRPr="00006888" w:rsidRDefault="00E106D8" w:rsidP="002F15D2">
            <w:pPr>
              <w:cnfStyle w:val="000000100000" w:firstRow="0" w:lastRow="0" w:firstColumn="0" w:lastColumn="0" w:oddVBand="0" w:evenVBand="0" w:oddHBand="1" w:evenHBand="0" w:firstRowFirstColumn="0" w:firstRowLastColumn="0" w:lastRowFirstColumn="0" w:lastRowLastColumn="0"/>
            </w:pPr>
            <w:r w:rsidRPr="00006888">
              <w:t>Implicit bias and disposition regarding people who are blind. (OH)</w:t>
            </w:r>
          </w:p>
        </w:tc>
      </w:tr>
      <w:tr w:rsidR="00E106D8" w:rsidRPr="00D0758C" w14:paraId="6C5B0C19" w14:textId="77777777" w:rsidTr="00B97982">
        <w:tc>
          <w:tcPr>
            <w:cnfStyle w:val="001000000000" w:firstRow="0" w:lastRow="0" w:firstColumn="1" w:lastColumn="0" w:oddVBand="0" w:evenVBand="0" w:oddHBand="0" w:evenHBand="0" w:firstRowFirstColumn="0" w:firstRowLastColumn="0" w:lastRowFirstColumn="0" w:lastRowLastColumn="0"/>
            <w:tcW w:w="2335" w:type="dxa"/>
          </w:tcPr>
          <w:p w14:paraId="4A3F4173" w14:textId="77777777" w:rsidR="00E106D8" w:rsidRPr="0017412C" w:rsidRDefault="00E106D8" w:rsidP="002F15D2">
            <w:pPr>
              <w:rPr>
                <w:rFonts w:cstheme="minorHAnsi"/>
              </w:rPr>
            </w:pPr>
          </w:p>
        </w:tc>
        <w:tc>
          <w:tcPr>
            <w:tcW w:w="7020" w:type="dxa"/>
          </w:tcPr>
          <w:p w14:paraId="77BEC366" w14:textId="30B0FC88" w:rsidR="00E106D8" w:rsidRPr="0017412C" w:rsidRDefault="00E309E2" w:rsidP="002F15D2">
            <w:pPr>
              <w:cnfStyle w:val="000000000000" w:firstRow="0" w:lastRow="0" w:firstColumn="0" w:lastColumn="0" w:oddVBand="0" w:evenVBand="0" w:oddHBand="0" w:evenHBand="0" w:firstRowFirstColumn="0" w:firstRowLastColumn="0" w:lastRowFirstColumn="0" w:lastRowLastColumn="0"/>
            </w:pPr>
            <w:r>
              <w:t>T</w:t>
            </w:r>
            <w:r w:rsidR="00E106D8">
              <w:t>here's a mindset</w:t>
            </w:r>
            <w:r>
              <w:t xml:space="preserve"> and</w:t>
            </w:r>
            <w:r w:rsidR="00E106D8">
              <w:t xml:space="preserve"> a lot of people who think, “Pull '</w:t>
            </w:r>
            <w:proofErr w:type="spellStart"/>
            <w:r w:rsidR="00E106D8">
              <w:t>em</w:t>
            </w:r>
            <w:proofErr w:type="spellEnd"/>
            <w:r w:rsidR="00E106D8">
              <w:t xml:space="preserve"> up by your bootstraps. I had to work hard. Yes, I have dyslexia, but I had to work hard</w:t>
            </w:r>
            <w:r>
              <w:t>,</w:t>
            </w:r>
            <w:r w:rsidR="00E106D8">
              <w:t xml:space="preserve"> and it'll do my child good to do the same thing</w:t>
            </w:r>
            <w:r>
              <w:t>.</w:t>
            </w:r>
            <w:r w:rsidR="00E106D8">
              <w:t xml:space="preserve"> We don't need no stinking accommodations.” (OR)</w:t>
            </w:r>
          </w:p>
        </w:tc>
      </w:tr>
      <w:tr w:rsidR="00E106D8" w:rsidRPr="00D0758C" w14:paraId="62229C2E"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5B2504E6" w14:textId="77777777" w:rsidR="00E106D8" w:rsidRPr="0017412C" w:rsidRDefault="00E106D8" w:rsidP="002F15D2">
            <w:pPr>
              <w:rPr>
                <w:rFonts w:cstheme="minorHAnsi"/>
              </w:rPr>
            </w:pPr>
          </w:p>
        </w:tc>
        <w:tc>
          <w:tcPr>
            <w:tcW w:w="7020" w:type="dxa"/>
            <w:shd w:val="clear" w:color="auto" w:fill="D9E2F3"/>
          </w:tcPr>
          <w:p w14:paraId="3639CAB7" w14:textId="5CF62E2A" w:rsidR="00E106D8" w:rsidRPr="0017412C" w:rsidRDefault="00E106D8" w:rsidP="002F15D2">
            <w:pPr>
              <w:cnfStyle w:val="000000100000" w:firstRow="0" w:lastRow="0" w:firstColumn="0" w:lastColumn="0" w:oddVBand="0" w:evenVBand="0" w:oddHBand="1" w:evenHBand="0" w:firstRowFirstColumn="0" w:firstRowLastColumn="0" w:lastRowFirstColumn="0" w:lastRowLastColumn="0"/>
            </w:pPr>
            <w:r w:rsidRPr="00006888">
              <w:t>I also believe philosophy comes into play here and people's beliefs</w:t>
            </w:r>
            <w:r w:rsidR="003A7CC1">
              <w:t>.</w:t>
            </w:r>
            <w:r w:rsidRPr="00006888">
              <w:t xml:space="preserve"> There are people that don't care and </w:t>
            </w:r>
            <w:r w:rsidR="003A7CC1">
              <w:t>think</w:t>
            </w:r>
            <w:r w:rsidRPr="00006888">
              <w:t xml:space="preserve">, </w:t>
            </w:r>
            <w:r>
              <w:t>“W</w:t>
            </w:r>
            <w:r w:rsidRPr="00006888">
              <w:t xml:space="preserve">hatever, </w:t>
            </w:r>
            <w:r>
              <w:t>students with disabilities</w:t>
            </w:r>
            <w:r w:rsidRPr="00006888">
              <w:t xml:space="preserve"> should be somewhere else. They shouldn't even be in our school.</w:t>
            </w:r>
            <w:r>
              <w:t>”</w:t>
            </w:r>
            <w:r w:rsidRPr="00006888">
              <w:t xml:space="preserve"> So</w:t>
            </w:r>
            <w:r>
              <w:t>,</w:t>
            </w:r>
            <w:r w:rsidRPr="00006888">
              <w:t xml:space="preserve"> I do think that that can cause a delay. I don't think it causes </w:t>
            </w:r>
            <w:proofErr w:type="gramStart"/>
            <w:r w:rsidRPr="00006888">
              <w:t>no</w:t>
            </w:r>
            <w:proofErr w:type="gramEnd"/>
            <w:r w:rsidRPr="00006888">
              <w:t xml:space="preserve"> access</w:t>
            </w:r>
            <w:r w:rsidR="00EC7554">
              <w:t>,</w:t>
            </w:r>
            <w:r w:rsidR="003A7CC1">
              <w:t xml:space="preserve"> but it </w:t>
            </w:r>
            <w:r w:rsidRPr="00006888">
              <w:t>can cause a delay in access.</w:t>
            </w:r>
            <w:r>
              <w:t xml:space="preserve"> (OR)</w:t>
            </w:r>
          </w:p>
        </w:tc>
      </w:tr>
      <w:tr w:rsidR="00E106D8" w:rsidRPr="00D0758C" w14:paraId="685386C5" w14:textId="77777777" w:rsidTr="00B97982">
        <w:tc>
          <w:tcPr>
            <w:cnfStyle w:val="001000000000" w:firstRow="0" w:lastRow="0" w:firstColumn="1" w:lastColumn="0" w:oddVBand="0" w:evenVBand="0" w:oddHBand="0" w:evenHBand="0" w:firstRowFirstColumn="0" w:firstRowLastColumn="0" w:lastRowFirstColumn="0" w:lastRowLastColumn="0"/>
            <w:tcW w:w="2335" w:type="dxa"/>
          </w:tcPr>
          <w:p w14:paraId="1B95C1C2" w14:textId="00D98F7E" w:rsidR="00E106D8" w:rsidRPr="0017412C" w:rsidRDefault="00E106D8" w:rsidP="002F15D2">
            <w:pPr>
              <w:rPr>
                <w:rFonts w:cstheme="minorHAnsi"/>
              </w:rPr>
            </w:pPr>
            <w:r>
              <w:rPr>
                <w:rFonts w:cstheme="minorHAnsi"/>
              </w:rPr>
              <w:t>Lack of planning time (7)</w:t>
            </w:r>
          </w:p>
        </w:tc>
        <w:tc>
          <w:tcPr>
            <w:tcW w:w="7020" w:type="dxa"/>
          </w:tcPr>
          <w:p w14:paraId="5B3701F9" w14:textId="798FE535" w:rsidR="00E106D8" w:rsidRPr="0017412C" w:rsidRDefault="00E106D8" w:rsidP="002F15D2">
            <w:pPr>
              <w:cnfStyle w:val="000000000000" w:firstRow="0" w:lastRow="0" w:firstColumn="0" w:lastColumn="0" w:oddVBand="0" w:evenVBand="0" w:oddHBand="0" w:evenHBand="0" w:firstRowFirstColumn="0" w:firstRowLastColumn="0" w:lastRowFirstColumn="0" w:lastRowLastColumn="0"/>
            </w:pPr>
            <w:r w:rsidRPr="003B6AB6">
              <w:t xml:space="preserve">I think </w:t>
            </w:r>
            <w:r>
              <w:t>the challenges are</w:t>
            </w:r>
            <w:r w:rsidRPr="003B6AB6">
              <w:t xml:space="preserve"> teacher understanding and knowledge and having time to prepare materials </w:t>
            </w:r>
            <w:r w:rsidR="00F66087">
              <w:t xml:space="preserve">and </w:t>
            </w:r>
            <w:r w:rsidRPr="003B6AB6">
              <w:t>make sure they're accessible for all.</w:t>
            </w:r>
            <w:r>
              <w:t xml:space="preserve"> (OH)</w:t>
            </w:r>
          </w:p>
        </w:tc>
      </w:tr>
      <w:tr w:rsidR="00E106D8" w:rsidRPr="00D0758C" w14:paraId="070B7DF8"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179CB2A4" w14:textId="77777777" w:rsidR="00E106D8" w:rsidRPr="0017412C" w:rsidRDefault="00E106D8" w:rsidP="002F15D2">
            <w:pPr>
              <w:rPr>
                <w:rFonts w:cstheme="minorHAnsi"/>
              </w:rPr>
            </w:pPr>
          </w:p>
        </w:tc>
        <w:tc>
          <w:tcPr>
            <w:tcW w:w="7020" w:type="dxa"/>
            <w:shd w:val="clear" w:color="auto" w:fill="D9E2F3"/>
          </w:tcPr>
          <w:p w14:paraId="717DED74" w14:textId="5A3D80B8" w:rsidR="00E106D8" w:rsidRPr="0017412C" w:rsidRDefault="00E106D8" w:rsidP="002F15D2">
            <w:pPr>
              <w:cnfStyle w:val="000000100000" w:firstRow="0" w:lastRow="0" w:firstColumn="0" w:lastColumn="0" w:oddVBand="0" w:evenVBand="0" w:oddHBand="1" w:evenHBand="0" w:firstRowFirstColumn="0" w:firstRowLastColumn="0" w:lastRowFirstColumn="0" w:lastRowLastColumn="0"/>
            </w:pPr>
            <w:r w:rsidRPr="003B6AB6">
              <w:t>Lack of planning time!</w:t>
            </w:r>
            <w:r>
              <w:t xml:space="preserve"> </w:t>
            </w:r>
            <w:r w:rsidRPr="003B6AB6">
              <w:t>General education teachers are not providing the materials to TVIs to then put into alternative format.</w:t>
            </w:r>
            <w:r>
              <w:t xml:space="preserve"> (OR)</w:t>
            </w:r>
          </w:p>
        </w:tc>
      </w:tr>
      <w:tr w:rsidR="00E106D8" w:rsidRPr="00D0758C" w14:paraId="729E99EF" w14:textId="77777777" w:rsidTr="00B97982">
        <w:tc>
          <w:tcPr>
            <w:cnfStyle w:val="001000000000" w:firstRow="0" w:lastRow="0" w:firstColumn="1" w:lastColumn="0" w:oddVBand="0" w:evenVBand="0" w:oddHBand="0" w:evenHBand="0" w:firstRowFirstColumn="0" w:firstRowLastColumn="0" w:lastRowFirstColumn="0" w:lastRowLastColumn="0"/>
            <w:tcW w:w="2335" w:type="dxa"/>
          </w:tcPr>
          <w:p w14:paraId="0B472F33" w14:textId="77777777" w:rsidR="00E106D8" w:rsidRPr="0017412C" w:rsidRDefault="00E106D8" w:rsidP="002F15D2">
            <w:pPr>
              <w:rPr>
                <w:rFonts w:cstheme="minorHAnsi"/>
              </w:rPr>
            </w:pPr>
          </w:p>
        </w:tc>
        <w:tc>
          <w:tcPr>
            <w:tcW w:w="7020" w:type="dxa"/>
          </w:tcPr>
          <w:p w14:paraId="44EA7BDD" w14:textId="0D01F58F" w:rsidR="00E106D8" w:rsidRPr="0017412C" w:rsidRDefault="00E106D8" w:rsidP="002F15D2">
            <w:pPr>
              <w:cnfStyle w:val="000000000000" w:firstRow="0" w:lastRow="0" w:firstColumn="0" w:lastColumn="0" w:oddVBand="0" w:evenVBand="0" w:oddHBand="0" w:evenHBand="0" w:firstRowFirstColumn="0" w:firstRowLastColumn="0" w:lastRowFirstColumn="0" w:lastRowLastColumn="0"/>
            </w:pPr>
            <w:r w:rsidRPr="003B6AB6">
              <w:t>I would say the number one barrier is time</w:t>
            </w:r>
            <w:r w:rsidR="00F66087">
              <w:t>.</w:t>
            </w:r>
            <w:r w:rsidRPr="003B6AB6">
              <w:t xml:space="preserve"> </w:t>
            </w:r>
            <w:r>
              <w:t xml:space="preserve">Teachers </w:t>
            </w:r>
            <w:r w:rsidRPr="003B6AB6">
              <w:t>want to provide for every student</w:t>
            </w:r>
            <w:r w:rsidR="00F66087">
              <w:t>, b</w:t>
            </w:r>
            <w:r w:rsidRPr="003B6AB6">
              <w:t>ut</w:t>
            </w:r>
            <w:r w:rsidR="00F66087">
              <w:t xml:space="preserve"> I</w:t>
            </w:r>
            <w:r w:rsidRPr="003B6AB6">
              <w:t xml:space="preserve"> always hear, </w:t>
            </w:r>
            <w:r>
              <w:t>“W</w:t>
            </w:r>
            <w:r w:rsidRPr="003B6AB6">
              <w:t>ell, when am I supposed to do this? How am I going to get this done?</w:t>
            </w:r>
            <w:r>
              <w:t>” (OR)</w:t>
            </w:r>
          </w:p>
        </w:tc>
      </w:tr>
      <w:tr w:rsidR="00E106D8" w:rsidRPr="00D0758C" w14:paraId="75088E3E"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00C61B49" w14:textId="77777777" w:rsidR="00E106D8" w:rsidRPr="0017412C" w:rsidRDefault="00E106D8" w:rsidP="002F15D2">
            <w:pPr>
              <w:rPr>
                <w:rFonts w:cstheme="minorHAnsi"/>
              </w:rPr>
            </w:pPr>
          </w:p>
        </w:tc>
        <w:tc>
          <w:tcPr>
            <w:tcW w:w="7020" w:type="dxa"/>
            <w:shd w:val="clear" w:color="auto" w:fill="D9E2F3"/>
          </w:tcPr>
          <w:p w14:paraId="4B1162CF" w14:textId="60AC4873" w:rsidR="00E106D8" w:rsidRPr="0017412C" w:rsidRDefault="005C55DB" w:rsidP="002F15D2">
            <w:pPr>
              <w:cnfStyle w:val="000000100000" w:firstRow="0" w:lastRow="0" w:firstColumn="0" w:lastColumn="0" w:oddVBand="0" w:evenVBand="0" w:oddHBand="1" w:evenHBand="0" w:firstRowFirstColumn="0" w:firstRowLastColumn="0" w:lastRowFirstColumn="0" w:lastRowLastColumn="0"/>
            </w:pPr>
            <w:r>
              <w:t>Paraprofessionals</w:t>
            </w:r>
            <w:r w:rsidR="00E106D8" w:rsidRPr="003B6AB6">
              <w:t xml:space="preserve"> or teachers </w:t>
            </w:r>
            <w:r w:rsidR="00F66087">
              <w:t xml:space="preserve">are </w:t>
            </w:r>
            <w:r w:rsidR="00E106D8" w:rsidRPr="003B6AB6">
              <w:t>not given time to meet, discuss, and plan/order what is needed.</w:t>
            </w:r>
            <w:r w:rsidR="00E106D8">
              <w:t xml:space="preserve"> (IA)</w:t>
            </w:r>
          </w:p>
        </w:tc>
      </w:tr>
      <w:tr w:rsidR="00E106D8" w:rsidRPr="00D0758C" w14:paraId="60CBD302" w14:textId="77777777" w:rsidTr="00B97982">
        <w:tc>
          <w:tcPr>
            <w:cnfStyle w:val="001000000000" w:firstRow="0" w:lastRow="0" w:firstColumn="1" w:lastColumn="0" w:oddVBand="0" w:evenVBand="0" w:oddHBand="0" w:evenHBand="0" w:firstRowFirstColumn="0" w:firstRowLastColumn="0" w:lastRowFirstColumn="0" w:lastRowLastColumn="0"/>
            <w:tcW w:w="2335" w:type="dxa"/>
          </w:tcPr>
          <w:p w14:paraId="3A33360B" w14:textId="356272F8" w:rsidR="00E106D8" w:rsidRPr="0017412C" w:rsidRDefault="00E106D8" w:rsidP="002F15D2">
            <w:pPr>
              <w:rPr>
                <w:rFonts w:cstheme="minorHAnsi"/>
              </w:rPr>
            </w:pPr>
            <w:r>
              <w:rPr>
                <w:rFonts w:cstheme="minorHAnsi"/>
              </w:rPr>
              <w:t>Students change classes or are placed in classes late (5)</w:t>
            </w:r>
          </w:p>
        </w:tc>
        <w:tc>
          <w:tcPr>
            <w:tcW w:w="7020" w:type="dxa"/>
          </w:tcPr>
          <w:p w14:paraId="59AD1A03" w14:textId="3BC65EFE" w:rsidR="00E106D8" w:rsidRPr="0017412C" w:rsidRDefault="00E106D8" w:rsidP="002F15D2">
            <w:pPr>
              <w:cnfStyle w:val="000000000000" w:firstRow="0" w:lastRow="0" w:firstColumn="0" w:lastColumn="0" w:oddVBand="0" w:evenVBand="0" w:oddHBand="0" w:evenHBand="0" w:firstRowFirstColumn="0" w:firstRowLastColumn="0" w:lastRowFirstColumn="0" w:lastRowLastColumn="0"/>
            </w:pPr>
            <w:r>
              <w:t>S</w:t>
            </w:r>
            <w:r w:rsidRPr="00421F88">
              <w:t xml:space="preserve">ometimes </w:t>
            </w:r>
            <w:r>
              <w:t>students</w:t>
            </w:r>
            <w:r w:rsidRPr="00421F88">
              <w:t xml:space="preserve"> don't find out who their teacher is or what class they're going to be in until a couple of weeks before school starts. And that can be problematic</w:t>
            </w:r>
            <w:r>
              <w:t xml:space="preserve">. </w:t>
            </w:r>
            <w:r w:rsidR="005B11E2">
              <w:t>(O</w:t>
            </w:r>
            <w:r w:rsidR="006D37AD">
              <w:t>H</w:t>
            </w:r>
            <w:r w:rsidR="005B11E2">
              <w:t>)</w:t>
            </w:r>
          </w:p>
        </w:tc>
      </w:tr>
      <w:tr w:rsidR="00E106D8" w:rsidRPr="009A1CF7" w14:paraId="38A568B0"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5CDE7329" w14:textId="77777777" w:rsidR="00E106D8" w:rsidRPr="0017412C" w:rsidRDefault="00E106D8" w:rsidP="002F15D2">
            <w:pPr>
              <w:rPr>
                <w:rFonts w:cstheme="minorHAnsi"/>
              </w:rPr>
            </w:pPr>
          </w:p>
        </w:tc>
        <w:tc>
          <w:tcPr>
            <w:tcW w:w="7020" w:type="dxa"/>
            <w:shd w:val="clear" w:color="auto" w:fill="D9E2F3"/>
          </w:tcPr>
          <w:p w14:paraId="5CF4DBE9" w14:textId="3E4D5698" w:rsidR="00E106D8" w:rsidRPr="0017412C" w:rsidRDefault="00E106D8" w:rsidP="002F15D2">
            <w:pPr>
              <w:cnfStyle w:val="000000100000" w:firstRow="0" w:lastRow="0" w:firstColumn="0" w:lastColumn="0" w:oddVBand="0" w:evenVBand="0" w:oddHBand="1" w:evenHBand="0" w:firstRowFirstColumn="0" w:firstRowLastColumn="0" w:lastRowFirstColumn="0" w:lastRowLastColumn="0"/>
            </w:pPr>
            <w:r w:rsidRPr="00421F88">
              <w:t xml:space="preserve">Another hindrance </w:t>
            </w:r>
            <w:r>
              <w:t>for</w:t>
            </w:r>
            <w:r w:rsidRPr="00421F88">
              <w:t xml:space="preserve"> a lot of middle school kids</w:t>
            </w:r>
            <w:r>
              <w:t xml:space="preserve"> is that</w:t>
            </w:r>
            <w:r w:rsidRPr="00421F88">
              <w:t xml:space="preserve"> they have a lot of classes and don't always know what class they're going to take</w:t>
            </w:r>
            <w:r w:rsidR="00F66087">
              <w:t xml:space="preserve">. Sometimes, </w:t>
            </w:r>
            <w:r w:rsidRPr="00421F88">
              <w:lastRenderedPageBreak/>
              <w:t>it comes down the line too late</w:t>
            </w:r>
            <w:r w:rsidR="00F66087">
              <w:t>,</w:t>
            </w:r>
            <w:r w:rsidRPr="00421F88">
              <w:t xml:space="preserve"> or they end up changing at the last minute</w:t>
            </w:r>
            <w:r w:rsidR="00F66087">
              <w:t xml:space="preserve">. </w:t>
            </w:r>
            <w:r w:rsidRPr="00421F88">
              <w:t>There's not a lot we can do when a book takes so long.</w:t>
            </w:r>
            <w:r>
              <w:t xml:space="preserve"> (UT)</w:t>
            </w:r>
          </w:p>
        </w:tc>
      </w:tr>
      <w:bookmarkEnd w:id="78"/>
    </w:tbl>
    <w:p w14:paraId="70F9600B" w14:textId="77777777" w:rsidR="00183F13" w:rsidRDefault="00183F13" w:rsidP="00F95B49">
      <w:pPr>
        <w:spacing w:after="0" w:line="276" w:lineRule="auto"/>
        <w:rPr>
          <w:rFonts w:ascii="Calibri" w:hAnsi="Calibri" w:cs="Calibri"/>
          <w:bCs/>
          <w:sz w:val="24"/>
          <w:szCs w:val="24"/>
        </w:rPr>
      </w:pPr>
    </w:p>
    <w:p w14:paraId="2D699D06" w14:textId="77777777" w:rsidR="00EF4E96" w:rsidRDefault="00EF4E96" w:rsidP="00F95B49">
      <w:pPr>
        <w:spacing w:after="0" w:line="276" w:lineRule="auto"/>
        <w:rPr>
          <w:rFonts w:ascii="Calibri" w:hAnsi="Calibri" w:cs="Calibri"/>
          <w:bCs/>
          <w:sz w:val="24"/>
          <w:szCs w:val="24"/>
        </w:rPr>
      </w:pPr>
    </w:p>
    <w:p w14:paraId="628C4B71" w14:textId="57AA396A" w:rsidR="00C236AB" w:rsidRDefault="00B55C67" w:rsidP="00F95B49">
      <w:pPr>
        <w:spacing w:after="0" w:line="276" w:lineRule="auto"/>
        <w:rPr>
          <w:rFonts w:ascii="Calibri" w:hAnsi="Calibri" w:cs="Calibri"/>
          <w:bCs/>
          <w:sz w:val="24"/>
          <w:szCs w:val="24"/>
        </w:rPr>
      </w:pPr>
      <w:r>
        <w:rPr>
          <w:rFonts w:ascii="ZWAdobeF" w:hAnsi="ZWAdobeF" w:cs="ZWAdobeF"/>
          <w:bCs/>
          <w:sz w:val="2"/>
          <w:szCs w:val="2"/>
        </w:rPr>
        <w:t>215B</w:t>
      </w:r>
      <w:r w:rsidR="00FC3952">
        <w:rPr>
          <w:rFonts w:ascii="Calibri" w:hAnsi="Calibri" w:cs="Calibri"/>
          <w:bCs/>
          <w:sz w:val="24"/>
          <w:szCs w:val="24"/>
        </w:rPr>
        <w:t>P</w:t>
      </w:r>
      <w:r w:rsidR="00D073F6">
        <w:rPr>
          <w:rFonts w:ascii="Calibri" w:hAnsi="Calibri" w:cs="Calibri"/>
          <w:bCs/>
          <w:sz w:val="24"/>
          <w:szCs w:val="24"/>
        </w:rPr>
        <w:t xml:space="preserve">articipants offered potential strategies </w:t>
      </w:r>
      <w:r w:rsidR="00FC3952">
        <w:rPr>
          <w:rFonts w:ascii="Calibri" w:hAnsi="Calibri" w:cs="Calibri"/>
          <w:bCs/>
          <w:sz w:val="24"/>
          <w:szCs w:val="24"/>
        </w:rPr>
        <w:t>to address state, regional, district, and school-level challenges to timely delivery (</w:t>
      </w:r>
      <w:r w:rsidR="00D073F6">
        <w:rPr>
          <w:rFonts w:ascii="Calibri" w:hAnsi="Calibri" w:cs="Calibri"/>
          <w:bCs/>
          <w:sz w:val="24"/>
          <w:szCs w:val="24"/>
        </w:rPr>
        <w:t>across 30 excerpts</w:t>
      </w:r>
      <w:r w:rsidR="00FC3952">
        <w:rPr>
          <w:rFonts w:ascii="Calibri" w:hAnsi="Calibri" w:cs="Calibri"/>
          <w:bCs/>
          <w:sz w:val="24"/>
          <w:szCs w:val="24"/>
        </w:rPr>
        <w:t>)</w:t>
      </w:r>
      <w:r w:rsidR="00D073F6">
        <w:rPr>
          <w:rFonts w:ascii="Calibri" w:hAnsi="Calibri" w:cs="Calibri"/>
          <w:bCs/>
          <w:sz w:val="24"/>
          <w:szCs w:val="24"/>
        </w:rPr>
        <w:t>. These include</w:t>
      </w:r>
      <w:r w:rsidR="00FC3952">
        <w:rPr>
          <w:rFonts w:ascii="Calibri" w:hAnsi="Calibri" w:cs="Calibri"/>
          <w:bCs/>
          <w:sz w:val="24"/>
          <w:szCs w:val="24"/>
        </w:rPr>
        <w:t>d</w:t>
      </w:r>
      <w:r w:rsidR="00C236AB">
        <w:rPr>
          <w:rFonts w:ascii="Calibri" w:hAnsi="Calibri" w:cs="Calibri"/>
          <w:bCs/>
          <w:sz w:val="24"/>
          <w:szCs w:val="24"/>
        </w:rPr>
        <w:t>:</w:t>
      </w:r>
    </w:p>
    <w:p w14:paraId="1E2AA3D8" w14:textId="205AD501" w:rsidR="00C236AB" w:rsidRDefault="00B55C67" w:rsidP="00692AD9">
      <w:pPr>
        <w:pStyle w:val="ListParagraph"/>
        <w:numPr>
          <w:ilvl w:val="0"/>
          <w:numId w:val="8"/>
        </w:numPr>
        <w:spacing w:after="0" w:line="276" w:lineRule="auto"/>
        <w:rPr>
          <w:rFonts w:ascii="Calibri" w:hAnsi="Calibri" w:cs="Calibri"/>
          <w:bCs/>
          <w:sz w:val="24"/>
          <w:szCs w:val="24"/>
        </w:rPr>
      </w:pPr>
      <w:r>
        <w:rPr>
          <w:rFonts w:ascii="ZWAdobeF" w:hAnsi="ZWAdobeF" w:cs="ZWAdobeF"/>
          <w:bCs/>
          <w:sz w:val="2"/>
          <w:szCs w:val="2"/>
        </w:rPr>
        <w:t>15B</w:t>
      </w:r>
      <w:r w:rsidR="00C236AB">
        <w:rPr>
          <w:rFonts w:ascii="Calibri" w:hAnsi="Calibri" w:cs="Calibri"/>
          <w:bCs/>
          <w:sz w:val="24"/>
          <w:szCs w:val="24"/>
        </w:rPr>
        <w:t>M</w:t>
      </w:r>
      <w:r w:rsidR="00D073F6" w:rsidRPr="00C236AB">
        <w:rPr>
          <w:rFonts w:ascii="Calibri" w:hAnsi="Calibri" w:cs="Calibri"/>
          <w:bCs/>
          <w:sz w:val="24"/>
          <w:szCs w:val="24"/>
        </w:rPr>
        <w:t>ore professional development to help educators learn about relevant resources (e.g., NIMAC, Bookshare) and the process for obtaining various accessible formats</w:t>
      </w:r>
      <w:r w:rsidR="00C236AB">
        <w:rPr>
          <w:rFonts w:ascii="Calibri" w:hAnsi="Calibri" w:cs="Calibri"/>
          <w:bCs/>
          <w:sz w:val="24"/>
          <w:szCs w:val="24"/>
        </w:rPr>
        <w:t>,</w:t>
      </w:r>
    </w:p>
    <w:p w14:paraId="23DB1556" w14:textId="4C3B7741" w:rsidR="00C236AB" w:rsidRDefault="00B55C67" w:rsidP="00692AD9">
      <w:pPr>
        <w:pStyle w:val="ListParagraph"/>
        <w:numPr>
          <w:ilvl w:val="0"/>
          <w:numId w:val="8"/>
        </w:numPr>
        <w:spacing w:after="0" w:line="276" w:lineRule="auto"/>
        <w:rPr>
          <w:rFonts w:ascii="Calibri" w:hAnsi="Calibri" w:cs="Calibri"/>
          <w:bCs/>
          <w:sz w:val="24"/>
          <w:szCs w:val="24"/>
        </w:rPr>
      </w:pPr>
      <w:r>
        <w:rPr>
          <w:rFonts w:ascii="ZWAdobeF" w:hAnsi="ZWAdobeF" w:cs="ZWAdobeF"/>
          <w:bCs/>
          <w:sz w:val="2"/>
          <w:szCs w:val="2"/>
        </w:rPr>
        <w:t>16</w:t>
      </w:r>
      <w:proofErr w:type="gramStart"/>
      <w:r>
        <w:rPr>
          <w:rFonts w:ascii="ZWAdobeF" w:hAnsi="ZWAdobeF" w:cs="ZWAdobeF"/>
          <w:bCs/>
          <w:sz w:val="2"/>
          <w:szCs w:val="2"/>
        </w:rPr>
        <w:t>B</w:t>
      </w:r>
      <w:r w:rsidR="00C236AB">
        <w:rPr>
          <w:rFonts w:ascii="Calibri" w:hAnsi="Calibri" w:cs="Calibri"/>
          <w:bCs/>
          <w:sz w:val="24"/>
          <w:szCs w:val="24"/>
        </w:rPr>
        <w:t>“</w:t>
      </w:r>
      <w:proofErr w:type="gramEnd"/>
      <w:r w:rsidR="00C236AB">
        <w:rPr>
          <w:rFonts w:ascii="Calibri" w:hAnsi="Calibri" w:cs="Calibri"/>
          <w:bCs/>
          <w:sz w:val="24"/>
          <w:szCs w:val="24"/>
        </w:rPr>
        <w:t>D</w:t>
      </w:r>
      <w:r w:rsidR="00D073F6" w:rsidRPr="00C236AB">
        <w:rPr>
          <w:rFonts w:ascii="Calibri" w:hAnsi="Calibri" w:cs="Calibri"/>
          <w:bCs/>
          <w:sz w:val="24"/>
          <w:szCs w:val="24"/>
        </w:rPr>
        <w:t>igital training” to learn about accessibility features and challenges of digital materials</w:t>
      </w:r>
      <w:r w:rsidR="00C236AB">
        <w:rPr>
          <w:rFonts w:ascii="Calibri" w:hAnsi="Calibri" w:cs="Calibri"/>
          <w:bCs/>
          <w:sz w:val="24"/>
          <w:szCs w:val="24"/>
        </w:rPr>
        <w:t>,</w:t>
      </w:r>
    </w:p>
    <w:p w14:paraId="42851C3E" w14:textId="2C18BDF0" w:rsidR="00C236AB" w:rsidRDefault="00B55C67" w:rsidP="00692AD9">
      <w:pPr>
        <w:pStyle w:val="ListParagraph"/>
        <w:numPr>
          <w:ilvl w:val="0"/>
          <w:numId w:val="8"/>
        </w:numPr>
        <w:spacing w:after="0" w:line="276" w:lineRule="auto"/>
        <w:rPr>
          <w:rFonts w:ascii="Calibri" w:hAnsi="Calibri" w:cs="Calibri"/>
          <w:bCs/>
          <w:sz w:val="24"/>
          <w:szCs w:val="24"/>
        </w:rPr>
      </w:pPr>
      <w:r>
        <w:rPr>
          <w:rFonts w:ascii="ZWAdobeF" w:hAnsi="ZWAdobeF" w:cs="ZWAdobeF"/>
          <w:bCs/>
          <w:sz w:val="2"/>
          <w:szCs w:val="2"/>
        </w:rPr>
        <w:t>17B</w:t>
      </w:r>
      <w:r w:rsidR="00C236AB">
        <w:rPr>
          <w:rFonts w:ascii="Calibri" w:hAnsi="Calibri" w:cs="Calibri"/>
          <w:bCs/>
          <w:sz w:val="24"/>
          <w:szCs w:val="24"/>
        </w:rPr>
        <w:t>I</w:t>
      </w:r>
      <w:r w:rsidR="00D073F6" w:rsidRPr="00C236AB">
        <w:rPr>
          <w:rFonts w:ascii="Calibri" w:hAnsi="Calibri" w:cs="Calibri"/>
          <w:bCs/>
          <w:sz w:val="24"/>
          <w:szCs w:val="24"/>
        </w:rPr>
        <w:t xml:space="preserve">nvolving librarians more in the </w:t>
      </w:r>
      <w:r w:rsidR="00C236AB">
        <w:rPr>
          <w:rFonts w:ascii="Calibri" w:hAnsi="Calibri" w:cs="Calibri"/>
          <w:bCs/>
          <w:sz w:val="24"/>
          <w:szCs w:val="24"/>
        </w:rPr>
        <w:t>process of obtaining accessible formats,</w:t>
      </w:r>
    </w:p>
    <w:p w14:paraId="299DCCDF" w14:textId="0D0FA424" w:rsidR="00C236AB" w:rsidRDefault="00B55C67" w:rsidP="00692AD9">
      <w:pPr>
        <w:pStyle w:val="ListParagraph"/>
        <w:numPr>
          <w:ilvl w:val="0"/>
          <w:numId w:val="8"/>
        </w:numPr>
        <w:spacing w:after="0" w:line="276" w:lineRule="auto"/>
        <w:rPr>
          <w:rFonts w:ascii="Calibri" w:hAnsi="Calibri" w:cs="Calibri"/>
          <w:bCs/>
          <w:sz w:val="24"/>
          <w:szCs w:val="24"/>
        </w:rPr>
      </w:pPr>
      <w:r>
        <w:rPr>
          <w:rFonts w:ascii="ZWAdobeF" w:hAnsi="ZWAdobeF" w:cs="ZWAdobeF"/>
          <w:bCs/>
          <w:sz w:val="2"/>
          <w:szCs w:val="2"/>
        </w:rPr>
        <w:t>18B</w:t>
      </w:r>
      <w:r w:rsidR="00C236AB">
        <w:rPr>
          <w:rFonts w:ascii="Calibri" w:hAnsi="Calibri" w:cs="Calibri"/>
          <w:bCs/>
          <w:sz w:val="24"/>
          <w:szCs w:val="24"/>
        </w:rPr>
        <w:t>A</w:t>
      </w:r>
      <w:r w:rsidR="00D073F6" w:rsidRPr="00C236AB">
        <w:rPr>
          <w:rFonts w:ascii="Calibri" w:hAnsi="Calibri" w:cs="Calibri"/>
          <w:bCs/>
          <w:sz w:val="24"/>
          <w:szCs w:val="24"/>
        </w:rPr>
        <w:t xml:space="preserve"> technology-based tool to help educators track </w:t>
      </w:r>
      <w:r w:rsidR="00C236AB">
        <w:rPr>
          <w:rFonts w:ascii="Calibri" w:hAnsi="Calibri" w:cs="Calibri"/>
          <w:bCs/>
          <w:sz w:val="24"/>
          <w:szCs w:val="24"/>
        </w:rPr>
        <w:t>students’</w:t>
      </w:r>
      <w:r w:rsidR="00D073F6" w:rsidRPr="00C236AB">
        <w:rPr>
          <w:rFonts w:ascii="Calibri" w:hAnsi="Calibri" w:cs="Calibri"/>
          <w:bCs/>
          <w:sz w:val="24"/>
          <w:szCs w:val="24"/>
        </w:rPr>
        <w:t xml:space="preserve"> needs </w:t>
      </w:r>
      <w:r w:rsidR="001C4793">
        <w:rPr>
          <w:rFonts w:ascii="Calibri" w:hAnsi="Calibri" w:cs="Calibri"/>
          <w:bCs/>
          <w:sz w:val="24"/>
          <w:szCs w:val="24"/>
        </w:rPr>
        <w:t>for</w:t>
      </w:r>
      <w:r w:rsidR="00D073F6" w:rsidRPr="00C236AB">
        <w:rPr>
          <w:rFonts w:ascii="Calibri" w:hAnsi="Calibri" w:cs="Calibri"/>
          <w:bCs/>
          <w:sz w:val="24"/>
          <w:szCs w:val="24"/>
        </w:rPr>
        <w:t xml:space="preserve"> accessible formats</w:t>
      </w:r>
      <w:r w:rsidR="00816B1F">
        <w:rPr>
          <w:rFonts w:ascii="Calibri" w:hAnsi="Calibri" w:cs="Calibri"/>
          <w:bCs/>
          <w:sz w:val="24"/>
          <w:szCs w:val="24"/>
        </w:rPr>
        <w:t>,</w:t>
      </w:r>
    </w:p>
    <w:p w14:paraId="72CF8E84" w14:textId="4CF92510" w:rsidR="00C236AB" w:rsidRDefault="00B55C67" w:rsidP="00692AD9">
      <w:pPr>
        <w:pStyle w:val="ListParagraph"/>
        <w:numPr>
          <w:ilvl w:val="0"/>
          <w:numId w:val="8"/>
        </w:numPr>
        <w:spacing w:after="0" w:line="276" w:lineRule="auto"/>
        <w:rPr>
          <w:rFonts w:ascii="Calibri" w:hAnsi="Calibri" w:cs="Calibri"/>
          <w:bCs/>
          <w:sz w:val="24"/>
          <w:szCs w:val="24"/>
        </w:rPr>
      </w:pPr>
      <w:r>
        <w:rPr>
          <w:rFonts w:ascii="ZWAdobeF" w:hAnsi="ZWAdobeF" w:cs="ZWAdobeF"/>
          <w:bCs/>
          <w:sz w:val="2"/>
          <w:szCs w:val="2"/>
        </w:rPr>
        <w:t>19</w:t>
      </w:r>
      <w:proofErr w:type="gramStart"/>
      <w:r>
        <w:rPr>
          <w:rFonts w:ascii="ZWAdobeF" w:hAnsi="ZWAdobeF" w:cs="ZWAdobeF"/>
          <w:bCs/>
          <w:sz w:val="2"/>
          <w:szCs w:val="2"/>
        </w:rPr>
        <w:t>B</w:t>
      </w:r>
      <w:r w:rsidR="00C236AB">
        <w:rPr>
          <w:rFonts w:ascii="Calibri" w:hAnsi="Calibri" w:cs="Calibri"/>
          <w:bCs/>
          <w:sz w:val="24"/>
          <w:szCs w:val="24"/>
        </w:rPr>
        <w:t>“</w:t>
      </w:r>
      <w:proofErr w:type="gramEnd"/>
      <w:r w:rsidR="00C236AB">
        <w:rPr>
          <w:rFonts w:ascii="Calibri" w:hAnsi="Calibri" w:cs="Calibri"/>
          <w:bCs/>
          <w:sz w:val="24"/>
          <w:szCs w:val="24"/>
        </w:rPr>
        <w:t>M</w:t>
      </w:r>
      <w:r w:rsidR="00C236AB" w:rsidRPr="00C236AB">
        <w:rPr>
          <w:rFonts w:ascii="Calibri" w:hAnsi="Calibri" w:cs="Calibri"/>
          <w:bCs/>
          <w:sz w:val="24"/>
          <w:szCs w:val="24"/>
        </w:rPr>
        <w:t>ore trained T</w:t>
      </w:r>
      <w:r w:rsidR="005B11E2">
        <w:rPr>
          <w:rFonts w:ascii="Calibri" w:hAnsi="Calibri" w:cs="Calibri"/>
          <w:bCs/>
          <w:sz w:val="24"/>
          <w:szCs w:val="24"/>
        </w:rPr>
        <w:t>V</w:t>
      </w:r>
      <w:r w:rsidR="00C236AB" w:rsidRPr="00C236AB">
        <w:rPr>
          <w:rFonts w:ascii="Calibri" w:hAnsi="Calibri" w:cs="Calibri"/>
          <w:bCs/>
          <w:sz w:val="24"/>
          <w:szCs w:val="24"/>
        </w:rPr>
        <w:t>Is” who can collaborate with other educators</w:t>
      </w:r>
      <w:r w:rsidR="00C236AB">
        <w:rPr>
          <w:rFonts w:ascii="Calibri" w:hAnsi="Calibri" w:cs="Calibri"/>
          <w:bCs/>
          <w:sz w:val="24"/>
          <w:szCs w:val="24"/>
        </w:rPr>
        <w:t>,</w:t>
      </w:r>
    </w:p>
    <w:p w14:paraId="21FABD73" w14:textId="64AC9C68" w:rsidR="00C236AB" w:rsidRDefault="00B55C67" w:rsidP="00692AD9">
      <w:pPr>
        <w:pStyle w:val="ListParagraph"/>
        <w:numPr>
          <w:ilvl w:val="0"/>
          <w:numId w:val="8"/>
        </w:numPr>
        <w:spacing w:after="0" w:line="276" w:lineRule="auto"/>
        <w:rPr>
          <w:rFonts w:ascii="Calibri" w:hAnsi="Calibri" w:cs="Calibri"/>
          <w:bCs/>
          <w:sz w:val="24"/>
          <w:szCs w:val="24"/>
        </w:rPr>
      </w:pPr>
      <w:r>
        <w:rPr>
          <w:rFonts w:ascii="ZWAdobeF" w:hAnsi="ZWAdobeF" w:cs="ZWAdobeF"/>
          <w:bCs/>
          <w:sz w:val="2"/>
          <w:szCs w:val="2"/>
        </w:rPr>
        <w:t>20B</w:t>
      </w:r>
      <w:r w:rsidR="00C236AB">
        <w:rPr>
          <w:rFonts w:ascii="Calibri" w:hAnsi="Calibri" w:cs="Calibri"/>
          <w:bCs/>
          <w:sz w:val="24"/>
          <w:szCs w:val="24"/>
        </w:rPr>
        <w:t>M</w:t>
      </w:r>
      <w:r w:rsidR="00C236AB" w:rsidRPr="00C236AB">
        <w:rPr>
          <w:rFonts w:ascii="Calibri" w:hAnsi="Calibri" w:cs="Calibri"/>
          <w:bCs/>
          <w:sz w:val="24"/>
          <w:szCs w:val="24"/>
        </w:rPr>
        <w:t>ore planning time allotted to collaboration among teachers and TVIs</w:t>
      </w:r>
      <w:r w:rsidR="00C236AB">
        <w:rPr>
          <w:rFonts w:ascii="Calibri" w:hAnsi="Calibri" w:cs="Calibri"/>
          <w:bCs/>
          <w:sz w:val="24"/>
          <w:szCs w:val="24"/>
        </w:rPr>
        <w:t>, and</w:t>
      </w:r>
    </w:p>
    <w:p w14:paraId="13E0B517" w14:textId="2CCD8D25" w:rsidR="00D073F6" w:rsidRPr="00C236AB" w:rsidRDefault="00B55C67" w:rsidP="00692AD9">
      <w:pPr>
        <w:pStyle w:val="ListParagraph"/>
        <w:numPr>
          <w:ilvl w:val="0"/>
          <w:numId w:val="8"/>
        </w:numPr>
        <w:spacing w:after="0" w:line="276" w:lineRule="auto"/>
        <w:rPr>
          <w:rFonts w:ascii="Calibri" w:hAnsi="Calibri" w:cs="Calibri"/>
          <w:bCs/>
          <w:sz w:val="24"/>
          <w:szCs w:val="24"/>
        </w:rPr>
      </w:pPr>
      <w:r>
        <w:rPr>
          <w:rFonts w:ascii="ZWAdobeF" w:hAnsi="ZWAdobeF" w:cs="ZWAdobeF"/>
          <w:bCs/>
          <w:sz w:val="2"/>
          <w:szCs w:val="2"/>
        </w:rPr>
        <w:t>21B</w:t>
      </w:r>
      <w:r w:rsidR="00C236AB">
        <w:rPr>
          <w:rFonts w:ascii="Calibri" w:hAnsi="Calibri" w:cs="Calibri"/>
          <w:bCs/>
          <w:sz w:val="24"/>
          <w:szCs w:val="24"/>
        </w:rPr>
        <w:t>W</w:t>
      </w:r>
      <w:r w:rsidR="00C236AB" w:rsidRPr="00C236AB">
        <w:rPr>
          <w:rFonts w:ascii="Calibri" w:hAnsi="Calibri" w:cs="Calibri"/>
          <w:bCs/>
          <w:sz w:val="24"/>
          <w:szCs w:val="24"/>
        </w:rPr>
        <w:t>orking with “state educational systems to find the most efficient way of making accessibility a high priority</w:t>
      </w:r>
      <w:r w:rsidR="001C4793">
        <w:rPr>
          <w:rFonts w:ascii="Calibri" w:hAnsi="Calibri" w:cs="Calibri"/>
          <w:bCs/>
          <w:sz w:val="24"/>
          <w:szCs w:val="24"/>
        </w:rPr>
        <w:t>, including</w:t>
      </w:r>
      <w:r w:rsidR="00C236AB" w:rsidRPr="00C236AB">
        <w:rPr>
          <w:rFonts w:ascii="Calibri" w:hAnsi="Calibri" w:cs="Calibri"/>
          <w:bCs/>
          <w:sz w:val="24"/>
          <w:szCs w:val="24"/>
        </w:rPr>
        <w:t xml:space="preserve"> clear protocols for efficiency and effectiveness that will ultimately support student access and quality instruction and support.” </w:t>
      </w:r>
    </w:p>
    <w:p w14:paraId="0B83669B" w14:textId="77777777" w:rsidR="00183F13" w:rsidRDefault="00183F13" w:rsidP="00F95B49">
      <w:pPr>
        <w:spacing w:after="0" w:line="276" w:lineRule="auto"/>
        <w:rPr>
          <w:rFonts w:ascii="Calibri" w:hAnsi="Calibri" w:cs="Calibri"/>
          <w:bCs/>
          <w:sz w:val="24"/>
          <w:szCs w:val="24"/>
        </w:rPr>
      </w:pPr>
    </w:p>
    <w:p w14:paraId="7E723850" w14:textId="63DA244E" w:rsidR="0013701F" w:rsidRPr="0013701F" w:rsidRDefault="00B55C67" w:rsidP="0013701F">
      <w:pPr>
        <w:spacing w:after="0" w:line="276" w:lineRule="auto"/>
        <w:rPr>
          <w:rFonts w:ascii="Calibri" w:hAnsi="Calibri" w:cs="Calibri"/>
          <w:sz w:val="24"/>
          <w:szCs w:val="24"/>
        </w:rPr>
      </w:pPr>
      <w:r>
        <w:rPr>
          <w:rFonts w:ascii="ZWAdobeF" w:hAnsi="ZWAdobeF" w:cs="ZWAdobeF"/>
          <w:bCs/>
          <w:sz w:val="2"/>
          <w:szCs w:val="2"/>
        </w:rPr>
        <w:t>216B</w:t>
      </w:r>
      <w:r w:rsidR="00F0250B">
        <w:rPr>
          <w:rFonts w:ascii="Calibri" w:hAnsi="Calibri" w:cs="Calibri"/>
          <w:bCs/>
          <w:sz w:val="24"/>
          <w:szCs w:val="24"/>
        </w:rPr>
        <w:t xml:space="preserve">To </w:t>
      </w:r>
      <w:r w:rsidR="00F0250B" w:rsidRPr="00F0250B">
        <w:rPr>
          <w:rFonts w:ascii="Calibri" w:hAnsi="Calibri" w:cs="Calibri"/>
          <w:bCs/>
          <w:sz w:val="24"/>
          <w:szCs w:val="24"/>
        </w:rPr>
        <w:t xml:space="preserve">explore </w:t>
      </w:r>
      <w:r w:rsidR="00975A42">
        <w:rPr>
          <w:rFonts w:ascii="Calibri" w:hAnsi="Calibri" w:cs="Calibri"/>
          <w:bCs/>
          <w:sz w:val="24"/>
          <w:szCs w:val="24"/>
        </w:rPr>
        <w:t xml:space="preserve">specific </w:t>
      </w:r>
      <w:r w:rsidR="00F0250B" w:rsidRPr="00F0250B">
        <w:rPr>
          <w:rFonts w:ascii="Calibri" w:hAnsi="Calibri" w:cs="Calibri"/>
          <w:bCs/>
          <w:sz w:val="24"/>
          <w:szCs w:val="24"/>
        </w:rPr>
        <w:t xml:space="preserve">challenges related to timely delivery in charter schools, survey respondents were </w:t>
      </w:r>
      <w:r w:rsidR="002C1D1D">
        <w:rPr>
          <w:rFonts w:ascii="Calibri" w:hAnsi="Calibri" w:cs="Calibri"/>
          <w:bCs/>
          <w:sz w:val="24"/>
          <w:szCs w:val="24"/>
        </w:rPr>
        <w:t xml:space="preserve">able to select multiple factors </w:t>
      </w:r>
      <w:r w:rsidR="00A24C1E">
        <w:rPr>
          <w:rFonts w:ascii="Calibri" w:hAnsi="Calibri" w:cs="Calibri"/>
          <w:sz w:val="24"/>
          <w:szCs w:val="24"/>
        </w:rPr>
        <w:t xml:space="preserve">that </w:t>
      </w:r>
      <w:r w:rsidR="00F0250B" w:rsidRPr="00F0250B">
        <w:rPr>
          <w:rFonts w:ascii="Calibri" w:hAnsi="Calibri" w:cs="Calibri"/>
          <w:sz w:val="24"/>
          <w:szCs w:val="24"/>
        </w:rPr>
        <w:t>hinder timely delivery of accessible formats for students in charter schools</w:t>
      </w:r>
      <w:r>
        <w:rPr>
          <w:rFonts w:ascii="ZWAdobeF" w:hAnsi="ZWAdobeF" w:cs="ZWAdobeF"/>
          <w:sz w:val="2"/>
          <w:szCs w:val="2"/>
        </w:rPr>
        <w:t>65F</w:t>
      </w:r>
      <w:r w:rsidR="00BB4D0B">
        <w:rPr>
          <w:rStyle w:val="FootnoteReference"/>
          <w:rFonts w:ascii="Calibri" w:hAnsi="Calibri" w:cs="Calibri"/>
          <w:bCs/>
          <w:sz w:val="24"/>
          <w:szCs w:val="24"/>
        </w:rPr>
        <w:footnoteReference w:id="67"/>
      </w:r>
      <w:r w:rsidR="00F0250B" w:rsidRPr="00F0250B">
        <w:rPr>
          <w:rFonts w:ascii="Calibri" w:hAnsi="Calibri" w:cs="Calibri"/>
          <w:sz w:val="24"/>
          <w:szCs w:val="24"/>
        </w:rPr>
        <w:t xml:space="preserve"> </w:t>
      </w:r>
      <w:r w:rsidR="0084076F">
        <w:rPr>
          <w:rFonts w:ascii="Calibri" w:hAnsi="Calibri" w:cs="Calibri"/>
          <w:sz w:val="24"/>
          <w:szCs w:val="24"/>
        </w:rPr>
        <w:t>(</w:t>
      </w:r>
      <w:r w:rsidR="00F0250B" w:rsidRPr="00F0250B">
        <w:rPr>
          <w:rFonts w:ascii="Calibri" w:hAnsi="Calibri" w:cs="Calibri"/>
          <w:sz w:val="24"/>
          <w:szCs w:val="24"/>
        </w:rPr>
        <w:t xml:space="preserve">all of which are presented below in Figure </w:t>
      </w:r>
      <w:r w:rsidR="00CB6034">
        <w:rPr>
          <w:rFonts w:ascii="Calibri" w:hAnsi="Calibri" w:cs="Calibri"/>
          <w:sz w:val="24"/>
          <w:szCs w:val="24"/>
        </w:rPr>
        <w:t>31</w:t>
      </w:r>
      <w:r w:rsidR="0084076F">
        <w:rPr>
          <w:rFonts w:ascii="Calibri" w:hAnsi="Calibri" w:cs="Calibri"/>
          <w:sz w:val="24"/>
          <w:szCs w:val="24"/>
        </w:rPr>
        <w:t>)</w:t>
      </w:r>
      <w:r w:rsidR="00F0250B" w:rsidRPr="00F0250B">
        <w:rPr>
          <w:rFonts w:ascii="Calibri" w:hAnsi="Calibri" w:cs="Calibri"/>
          <w:sz w:val="24"/>
          <w:szCs w:val="24"/>
        </w:rPr>
        <w:t xml:space="preserve">. </w:t>
      </w:r>
      <w:r w:rsidR="0013701F">
        <w:rPr>
          <w:rFonts w:ascii="Calibri" w:hAnsi="Calibri" w:cs="Calibri"/>
          <w:sz w:val="24"/>
          <w:szCs w:val="24"/>
        </w:rPr>
        <w:t>Approximately 70% of respondents endorsed all three options: “</w:t>
      </w:r>
      <w:r w:rsidR="0013701F" w:rsidRPr="0013701F">
        <w:rPr>
          <w:rFonts w:ascii="Calibri" w:hAnsi="Calibri" w:cs="Calibri"/>
          <w:sz w:val="24"/>
          <w:szCs w:val="24"/>
        </w:rPr>
        <w:t xml:space="preserve">Lack of familiarity with special education and the process for obtaining accessible formats among charter school administrators,” </w:t>
      </w:r>
      <w:r w:rsidR="005469F1">
        <w:rPr>
          <w:rFonts w:ascii="Calibri" w:hAnsi="Calibri" w:cs="Calibri"/>
          <w:sz w:val="24"/>
          <w:szCs w:val="24"/>
        </w:rPr>
        <w:t>“</w:t>
      </w:r>
      <w:r w:rsidR="0013701F" w:rsidRPr="0013701F">
        <w:rPr>
          <w:rFonts w:ascii="Calibri" w:hAnsi="Calibri" w:cs="Calibri"/>
          <w:sz w:val="24"/>
          <w:szCs w:val="24"/>
        </w:rPr>
        <w:t>Lack of resources needed to obtain accessible formats,” and “Lack of accountability systems to promote timely delivery of accessible formats</w:t>
      </w:r>
      <w:r w:rsidR="0013701F">
        <w:rPr>
          <w:rFonts w:ascii="Calibri" w:hAnsi="Calibri" w:cs="Calibri"/>
          <w:sz w:val="24"/>
          <w:szCs w:val="24"/>
        </w:rPr>
        <w:t xml:space="preserve">.” </w:t>
      </w:r>
    </w:p>
    <w:p w14:paraId="44E09C25" w14:textId="77777777" w:rsidR="00F0250B" w:rsidRDefault="00F0250B" w:rsidP="00F0250B">
      <w:pPr>
        <w:spacing w:after="0" w:line="276" w:lineRule="auto"/>
        <w:rPr>
          <w:rFonts w:ascii="Calibri" w:hAnsi="Calibri" w:cs="Calibri"/>
          <w:sz w:val="24"/>
          <w:szCs w:val="24"/>
          <w:highlight w:val="yellow"/>
        </w:rPr>
      </w:pPr>
    </w:p>
    <w:p w14:paraId="507314C3" w14:textId="77777777" w:rsidR="00F0250B" w:rsidRPr="00F0250B" w:rsidRDefault="00F0250B" w:rsidP="00F0250B">
      <w:pPr>
        <w:rPr>
          <w:rFonts w:ascii="Calibri" w:hAnsi="Calibri" w:cs="Calibri"/>
          <w:sz w:val="24"/>
          <w:szCs w:val="24"/>
        </w:rPr>
      </w:pPr>
    </w:p>
    <w:p w14:paraId="123E2CF5" w14:textId="77777777" w:rsidR="005B11E2" w:rsidRDefault="005B11E2">
      <w:pPr>
        <w:rPr>
          <w:rFonts w:ascii="Calibri" w:eastAsiaTheme="majorEastAsia" w:hAnsi="Calibri" w:cs="Calibri"/>
          <w:smallCaps/>
          <w:color w:val="44546A" w:themeColor="text2"/>
          <w:sz w:val="24"/>
          <w:szCs w:val="24"/>
        </w:rPr>
      </w:pPr>
      <w:r>
        <w:rPr>
          <w:rFonts w:ascii="Calibri" w:hAnsi="Calibri" w:cs="Calibri"/>
          <w:smallCaps/>
          <w:color w:val="44546A" w:themeColor="text2"/>
        </w:rPr>
        <w:br w:type="page"/>
      </w:r>
    </w:p>
    <w:p w14:paraId="69F050E8" w14:textId="42AFB541" w:rsidR="00F0250B" w:rsidRPr="005C3D87" w:rsidRDefault="00F0250B" w:rsidP="004946C3">
      <w:pPr>
        <w:pStyle w:val="Heading4"/>
      </w:pPr>
      <w:bookmarkStart w:id="79" w:name="_Toc222904031"/>
      <w:r w:rsidRPr="00F0250B">
        <w:lastRenderedPageBreak/>
        <w:t>Figure</w:t>
      </w:r>
      <w:r w:rsidR="005469F1">
        <w:t xml:space="preserve"> </w:t>
      </w:r>
      <w:r w:rsidR="00CB6034">
        <w:t>31</w:t>
      </w:r>
      <w:r w:rsidRPr="00F0250B">
        <w:t xml:space="preserve">. Factors that </w:t>
      </w:r>
      <w:r w:rsidRPr="005C3D87">
        <w:t>Hinder Timely Delivery in Charter Schools</w:t>
      </w:r>
      <w:r w:rsidR="00B55C67">
        <w:rPr>
          <w:rFonts w:ascii="ZWAdobeF" w:hAnsi="ZWAdobeF" w:cs="ZWAdobeF"/>
          <w:i w:val="0"/>
          <w:color w:val="auto"/>
          <w:sz w:val="2"/>
          <w:szCs w:val="2"/>
        </w:rPr>
        <w:t>66F</w:t>
      </w:r>
      <w:r w:rsidRPr="005C3D87">
        <w:rPr>
          <w:rStyle w:val="FootnoteReference"/>
          <w:rFonts w:cs="Calibri"/>
          <w:smallCaps/>
          <w:color w:val="44546A" w:themeColor="text2"/>
        </w:rPr>
        <w:footnoteReference w:id="68"/>
      </w:r>
      <w:bookmarkEnd w:id="79"/>
      <w:r w:rsidRPr="005C3D87">
        <w:t xml:space="preserve"> </w:t>
      </w:r>
    </w:p>
    <w:p w14:paraId="6EE32862" w14:textId="6E2CB0C9" w:rsidR="00993194" w:rsidRDefault="00B55C67" w:rsidP="00993194">
      <w:pPr>
        <w:jc w:val="center"/>
        <w:rPr>
          <w:color w:val="000000" w:themeColor="text1"/>
        </w:rPr>
      </w:pPr>
      <w:r>
        <w:rPr>
          <w:rFonts w:ascii="ZWAdobeF" w:hAnsi="ZWAdobeF" w:cs="ZWAdobeF"/>
          <w:sz w:val="2"/>
          <w:szCs w:val="2"/>
        </w:rPr>
        <w:t>217</w:t>
      </w:r>
      <w:proofErr w:type="gramStart"/>
      <w:r>
        <w:rPr>
          <w:rFonts w:ascii="ZWAdobeF" w:hAnsi="ZWAdobeF" w:cs="ZWAdobeF"/>
          <w:sz w:val="2"/>
          <w:szCs w:val="2"/>
        </w:rPr>
        <w:t>B</w:t>
      </w:r>
      <w:r w:rsidR="00F0250B" w:rsidRPr="005C3D87">
        <w:rPr>
          <w:color w:val="000000" w:themeColor="text1"/>
        </w:rPr>
        <w:t>(</w:t>
      </w:r>
      <w:proofErr w:type="gramEnd"/>
      <w:r w:rsidR="00F0250B" w:rsidRPr="005C3D87">
        <w:rPr>
          <w:i/>
          <w:iCs/>
          <w:color w:val="000000" w:themeColor="text1"/>
        </w:rPr>
        <w:t>n</w:t>
      </w:r>
      <w:r w:rsidR="00F0250B" w:rsidRPr="005C3D87">
        <w:rPr>
          <w:color w:val="000000" w:themeColor="text1"/>
        </w:rPr>
        <w:t xml:space="preserve"> = </w:t>
      </w:r>
      <w:r w:rsidR="005C3D87" w:rsidRPr="005C3D87">
        <w:rPr>
          <w:color w:val="000000" w:themeColor="text1"/>
        </w:rPr>
        <w:t>101</w:t>
      </w:r>
      <w:r w:rsidR="00F0250B" w:rsidRPr="005C3D87">
        <w:rPr>
          <w:color w:val="000000" w:themeColor="text1"/>
        </w:rPr>
        <w:t>)</w:t>
      </w:r>
    </w:p>
    <w:p w14:paraId="470CBD63" w14:textId="5AEB1B27" w:rsidR="00F0250B" w:rsidRPr="00993194" w:rsidRDefault="005C3D87" w:rsidP="00993194">
      <w:pPr>
        <w:jc w:val="center"/>
        <w:rPr>
          <w:color w:val="000000" w:themeColor="text1"/>
        </w:rPr>
      </w:pPr>
      <w:r w:rsidRPr="00F0250B">
        <w:rPr>
          <w:rFonts w:ascii="Times New Roman" w:hAnsi="Times New Roman" w:cs="Times New Roman"/>
          <w:noProof/>
          <w:sz w:val="24"/>
          <w:szCs w:val="24"/>
          <w:highlight w:val="yellow"/>
        </w:rPr>
        <w:drawing>
          <wp:anchor distT="0" distB="0" distL="114300" distR="114300" simplePos="0" relativeHeight="251688960" behindDoc="0" locked="0" layoutInCell="1" allowOverlap="1" wp14:anchorId="36B4C466" wp14:editId="63D0F53A">
            <wp:simplePos x="0" y="0"/>
            <wp:positionH relativeFrom="column">
              <wp:posOffset>38836</wp:posOffset>
            </wp:positionH>
            <wp:positionV relativeFrom="paragraph">
              <wp:posOffset>-1434</wp:posOffset>
            </wp:positionV>
            <wp:extent cx="5861685" cy="2219325"/>
            <wp:effectExtent l="0" t="0" r="5715" b="0"/>
            <wp:wrapTopAndBottom/>
            <wp:docPr id="517327836" name="Chart 517327836" descr="Figure 31 is a horizontal bar chart showing factors that hinder timely delivery of accessible formats in charter schools (n = 101). Respondents reported lack of familiarity among charter school administrators with special education and the process for obtaining accessible formats as a barrier (72%). Lack of resources needed to obtain accessible formats was reported by 69%. Lack of accountability systems to promote timely delivery of accessible formats was reported by 68%. Other factors were reported by 5%."/>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anchor>
        </w:drawing>
      </w:r>
    </w:p>
    <w:p w14:paraId="45EF66C6" w14:textId="17A69EF4" w:rsidR="00C906A2" w:rsidRPr="005469F1" w:rsidRDefault="00B55C67" w:rsidP="00F0250B">
      <w:pPr>
        <w:spacing w:after="0" w:line="276" w:lineRule="auto"/>
        <w:rPr>
          <w:rFonts w:cstheme="minorHAnsi"/>
          <w:sz w:val="24"/>
          <w:szCs w:val="24"/>
        </w:rPr>
      </w:pPr>
      <w:r>
        <w:rPr>
          <w:rFonts w:ascii="ZWAdobeF" w:hAnsi="ZWAdobeF" w:cs="ZWAdobeF"/>
          <w:sz w:val="2"/>
          <w:szCs w:val="2"/>
        </w:rPr>
        <w:t>218B</w:t>
      </w:r>
      <w:r w:rsidR="00F0250B" w:rsidRPr="0013701F">
        <w:rPr>
          <w:rFonts w:cstheme="minorHAnsi"/>
          <w:sz w:val="24"/>
          <w:szCs w:val="24"/>
        </w:rPr>
        <w:t xml:space="preserve">When comparing the pattern of responses displayed in Figure </w:t>
      </w:r>
      <w:r w:rsidR="00CB6034">
        <w:rPr>
          <w:rFonts w:cstheme="minorHAnsi"/>
          <w:sz w:val="24"/>
          <w:szCs w:val="24"/>
        </w:rPr>
        <w:t>31</w:t>
      </w:r>
      <w:r w:rsidR="00F0250B" w:rsidRPr="0013701F">
        <w:rPr>
          <w:rFonts w:cstheme="minorHAnsi"/>
          <w:sz w:val="24"/>
          <w:szCs w:val="24"/>
        </w:rPr>
        <w:t xml:space="preserve"> across the three case study states as well as the national survey, there was</w:t>
      </w:r>
      <w:r w:rsidR="007D2B26">
        <w:rPr>
          <w:rFonts w:cstheme="minorHAnsi"/>
          <w:sz w:val="24"/>
          <w:szCs w:val="24"/>
        </w:rPr>
        <w:t xml:space="preserve"> </w:t>
      </w:r>
      <w:r w:rsidR="007D2B26" w:rsidRPr="00145913">
        <w:rPr>
          <w:rFonts w:cstheme="minorHAnsi"/>
          <w:i/>
          <w:iCs/>
          <w:color w:val="DC2328"/>
          <w:sz w:val="24"/>
          <w:szCs w:val="24"/>
        </w:rPr>
        <w:t xml:space="preserve">one </w:t>
      </w:r>
      <w:r w:rsidR="00F0250B" w:rsidRPr="00145913">
        <w:rPr>
          <w:rFonts w:cstheme="minorHAnsi"/>
          <w:i/>
          <w:iCs/>
          <w:color w:val="DC2328"/>
          <w:sz w:val="24"/>
          <w:szCs w:val="24"/>
        </w:rPr>
        <w:t>statistically significant finding</w:t>
      </w:r>
      <w:r w:rsidR="00F0250B" w:rsidRPr="00B7706B">
        <w:rPr>
          <w:rFonts w:cstheme="minorHAnsi"/>
          <w:color w:val="EE0000"/>
          <w:sz w:val="24"/>
          <w:szCs w:val="24"/>
        </w:rPr>
        <w:t>.</w:t>
      </w:r>
      <w:r w:rsidR="00F0250B" w:rsidRPr="00C906A2">
        <w:rPr>
          <w:rFonts w:cstheme="minorHAnsi"/>
          <w:sz w:val="24"/>
          <w:szCs w:val="24"/>
        </w:rPr>
        <w:t xml:space="preserve"> Specifically, </w:t>
      </w:r>
      <w:r w:rsidR="007D2B26" w:rsidRPr="00C906A2">
        <w:rPr>
          <w:rFonts w:cstheme="minorHAnsi"/>
          <w:sz w:val="24"/>
          <w:szCs w:val="24"/>
        </w:rPr>
        <w:t>respondents in Ohio were more likely to endorse “Lack of familiarity with special education</w:t>
      </w:r>
      <w:r w:rsidR="007D2B26" w:rsidRPr="007D2B26">
        <w:rPr>
          <w:rFonts w:cstheme="minorHAnsi"/>
          <w:sz w:val="24"/>
          <w:szCs w:val="24"/>
        </w:rPr>
        <w:t xml:space="preserve"> and the process for obtaining accessible formats among charter school administrators” (</w:t>
      </w:r>
      <w:r w:rsidR="007D2B26" w:rsidRPr="007D2B26">
        <w:rPr>
          <w:rFonts w:cstheme="minorHAnsi"/>
          <w:sz w:val="24"/>
          <w:szCs w:val="24"/>
        </w:rPr>
        <w:sym w:font="Symbol" w:char="F063"/>
      </w:r>
      <w:r w:rsidR="007D2B26" w:rsidRPr="007D2B26">
        <w:rPr>
          <w:rFonts w:cstheme="minorHAnsi"/>
          <w:sz w:val="24"/>
          <w:szCs w:val="24"/>
          <w:vertAlign w:val="superscript"/>
        </w:rPr>
        <w:t>2</w:t>
      </w:r>
      <w:r w:rsidR="007D2B26" w:rsidRPr="007D2B26">
        <w:rPr>
          <w:rFonts w:cstheme="minorHAnsi"/>
          <w:sz w:val="24"/>
          <w:szCs w:val="24"/>
        </w:rPr>
        <w:t xml:space="preserve">(3) = 8.15, </w:t>
      </w:r>
      <w:r w:rsidR="007D2B26" w:rsidRPr="007D2B26">
        <w:rPr>
          <w:rFonts w:cstheme="minorHAnsi"/>
          <w:i/>
          <w:iCs/>
          <w:sz w:val="24"/>
          <w:szCs w:val="24"/>
        </w:rPr>
        <w:t>p</w:t>
      </w:r>
      <w:r w:rsidR="007D2B26" w:rsidRPr="007D2B26">
        <w:rPr>
          <w:rFonts w:cstheme="minorHAnsi"/>
          <w:sz w:val="24"/>
          <w:szCs w:val="24"/>
        </w:rPr>
        <w:t xml:space="preserve"> &lt; .05, standardized residual = 2.0; see Figure </w:t>
      </w:r>
      <w:r w:rsidR="00CB6034">
        <w:rPr>
          <w:rFonts w:cstheme="minorHAnsi"/>
          <w:sz w:val="24"/>
          <w:szCs w:val="24"/>
        </w:rPr>
        <w:t>32</w:t>
      </w:r>
      <w:r w:rsidR="007D2B26" w:rsidRPr="007D2B26">
        <w:rPr>
          <w:rFonts w:cstheme="minorHAnsi"/>
          <w:sz w:val="24"/>
          <w:szCs w:val="24"/>
        </w:rPr>
        <w:t>).</w:t>
      </w:r>
      <w:r w:rsidR="007D2B26">
        <w:rPr>
          <w:rFonts w:cstheme="minorHAnsi"/>
          <w:sz w:val="24"/>
          <w:szCs w:val="24"/>
        </w:rPr>
        <w:t xml:space="preserve"> </w:t>
      </w:r>
      <w:r w:rsidR="005F4601" w:rsidRPr="005469F1">
        <w:rPr>
          <w:rFonts w:cstheme="minorHAnsi"/>
          <w:sz w:val="24"/>
          <w:szCs w:val="24"/>
        </w:rPr>
        <w:t>This finding indicates that</w:t>
      </w:r>
      <w:r w:rsidR="00C906A2" w:rsidRPr="005469F1">
        <w:rPr>
          <w:rFonts w:cstheme="minorHAnsi"/>
          <w:sz w:val="24"/>
          <w:szCs w:val="24"/>
        </w:rPr>
        <w:t xml:space="preserve"> charter school administrators in Ohio may be less familiar with special education and processes for obtaining accessible formats compared to charter school administrators in other states. </w:t>
      </w:r>
    </w:p>
    <w:p w14:paraId="4205DC4B" w14:textId="77777777" w:rsidR="00F0250B" w:rsidRPr="00F0250B" w:rsidRDefault="00F0250B" w:rsidP="00F0250B">
      <w:pPr>
        <w:spacing w:after="0" w:line="276" w:lineRule="auto"/>
        <w:rPr>
          <w:rFonts w:ascii="Times New Roman" w:hAnsi="Times New Roman" w:cs="Times New Roman"/>
          <w:sz w:val="24"/>
          <w:szCs w:val="24"/>
          <w:highlight w:val="yellow"/>
        </w:rPr>
      </w:pPr>
    </w:p>
    <w:p w14:paraId="6CCF359D" w14:textId="77777777" w:rsidR="005469F1" w:rsidRDefault="005469F1">
      <w:pPr>
        <w:rPr>
          <w:rFonts w:ascii="Calibri" w:eastAsiaTheme="majorEastAsia" w:hAnsi="Calibri" w:cs="Calibri"/>
          <w:smallCaps/>
          <w:color w:val="44546A" w:themeColor="text2"/>
          <w:sz w:val="24"/>
          <w:szCs w:val="24"/>
        </w:rPr>
      </w:pPr>
      <w:r>
        <w:rPr>
          <w:rFonts w:ascii="Calibri" w:hAnsi="Calibri" w:cs="Calibri"/>
          <w:smallCaps/>
          <w:color w:val="44546A" w:themeColor="text2"/>
        </w:rPr>
        <w:br w:type="page"/>
      </w:r>
    </w:p>
    <w:p w14:paraId="75E11357" w14:textId="69C94E2F" w:rsidR="00F0250B" w:rsidRPr="005F4601" w:rsidRDefault="00F0250B" w:rsidP="004946C3">
      <w:pPr>
        <w:pStyle w:val="Heading4"/>
      </w:pPr>
      <w:bookmarkStart w:id="80" w:name="_Toc222904032"/>
      <w:r w:rsidRPr="005F4601">
        <w:lastRenderedPageBreak/>
        <w:t xml:space="preserve">Figure </w:t>
      </w:r>
      <w:r w:rsidR="00CB6034">
        <w:t>32</w:t>
      </w:r>
      <w:r w:rsidRPr="005F4601">
        <w:t xml:space="preserve">. </w:t>
      </w:r>
      <w:r w:rsidR="005F4601" w:rsidRPr="005F4601">
        <w:t>Factors that Hinder Timely Delivery in Charter Schools</w:t>
      </w:r>
      <w:r w:rsidRPr="005F4601">
        <w:t>: Difference by Location</w:t>
      </w:r>
      <w:r w:rsidR="00B55C67">
        <w:rPr>
          <w:rFonts w:ascii="ZWAdobeF" w:hAnsi="ZWAdobeF" w:cs="ZWAdobeF"/>
          <w:i w:val="0"/>
          <w:color w:val="auto"/>
          <w:sz w:val="2"/>
          <w:szCs w:val="2"/>
        </w:rPr>
        <w:t>67F</w:t>
      </w:r>
      <w:r w:rsidRPr="005F4601">
        <w:rPr>
          <w:rStyle w:val="FootnoteReference"/>
          <w:rFonts w:cs="Calibri"/>
          <w:smallCaps/>
          <w:color w:val="44546A" w:themeColor="text2"/>
        </w:rPr>
        <w:footnoteReference w:id="69"/>
      </w:r>
      <w:bookmarkEnd w:id="80"/>
    </w:p>
    <w:p w14:paraId="37E0F97F" w14:textId="025F28A3" w:rsidR="00F0250B" w:rsidRPr="00993194" w:rsidRDefault="00B55C67" w:rsidP="00993194">
      <w:pPr>
        <w:jc w:val="center"/>
      </w:pPr>
      <w:r>
        <w:rPr>
          <w:rFonts w:ascii="ZWAdobeF" w:hAnsi="ZWAdobeF" w:cs="ZWAdobeF"/>
          <w:sz w:val="2"/>
          <w:szCs w:val="2"/>
        </w:rPr>
        <w:t>219</w:t>
      </w:r>
      <w:proofErr w:type="gramStart"/>
      <w:r>
        <w:rPr>
          <w:rFonts w:ascii="ZWAdobeF" w:hAnsi="ZWAdobeF" w:cs="ZWAdobeF"/>
          <w:sz w:val="2"/>
          <w:szCs w:val="2"/>
        </w:rPr>
        <w:t>B</w:t>
      </w:r>
      <w:r w:rsidR="00F0250B" w:rsidRPr="005F4601">
        <w:t>(</w:t>
      </w:r>
      <w:proofErr w:type="gramEnd"/>
      <w:r w:rsidR="00F0250B" w:rsidRPr="005F4601">
        <w:rPr>
          <w:i/>
          <w:iCs/>
        </w:rPr>
        <w:t>n</w:t>
      </w:r>
      <w:r w:rsidR="00F0250B" w:rsidRPr="005F4601">
        <w:t xml:space="preserve"> = </w:t>
      </w:r>
      <w:r w:rsidR="005F4601" w:rsidRPr="005F4601">
        <w:t>101</w:t>
      </w:r>
      <w:r w:rsidR="00F0250B" w:rsidRPr="005F4601">
        <w:t>)</w:t>
      </w:r>
    </w:p>
    <w:p w14:paraId="4CD056E6" w14:textId="1EC4E3AD" w:rsidR="00F0250B" w:rsidRPr="005469F1" w:rsidRDefault="00B55C67" w:rsidP="00F0250B">
      <w:pPr>
        <w:spacing w:after="0" w:line="276" w:lineRule="auto"/>
        <w:jc w:val="center"/>
        <w:rPr>
          <w:rFonts w:ascii="Times New Roman" w:hAnsi="Times New Roman" w:cs="Times New Roman"/>
          <w:sz w:val="24"/>
          <w:szCs w:val="24"/>
        </w:rPr>
      </w:pPr>
      <w:r>
        <w:rPr>
          <w:rFonts w:ascii="ZWAdobeF" w:hAnsi="ZWAdobeF" w:cs="ZWAdobeF"/>
          <w:sz w:val="2"/>
          <w:szCs w:val="2"/>
        </w:rPr>
        <w:t>220B</w:t>
      </w:r>
      <w:r w:rsidR="00F0250B" w:rsidRPr="005469F1">
        <w:rPr>
          <w:rFonts w:ascii="Times New Roman" w:hAnsi="Times New Roman" w:cs="Times New Roman"/>
          <w:b/>
          <w:noProof/>
          <w:color w:val="0070C0"/>
        </w:rPr>
        <w:drawing>
          <wp:inline distT="0" distB="0" distL="0" distR="0" wp14:anchorId="45016D47" wp14:editId="6E7D18E4">
            <wp:extent cx="4512945" cy="3616569"/>
            <wp:effectExtent l="0" t="0" r="1905" b="3175"/>
            <wp:docPr id="627870669" name="Chart 3" descr="Figure 32 is a bar chart showing differences by location in the percentage of respondents who reported lack of familiarity among charter school administrators with special education and the process for obtaining accessible formats as a barrier to timely delivery (n = 101). National survey respondents reported 66% (n = 29), Ohio respondents reported 91% (n = 32), Oregon respondents reported 65% (n = 23), and Utah respondents reported 59% (n = 17). An asterisk indicates a statistically significant difference for Ohio."/>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01CEDA56" w14:textId="77777777" w:rsidR="005469F1" w:rsidRDefault="005469F1" w:rsidP="00F0250B">
      <w:pPr>
        <w:spacing w:after="0" w:line="276" w:lineRule="auto"/>
        <w:rPr>
          <w:rFonts w:ascii="Times New Roman" w:hAnsi="Times New Roman" w:cs="Times New Roman"/>
          <w:sz w:val="24"/>
          <w:szCs w:val="24"/>
          <w:highlight w:val="yellow"/>
        </w:rPr>
      </w:pPr>
    </w:p>
    <w:p w14:paraId="3A467DA6" w14:textId="5687473D" w:rsidR="003B5309" w:rsidRPr="003B5309" w:rsidRDefault="00B55C67" w:rsidP="00F0250B">
      <w:pPr>
        <w:spacing w:after="0" w:line="276" w:lineRule="auto"/>
        <w:rPr>
          <w:rFonts w:cstheme="minorHAnsi"/>
          <w:sz w:val="24"/>
          <w:szCs w:val="24"/>
          <w:highlight w:val="yellow"/>
        </w:rPr>
      </w:pPr>
      <w:r>
        <w:rPr>
          <w:rFonts w:ascii="ZWAdobeF" w:hAnsi="ZWAdobeF" w:cs="ZWAdobeF"/>
          <w:sz w:val="2"/>
          <w:szCs w:val="2"/>
        </w:rPr>
        <w:t>221B</w:t>
      </w:r>
      <w:r w:rsidR="003B5309" w:rsidRPr="003B5309">
        <w:rPr>
          <w:rFonts w:cstheme="minorHAnsi"/>
          <w:sz w:val="24"/>
          <w:szCs w:val="24"/>
        </w:rPr>
        <w:t xml:space="preserve">When examining </w:t>
      </w:r>
      <w:r w:rsidR="003B5309">
        <w:rPr>
          <w:rFonts w:cstheme="minorHAnsi"/>
          <w:sz w:val="24"/>
          <w:szCs w:val="24"/>
        </w:rPr>
        <w:t>factors</w:t>
      </w:r>
      <w:r w:rsidR="003B5309" w:rsidRPr="003B5309">
        <w:rPr>
          <w:rFonts w:cstheme="minorHAnsi"/>
          <w:sz w:val="24"/>
          <w:szCs w:val="24"/>
        </w:rPr>
        <w:t xml:space="preserve"> that hinder timely delivery </w:t>
      </w:r>
      <w:r w:rsidR="003B5309">
        <w:rPr>
          <w:rFonts w:cstheme="minorHAnsi"/>
          <w:sz w:val="24"/>
          <w:szCs w:val="24"/>
        </w:rPr>
        <w:t xml:space="preserve">in charter schools </w:t>
      </w:r>
      <w:r w:rsidR="003B5309" w:rsidRPr="003B5309">
        <w:rPr>
          <w:rFonts w:cstheme="minorHAnsi"/>
          <w:sz w:val="24"/>
          <w:szCs w:val="24"/>
        </w:rPr>
        <w:t>across roles, there w</w:t>
      </w:r>
      <w:r w:rsidR="003B5309">
        <w:rPr>
          <w:rFonts w:cstheme="minorHAnsi"/>
          <w:sz w:val="24"/>
          <w:szCs w:val="24"/>
        </w:rPr>
        <w:t xml:space="preserve">ere no statistically significant findings. </w:t>
      </w:r>
    </w:p>
    <w:p w14:paraId="75E4724C" w14:textId="77777777" w:rsidR="003B5309" w:rsidRPr="00F0250B" w:rsidRDefault="003B5309" w:rsidP="00F0250B">
      <w:pPr>
        <w:spacing w:after="0" w:line="276" w:lineRule="auto"/>
        <w:rPr>
          <w:rFonts w:ascii="Times New Roman" w:hAnsi="Times New Roman" w:cs="Times New Roman"/>
          <w:sz w:val="24"/>
          <w:szCs w:val="24"/>
          <w:highlight w:val="yellow"/>
        </w:rPr>
      </w:pPr>
    </w:p>
    <w:p w14:paraId="7EF3EE47" w14:textId="6E1C80D4" w:rsidR="00F0250B" w:rsidRPr="002229A2" w:rsidRDefault="00B55C67" w:rsidP="00F0250B">
      <w:pPr>
        <w:spacing w:after="0" w:line="276" w:lineRule="auto"/>
        <w:rPr>
          <w:rFonts w:cstheme="minorHAnsi"/>
          <w:sz w:val="24"/>
          <w:szCs w:val="24"/>
        </w:rPr>
      </w:pPr>
      <w:r>
        <w:rPr>
          <w:rFonts w:ascii="ZWAdobeF" w:hAnsi="ZWAdobeF" w:cs="ZWAdobeF"/>
          <w:sz w:val="2"/>
          <w:szCs w:val="2"/>
        </w:rPr>
        <w:t>222B</w:t>
      </w:r>
      <w:r w:rsidR="00F0250B" w:rsidRPr="002229A2">
        <w:rPr>
          <w:rFonts w:cstheme="minorHAnsi"/>
          <w:sz w:val="24"/>
          <w:szCs w:val="24"/>
        </w:rPr>
        <w:t xml:space="preserve">To supplement quantitative findings, we obtained qualitative responses from interview participants and survey respondents. Interview participants were asked to describe </w:t>
      </w:r>
      <w:r w:rsidR="002229A2" w:rsidRPr="002229A2">
        <w:rPr>
          <w:rFonts w:cstheme="minorHAnsi"/>
          <w:sz w:val="24"/>
          <w:szCs w:val="24"/>
        </w:rPr>
        <w:t>factors that hinder the timely delivery of accessible formats for students in charter schools</w:t>
      </w:r>
      <w:r w:rsidR="00EB004C">
        <w:rPr>
          <w:rFonts w:cstheme="minorHAnsi"/>
          <w:sz w:val="24"/>
          <w:szCs w:val="24"/>
        </w:rPr>
        <w:t>,</w:t>
      </w:r>
      <w:r w:rsidR="005A0BEC">
        <w:rPr>
          <w:rFonts w:cstheme="minorHAnsi"/>
          <w:sz w:val="24"/>
          <w:szCs w:val="24"/>
        </w:rPr>
        <w:t xml:space="preserve"> </w:t>
      </w:r>
      <w:r w:rsidR="00232534">
        <w:rPr>
          <w:rFonts w:cstheme="minorHAnsi"/>
          <w:sz w:val="24"/>
          <w:szCs w:val="24"/>
        </w:rPr>
        <w:t>including</w:t>
      </w:r>
      <w:r w:rsidR="005A0BEC">
        <w:rPr>
          <w:rFonts w:cstheme="minorHAnsi"/>
          <w:sz w:val="24"/>
          <w:szCs w:val="24"/>
        </w:rPr>
        <w:t xml:space="preserve"> online charter schools</w:t>
      </w:r>
      <w:r w:rsidR="00F0250B" w:rsidRPr="002229A2">
        <w:rPr>
          <w:rFonts w:cstheme="minorHAnsi"/>
          <w:sz w:val="24"/>
          <w:szCs w:val="24"/>
        </w:rPr>
        <w:t xml:space="preserve">. Survey respondents were given the opportunity to </w:t>
      </w:r>
      <w:r w:rsidR="00232534">
        <w:rPr>
          <w:rFonts w:cstheme="minorHAnsi"/>
          <w:sz w:val="24"/>
          <w:szCs w:val="24"/>
        </w:rPr>
        <w:t>suggest other factors</w:t>
      </w:r>
      <w:r w:rsidR="00F0250B" w:rsidRPr="002229A2">
        <w:rPr>
          <w:rFonts w:cstheme="minorHAnsi"/>
          <w:sz w:val="24"/>
          <w:szCs w:val="24"/>
        </w:rPr>
        <w:t xml:space="preserve"> </w:t>
      </w:r>
      <w:r w:rsidR="00232534">
        <w:rPr>
          <w:rFonts w:cstheme="minorHAnsi"/>
          <w:sz w:val="24"/>
          <w:szCs w:val="24"/>
        </w:rPr>
        <w:t xml:space="preserve">and </w:t>
      </w:r>
      <w:r w:rsidR="00F0250B" w:rsidRPr="002229A2">
        <w:rPr>
          <w:rFonts w:cstheme="minorHAnsi"/>
          <w:sz w:val="24"/>
          <w:szCs w:val="24"/>
        </w:rPr>
        <w:t xml:space="preserve">to explain their selections. </w:t>
      </w:r>
    </w:p>
    <w:p w14:paraId="6F090F6E" w14:textId="77777777" w:rsidR="00F0250B" w:rsidRPr="00F0250B" w:rsidRDefault="00F0250B" w:rsidP="00F0250B">
      <w:pPr>
        <w:spacing w:after="0" w:line="276" w:lineRule="auto"/>
        <w:rPr>
          <w:rFonts w:cstheme="minorHAnsi"/>
          <w:sz w:val="24"/>
          <w:szCs w:val="24"/>
          <w:highlight w:val="yellow"/>
        </w:rPr>
      </w:pPr>
    </w:p>
    <w:p w14:paraId="49A1CFB1" w14:textId="6686DD1A" w:rsidR="00F0250B" w:rsidRPr="007379B4" w:rsidRDefault="00B55C67" w:rsidP="00F0250B">
      <w:pPr>
        <w:spacing w:after="0" w:line="276" w:lineRule="auto"/>
        <w:rPr>
          <w:rFonts w:cstheme="minorHAnsi"/>
          <w:sz w:val="24"/>
          <w:szCs w:val="24"/>
        </w:rPr>
      </w:pPr>
      <w:r>
        <w:rPr>
          <w:rFonts w:ascii="ZWAdobeF" w:hAnsi="ZWAdobeF" w:cs="ZWAdobeF"/>
          <w:sz w:val="2"/>
          <w:szCs w:val="2"/>
        </w:rPr>
        <w:t>223B</w:t>
      </w:r>
      <w:r w:rsidR="00F0250B" w:rsidRPr="007379B4">
        <w:rPr>
          <w:rFonts w:cstheme="minorHAnsi"/>
          <w:sz w:val="24"/>
          <w:szCs w:val="24"/>
        </w:rPr>
        <w:t xml:space="preserve">Participants’ descriptions of </w:t>
      </w:r>
      <w:r w:rsidR="007379B4" w:rsidRPr="007379B4">
        <w:rPr>
          <w:rFonts w:cstheme="minorHAnsi"/>
          <w:sz w:val="24"/>
          <w:szCs w:val="24"/>
        </w:rPr>
        <w:t xml:space="preserve">factors that hinder timely delivery in charter schools are presented by theme in Table </w:t>
      </w:r>
      <w:r w:rsidR="005469F1">
        <w:rPr>
          <w:rFonts w:cstheme="minorHAnsi"/>
          <w:sz w:val="24"/>
          <w:szCs w:val="24"/>
        </w:rPr>
        <w:t>1</w:t>
      </w:r>
      <w:r w:rsidR="006A6885">
        <w:rPr>
          <w:rFonts w:cstheme="minorHAnsi"/>
          <w:sz w:val="24"/>
          <w:szCs w:val="24"/>
        </w:rPr>
        <w:t>6</w:t>
      </w:r>
      <w:r w:rsidR="00F0250B" w:rsidRPr="007379B4">
        <w:rPr>
          <w:rFonts w:cstheme="minorHAnsi"/>
          <w:sz w:val="24"/>
          <w:szCs w:val="24"/>
        </w:rPr>
        <w:t>.</w:t>
      </w:r>
      <w:r w:rsidR="00F0250B" w:rsidRPr="002229A2">
        <w:rPr>
          <w:rFonts w:cstheme="minorHAnsi"/>
          <w:sz w:val="24"/>
          <w:szCs w:val="24"/>
        </w:rPr>
        <w:t xml:space="preserve"> </w:t>
      </w:r>
      <w:r w:rsidR="007379B4">
        <w:rPr>
          <w:rFonts w:cstheme="minorHAnsi"/>
          <w:sz w:val="24"/>
          <w:szCs w:val="24"/>
        </w:rPr>
        <w:t xml:space="preserve">The </w:t>
      </w:r>
      <w:r w:rsidR="0003243C">
        <w:rPr>
          <w:rFonts w:cstheme="minorHAnsi"/>
          <w:sz w:val="24"/>
          <w:szCs w:val="24"/>
        </w:rPr>
        <w:t xml:space="preserve">factors </w:t>
      </w:r>
      <w:r w:rsidR="007379B4">
        <w:rPr>
          <w:rFonts w:cstheme="minorHAnsi"/>
          <w:sz w:val="24"/>
          <w:szCs w:val="24"/>
        </w:rPr>
        <w:t xml:space="preserve">most commonly described </w:t>
      </w:r>
      <w:r w:rsidR="0003243C">
        <w:rPr>
          <w:rFonts w:cstheme="minorHAnsi"/>
          <w:sz w:val="24"/>
          <w:szCs w:val="24"/>
        </w:rPr>
        <w:t xml:space="preserve">by participants </w:t>
      </w:r>
      <w:r w:rsidR="007379B4">
        <w:rPr>
          <w:rFonts w:cstheme="minorHAnsi"/>
          <w:sz w:val="24"/>
          <w:szCs w:val="24"/>
        </w:rPr>
        <w:t>were consistent with th</w:t>
      </w:r>
      <w:r w:rsidR="0003243C">
        <w:rPr>
          <w:rFonts w:cstheme="minorHAnsi"/>
          <w:sz w:val="24"/>
          <w:szCs w:val="24"/>
        </w:rPr>
        <w:t xml:space="preserve">ose </w:t>
      </w:r>
      <w:r w:rsidR="007379B4">
        <w:rPr>
          <w:rFonts w:cstheme="minorHAnsi"/>
          <w:sz w:val="24"/>
          <w:szCs w:val="24"/>
        </w:rPr>
        <w:t xml:space="preserve">presented in the survey: Lack of familiarity with special education and the process for obtaining accessible formats (15 excerpts), lack of resources needed to obtain </w:t>
      </w:r>
      <w:r w:rsidR="007379B4" w:rsidRPr="007379B4">
        <w:rPr>
          <w:rFonts w:cstheme="minorHAnsi"/>
          <w:sz w:val="24"/>
          <w:szCs w:val="24"/>
        </w:rPr>
        <w:t xml:space="preserve">accessible formats (9 excerpts), and lack of accountability systems to promote timely delivery (8 excerpts). </w:t>
      </w:r>
      <w:r w:rsidR="006F4CFB">
        <w:rPr>
          <w:rFonts w:cstheme="minorHAnsi"/>
          <w:sz w:val="24"/>
          <w:szCs w:val="24"/>
        </w:rPr>
        <w:t>One</w:t>
      </w:r>
      <w:r w:rsidR="006F4CFB" w:rsidRPr="007379B4">
        <w:rPr>
          <w:rFonts w:cstheme="minorHAnsi"/>
          <w:sz w:val="24"/>
          <w:szCs w:val="24"/>
        </w:rPr>
        <w:t xml:space="preserve"> </w:t>
      </w:r>
      <w:r w:rsidR="00F0250B" w:rsidRPr="007379B4">
        <w:rPr>
          <w:rFonts w:cstheme="minorHAnsi"/>
          <w:sz w:val="24"/>
          <w:szCs w:val="24"/>
        </w:rPr>
        <w:t>theme emerged from the qualitative data</w:t>
      </w:r>
      <w:r w:rsidR="001B2370">
        <w:rPr>
          <w:rFonts w:cstheme="minorHAnsi"/>
          <w:sz w:val="24"/>
          <w:szCs w:val="24"/>
        </w:rPr>
        <w:t xml:space="preserve"> that </w:t>
      </w:r>
      <w:r w:rsidR="006F4CFB">
        <w:rPr>
          <w:rFonts w:cstheme="minorHAnsi"/>
          <w:sz w:val="24"/>
          <w:szCs w:val="24"/>
        </w:rPr>
        <w:t xml:space="preserve">was </w:t>
      </w:r>
      <w:r w:rsidR="001B2370">
        <w:rPr>
          <w:rFonts w:cstheme="minorHAnsi"/>
          <w:sz w:val="24"/>
          <w:szCs w:val="24"/>
        </w:rPr>
        <w:t>not presented in the survey</w:t>
      </w:r>
      <w:r w:rsidR="00F0250B" w:rsidRPr="007379B4">
        <w:rPr>
          <w:rFonts w:cstheme="minorHAnsi"/>
          <w:sz w:val="24"/>
          <w:szCs w:val="24"/>
        </w:rPr>
        <w:t xml:space="preserve">: </w:t>
      </w:r>
      <w:r w:rsidR="006F4CFB">
        <w:rPr>
          <w:rFonts w:cstheme="minorHAnsi"/>
          <w:sz w:val="24"/>
          <w:szCs w:val="24"/>
        </w:rPr>
        <w:t xml:space="preserve">Frequent </w:t>
      </w:r>
      <w:r w:rsidR="006F4CFB">
        <w:rPr>
          <w:rFonts w:cstheme="minorHAnsi"/>
          <w:sz w:val="24"/>
          <w:szCs w:val="24"/>
        </w:rPr>
        <w:lastRenderedPageBreak/>
        <w:t>use of teacher-created, non-traditional, and digital materials that are difficult to make accessible (6 excerpts).</w:t>
      </w:r>
    </w:p>
    <w:p w14:paraId="5FA9A652" w14:textId="77777777" w:rsidR="00F0250B" w:rsidRPr="00F0250B" w:rsidRDefault="00F0250B" w:rsidP="00F0250B">
      <w:pPr>
        <w:spacing w:after="0" w:line="276" w:lineRule="auto"/>
        <w:rPr>
          <w:rFonts w:ascii="Times New Roman" w:hAnsi="Times New Roman" w:cs="Times New Roman"/>
          <w:sz w:val="24"/>
          <w:szCs w:val="24"/>
          <w:highlight w:val="yellow"/>
        </w:rPr>
      </w:pPr>
    </w:p>
    <w:p w14:paraId="0A5E7CA5" w14:textId="652B554C" w:rsidR="00F0250B" w:rsidRPr="00F0250B" w:rsidRDefault="00F0250B" w:rsidP="004946C3">
      <w:pPr>
        <w:pStyle w:val="Heading4"/>
        <w:rPr>
          <w:highlight w:val="yellow"/>
        </w:rPr>
      </w:pPr>
      <w:bookmarkStart w:id="81" w:name="_Toc222904033"/>
      <w:r w:rsidRPr="002229A2">
        <w:t xml:space="preserve">Table </w:t>
      </w:r>
      <w:r w:rsidR="005469F1">
        <w:t>1</w:t>
      </w:r>
      <w:r w:rsidR="006A6885">
        <w:t>6</w:t>
      </w:r>
      <w:r w:rsidRPr="002229A2">
        <w:t>. Qualitative</w:t>
      </w:r>
      <w:r w:rsidRPr="00F0250B">
        <w:t xml:space="preserve"> Descriptions of Factors that Hinder Timely Delivery in Charter Schools</w:t>
      </w:r>
      <w:bookmarkEnd w:id="81"/>
    </w:p>
    <w:p w14:paraId="65E08C26" w14:textId="5F90BCDB" w:rsidR="00F0250B" w:rsidRPr="005A0BEC" w:rsidRDefault="00B55C67" w:rsidP="00F0250B">
      <w:pPr>
        <w:jc w:val="center"/>
        <w:rPr>
          <w:rFonts w:ascii="Calibri" w:hAnsi="Calibri" w:cs="Calibri"/>
        </w:rPr>
      </w:pPr>
      <w:r>
        <w:rPr>
          <w:rFonts w:ascii="ZWAdobeF" w:hAnsi="ZWAdobeF" w:cs="ZWAdobeF"/>
          <w:sz w:val="2"/>
          <w:szCs w:val="2"/>
        </w:rPr>
        <w:t>224</w:t>
      </w:r>
      <w:proofErr w:type="gramStart"/>
      <w:r>
        <w:rPr>
          <w:rFonts w:ascii="ZWAdobeF" w:hAnsi="ZWAdobeF" w:cs="ZWAdobeF"/>
          <w:sz w:val="2"/>
          <w:szCs w:val="2"/>
        </w:rPr>
        <w:t>B</w:t>
      </w:r>
      <w:r w:rsidR="00F0250B" w:rsidRPr="005A0BEC">
        <w:rPr>
          <w:rFonts w:ascii="Calibri" w:hAnsi="Calibri" w:cs="Calibri"/>
        </w:rPr>
        <w:t>(</w:t>
      </w:r>
      <w:proofErr w:type="gramEnd"/>
      <w:r w:rsidR="00F54738">
        <w:rPr>
          <w:rFonts w:ascii="Calibri" w:hAnsi="Calibri" w:cs="Calibri"/>
        </w:rPr>
        <w:t>34</w:t>
      </w:r>
      <w:r w:rsidR="00F0250B" w:rsidRPr="005A0BEC">
        <w:rPr>
          <w:rFonts w:ascii="Calibri" w:hAnsi="Calibri" w:cs="Calibri"/>
        </w:rPr>
        <w:t xml:space="preserve"> excerpts)</w:t>
      </w:r>
    </w:p>
    <w:tbl>
      <w:tblPr>
        <w:tblStyle w:val="GridTable4"/>
        <w:tblW w:w="9355" w:type="dxa"/>
        <w:tblLook w:val="04A0" w:firstRow="1" w:lastRow="0" w:firstColumn="1" w:lastColumn="0" w:noHBand="0" w:noVBand="1"/>
        <w:tblCaption w:val="Table 15. Qualitative Descriptions of Factors that Hinder Timely Delivery in Charter Schools"/>
      </w:tblPr>
      <w:tblGrid>
        <w:gridCol w:w="2335"/>
        <w:gridCol w:w="7020"/>
      </w:tblGrid>
      <w:tr w:rsidR="00F0250B" w:rsidRPr="00F0250B" w14:paraId="02228576" w14:textId="77777777" w:rsidTr="0000113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335" w:type="dxa"/>
            <w:shd w:val="clear" w:color="auto" w:fill="44546A" w:themeFill="text2"/>
            <w:vAlign w:val="center"/>
          </w:tcPr>
          <w:p w14:paraId="726D6F35" w14:textId="682B9C47" w:rsidR="00F0250B" w:rsidRPr="00F0250B" w:rsidRDefault="00F0250B" w:rsidP="00DB4224">
            <w:pPr>
              <w:jc w:val="center"/>
              <w:rPr>
                <w:rFonts w:cstheme="minorHAnsi"/>
              </w:rPr>
            </w:pPr>
            <w:bookmarkStart w:id="82" w:name="_Hlk215948755"/>
            <w:r>
              <w:rPr>
                <w:rFonts w:cstheme="minorHAnsi"/>
              </w:rPr>
              <w:t>Factors That Hinder Timely Delivery in Charter Schools</w:t>
            </w:r>
          </w:p>
        </w:tc>
        <w:tc>
          <w:tcPr>
            <w:tcW w:w="7020" w:type="dxa"/>
            <w:shd w:val="clear" w:color="auto" w:fill="44546A" w:themeFill="text2"/>
            <w:vAlign w:val="center"/>
          </w:tcPr>
          <w:p w14:paraId="6B50498D" w14:textId="77777777" w:rsidR="00F0250B" w:rsidRPr="00F0250B" w:rsidRDefault="00F0250B" w:rsidP="00DB4224">
            <w:pPr>
              <w:jc w:val="center"/>
              <w:cnfStyle w:val="100000000000" w:firstRow="1" w:lastRow="0" w:firstColumn="0" w:lastColumn="0" w:oddVBand="0" w:evenVBand="0" w:oddHBand="0" w:evenHBand="0" w:firstRowFirstColumn="0" w:firstRowLastColumn="0" w:lastRowFirstColumn="0" w:lastRowLastColumn="0"/>
              <w:rPr>
                <w:rFonts w:cstheme="minorHAnsi"/>
              </w:rPr>
            </w:pPr>
            <w:r w:rsidRPr="00F0250B">
              <w:rPr>
                <w:rFonts w:cstheme="minorHAnsi"/>
              </w:rPr>
              <w:t>Representative Quotations</w:t>
            </w:r>
          </w:p>
        </w:tc>
      </w:tr>
      <w:tr w:rsidR="00B42286" w:rsidRPr="00F0250B" w14:paraId="7DD34B65"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0166AE40" w14:textId="015AB77B" w:rsidR="00B42286" w:rsidRPr="00F0250B" w:rsidRDefault="00B42286" w:rsidP="00DB4224">
            <w:pPr>
              <w:rPr>
                <w:rFonts w:cstheme="minorHAnsi"/>
              </w:rPr>
            </w:pPr>
            <w:r>
              <w:rPr>
                <w:rFonts w:ascii="Calibri" w:hAnsi="Calibri" w:cs="Calibri"/>
                <w:color w:val="000000"/>
              </w:rPr>
              <w:t>Lack of familiarity with special education and process for obtaining accessible formats (15)</w:t>
            </w:r>
          </w:p>
        </w:tc>
        <w:tc>
          <w:tcPr>
            <w:tcW w:w="7020" w:type="dxa"/>
            <w:shd w:val="clear" w:color="auto" w:fill="D9E2F3"/>
          </w:tcPr>
          <w:p w14:paraId="5B379170" w14:textId="2B48C1C6" w:rsidR="00B42286" w:rsidRPr="00F0250B" w:rsidRDefault="00B42286" w:rsidP="00DB4224">
            <w:pPr>
              <w:cnfStyle w:val="000000100000" w:firstRow="0" w:lastRow="0" w:firstColumn="0" w:lastColumn="0" w:oddVBand="0" w:evenVBand="0" w:oddHBand="1" w:evenHBand="0" w:firstRowFirstColumn="0" w:firstRowLastColumn="0" w:lastRowFirstColumn="0" w:lastRowLastColumn="0"/>
            </w:pPr>
            <w:r>
              <w:t>T</w:t>
            </w:r>
            <w:r w:rsidRPr="00B42286">
              <w:t xml:space="preserve">here's not a lot of staff that are knowledgeable about </w:t>
            </w:r>
            <w:r>
              <w:t>special education. (OH)</w:t>
            </w:r>
          </w:p>
        </w:tc>
      </w:tr>
      <w:tr w:rsidR="00B42286" w:rsidRPr="00F0250B" w14:paraId="059B498A" w14:textId="77777777" w:rsidTr="003506ED">
        <w:tc>
          <w:tcPr>
            <w:cnfStyle w:val="001000000000" w:firstRow="0" w:lastRow="0" w:firstColumn="1" w:lastColumn="0" w:oddVBand="0" w:evenVBand="0" w:oddHBand="0" w:evenHBand="0" w:firstRowFirstColumn="0" w:firstRowLastColumn="0" w:lastRowFirstColumn="0" w:lastRowLastColumn="0"/>
            <w:tcW w:w="2335" w:type="dxa"/>
            <w:vAlign w:val="bottom"/>
          </w:tcPr>
          <w:p w14:paraId="7B2F8A6A" w14:textId="77777777" w:rsidR="00B42286" w:rsidRDefault="00B42286" w:rsidP="00DB4224">
            <w:pPr>
              <w:rPr>
                <w:rFonts w:ascii="Calibri" w:hAnsi="Calibri" w:cs="Calibri"/>
                <w:color w:val="000000"/>
              </w:rPr>
            </w:pPr>
          </w:p>
        </w:tc>
        <w:tc>
          <w:tcPr>
            <w:tcW w:w="7020" w:type="dxa"/>
          </w:tcPr>
          <w:p w14:paraId="69DE060E" w14:textId="14618BB6" w:rsidR="00B42286" w:rsidRDefault="00B42286" w:rsidP="00DB4224">
            <w:pPr>
              <w:cnfStyle w:val="000000000000" w:firstRow="0" w:lastRow="0" w:firstColumn="0" w:lastColumn="0" w:oddVBand="0" w:evenVBand="0" w:oddHBand="0" w:evenHBand="0" w:firstRowFirstColumn="0" w:firstRowLastColumn="0" w:lastRowFirstColumn="0" w:lastRowLastColumn="0"/>
            </w:pPr>
            <w:r w:rsidRPr="00B42286">
              <w:t>Lack of teacher training around AT/AEM</w:t>
            </w:r>
            <w:r>
              <w:t>. (OH)</w:t>
            </w:r>
          </w:p>
        </w:tc>
      </w:tr>
      <w:tr w:rsidR="00B42286" w:rsidRPr="00F0250B" w14:paraId="50C4E372"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5ED6D620" w14:textId="77777777" w:rsidR="00B42286" w:rsidRDefault="00B42286" w:rsidP="00DB4224">
            <w:pPr>
              <w:rPr>
                <w:rFonts w:ascii="Calibri" w:hAnsi="Calibri" w:cs="Calibri"/>
                <w:color w:val="000000"/>
              </w:rPr>
            </w:pPr>
          </w:p>
        </w:tc>
        <w:tc>
          <w:tcPr>
            <w:tcW w:w="7020" w:type="dxa"/>
            <w:shd w:val="clear" w:color="auto" w:fill="D9E2F3"/>
          </w:tcPr>
          <w:p w14:paraId="72E18554" w14:textId="3B65034E" w:rsidR="00B42286" w:rsidRDefault="00B42286" w:rsidP="00DB4224">
            <w:pPr>
              <w:cnfStyle w:val="000000100000" w:firstRow="0" w:lastRow="0" w:firstColumn="0" w:lastColumn="0" w:oddVBand="0" w:evenVBand="0" w:oddHBand="1" w:evenHBand="0" w:firstRowFirstColumn="0" w:firstRowLastColumn="0" w:lastRowFirstColumn="0" w:lastRowLastColumn="0"/>
            </w:pPr>
            <w:r w:rsidRPr="00B42286">
              <w:t xml:space="preserve">Charter school teams often seem less aware of the broader educational perspective and resources available to support student unique learning needs. </w:t>
            </w:r>
            <w:r>
              <w:t>(OH)</w:t>
            </w:r>
          </w:p>
        </w:tc>
      </w:tr>
      <w:tr w:rsidR="00B42286" w:rsidRPr="00F0250B" w14:paraId="635E636B" w14:textId="77777777" w:rsidTr="003506ED">
        <w:tc>
          <w:tcPr>
            <w:cnfStyle w:val="001000000000" w:firstRow="0" w:lastRow="0" w:firstColumn="1" w:lastColumn="0" w:oddVBand="0" w:evenVBand="0" w:oddHBand="0" w:evenHBand="0" w:firstRowFirstColumn="0" w:firstRowLastColumn="0" w:lastRowFirstColumn="0" w:lastRowLastColumn="0"/>
            <w:tcW w:w="2335" w:type="dxa"/>
            <w:vAlign w:val="bottom"/>
          </w:tcPr>
          <w:p w14:paraId="7C447A6A" w14:textId="77777777" w:rsidR="00B42286" w:rsidRDefault="00B42286" w:rsidP="00DB4224">
            <w:pPr>
              <w:rPr>
                <w:rFonts w:ascii="Calibri" w:hAnsi="Calibri" w:cs="Calibri"/>
                <w:color w:val="000000"/>
              </w:rPr>
            </w:pPr>
          </w:p>
        </w:tc>
        <w:tc>
          <w:tcPr>
            <w:tcW w:w="7020" w:type="dxa"/>
          </w:tcPr>
          <w:p w14:paraId="6A193049" w14:textId="3AD07013" w:rsidR="00B42286" w:rsidRDefault="00B42286" w:rsidP="00DB4224">
            <w:pPr>
              <w:cnfStyle w:val="000000000000" w:firstRow="0" w:lastRow="0" w:firstColumn="0" w:lastColumn="0" w:oddVBand="0" w:evenVBand="0" w:oddHBand="0" w:evenHBand="0" w:firstRowFirstColumn="0" w:firstRowLastColumn="0" w:lastRowFirstColumn="0" w:lastRowLastColumn="0"/>
            </w:pPr>
            <w:r w:rsidRPr="00B42286">
              <w:t>Management companies at charter schools are usually responsible for training, etc.</w:t>
            </w:r>
            <w:r>
              <w:t>,</w:t>
            </w:r>
            <w:r w:rsidRPr="00B42286">
              <w:t xml:space="preserve"> and they may not be knowledgeable</w:t>
            </w:r>
            <w:r>
              <w:t>. (OH)</w:t>
            </w:r>
          </w:p>
        </w:tc>
      </w:tr>
      <w:tr w:rsidR="00B42286" w:rsidRPr="00F0250B" w14:paraId="65763CD4"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59E853DF" w14:textId="77777777" w:rsidR="00B42286" w:rsidRDefault="00B42286" w:rsidP="00DB4224">
            <w:pPr>
              <w:rPr>
                <w:rFonts w:ascii="Calibri" w:hAnsi="Calibri" w:cs="Calibri"/>
                <w:color w:val="000000"/>
              </w:rPr>
            </w:pPr>
          </w:p>
        </w:tc>
        <w:tc>
          <w:tcPr>
            <w:tcW w:w="7020" w:type="dxa"/>
            <w:shd w:val="clear" w:color="auto" w:fill="D9E2F3"/>
          </w:tcPr>
          <w:p w14:paraId="40E67DD5" w14:textId="5D9E3B51" w:rsidR="00B42286" w:rsidRDefault="00B42286" w:rsidP="00DB4224">
            <w:pPr>
              <w:cnfStyle w:val="000000100000" w:firstRow="0" w:lastRow="0" w:firstColumn="0" w:lastColumn="0" w:oddVBand="0" w:evenVBand="0" w:oddHBand="1" w:evenHBand="0" w:firstRowFirstColumn="0" w:firstRowLastColumn="0" w:lastRowFirstColumn="0" w:lastRowLastColumn="0"/>
            </w:pPr>
            <w:r w:rsidRPr="00B42286">
              <w:t>At times, teachers in charter schools as well as support staff are inexperienced</w:t>
            </w:r>
            <w:r w:rsidR="00AC098C">
              <w:t>,</w:t>
            </w:r>
            <w:r w:rsidRPr="00B42286">
              <w:t xml:space="preserve"> as they have recently earned their diplomas and</w:t>
            </w:r>
            <w:r>
              <w:t xml:space="preserve"> </w:t>
            </w:r>
            <w:r w:rsidRPr="00B42286">
              <w:t>lack awareness of the special needs of students as well as where to go for resources. In addition, recent graduates do not have a repertoire of teaching materials that they have created and, thus, may not have the time to search for appropriate intervention materials.</w:t>
            </w:r>
            <w:r>
              <w:t xml:space="preserve"> (OH)</w:t>
            </w:r>
          </w:p>
        </w:tc>
      </w:tr>
      <w:tr w:rsidR="00B42286" w:rsidRPr="00F0250B" w14:paraId="5DAAD59A" w14:textId="77777777" w:rsidTr="003506ED">
        <w:tc>
          <w:tcPr>
            <w:cnfStyle w:val="001000000000" w:firstRow="0" w:lastRow="0" w:firstColumn="1" w:lastColumn="0" w:oddVBand="0" w:evenVBand="0" w:oddHBand="0" w:evenHBand="0" w:firstRowFirstColumn="0" w:firstRowLastColumn="0" w:lastRowFirstColumn="0" w:lastRowLastColumn="0"/>
            <w:tcW w:w="2335" w:type="dxa"/>
            <w:vAlign w:val="bottom"/>
          </w:tcPr>
          <w:p w14:paraId="60E0FA3B" w14:textId="77777777" w:rsidR="00B42286" w:rsidRDefault="00B42286" w:rsidP="00DB4224">
            <w:pPr>
              <w:rPr>
                <w:rFonts w:ascii="Calibri" w:hAnsi="Calibri" w:cs="Calibri"/>
                <w:color w:val="000000"/>
              </w:rPr>
            </w:pPr>
          </w:p>
        </w:tc>
        <w:tc>
          <w:tcPr>
            <w:tcW w:w="7020" w:type="dxa"/>
          </w:tcPr>
          <w:p w14:paraId="31EC9F5F" w14:textId="1ADC5FD9" w:rsidR="00B42286" w:rsidRDefault="00AC098C" w:rsidP="00DB4224">
            <w:pPr>
              <w:cnfStyle w:val="000000000000" w:firstRow="0" w:lastRow="0" w:firstColumn="0" w:lastColumn="0" w:oddVBand="0" w:evenVBand="0" w:oddHBand="0" w:evenHBand="0" w:firstRowFirstColumn="0" w:firstRowLastColumn="0" w:lastRowFirstColumn="0" w:lastRowLastColumn="0"/>
            </w:pPr>
            <w:r>
              <w:t>Although</w:t>
            </w:r>
            <w:r w:rsidR="004C24D7" w:rsidRPr="004C24D7">
              <w:t xml:space="preserve"> in our public schools we do all the guidance </w:t>
            </w:r>
            <w:r w:rsidR="004C24D7">
              <w:t>related to special education</w:t>
            </w:r>
            <w:r>
              <w:t>,</w:t>
            </w:r>
            <w:r w:rsidR="004C24D7" w:rsidRPr="004C24D7">
              <w:t xml:space="preserve"> our charter school people maybe don't get that as much.</w:t>
            </w:r>
            <w:r w:rsidR="004C24D7">
              <w:t xml:space="preserve"> (OR)</w:t>
            </w:r>
          </w:p>
        </w:tc>
      </w:tr>
      <w:tr w:rsidR="00B42286" w:rsidRPr="00F0250B" w14:paraId="6B9E9DE4"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5C98204B" w14:textId="77777777" w:rsidR="00B42286" w:rsidRDefault="00B42286" w:rsidP="00DB4224">
            <w:pPr>
              <w:rPr>
                <w:rFonts w:ascii="Calibri" w:hAnsi="Calibri" w:cs="Calibri"/>
                <w:color w:val="000000"/>
              </w:rPr>
            </w:pPr>
          </w:p>
        </w:tc>
        <w:tc>
          <w:tcPr>
            <w:tcW w:w="7020" w:type="dxa"/>
            <w:shd w:val="clear" w:color="auto" w:fill="D9E2F3"/>
          </w:tcPr>
          <w:p w14:paraId="531BC698" w14:textId="7BB655C3" w:rsidR="00B42286" w:rsidRDefault="004C24D7" w:rsidP="00DB4224">
            <w:pPr>
              <w:cnfStyle w:val="000000100000" w:firstRow="0" w:lastRow="0" w:firstColumn="0" w:lastColumn="0" w:oddVBand="0" w:evenVBand="0" w:oddHBand="1" w:evenHBand="0" w:firstRowFirstColumn="0" w:firstRowLastColumn="0" w:lastRowFirstColumn="0" w:lastRowLastColumn="0"/>
            </w:pPr>
            <w:r w:rsidRPr="004C24D7">
              <w:t>Our state does a good job of making sure resources are available</w:t>
            </w:r>
            <w:r w:rsidR="00AC098C">
              <w:t xml:space="preserve">, </w:t>
            </w:r>
            <w:r w:rsidRPr="004C24D7">
              <w:t>but a lot of our charter school staff are still learning how to navigate systems</w:t>
            </w:r>
            <w:r>
              <w:t>. (UT)</w:t>
            </w:r>
          </w:p>
        </w:tc>
      </w:tr>
      <w:tr w:rsidR="00B42286" w:rsidRPr="00F0250B" w14:paraId="0FE2C4E9" w14:textId="77777777" w:rsidTr="003506ED">
        <w:tc>
          <w:tcPr>
            <w:cnfStyle w:val="001000000000" w:firstRow="0" w:lastRow="0" w:firstColumn="1" w:lastColumn="0" w:oddVBand="0" w:evenVBand="0" w:oddHBand="0" w:evenHBand="0" w:firstRowFirstColumn="0" w:firstRowLastColumn="0" w:lastRowFirstColumn="0" w:lastRowLastColumn="0"/>
            <w:tcW w:w="2335" w:type="dxa"/>
            <w:vAlign w:val="bottom"/>
          </w:tcPr>
          <w:p w14:paraId="5DCBEE83" w14:textId="77777777" w:rsidR="00B42286" w:rsidRDefault="00B42286" w:rsidP="00DB4224">
            <w:pPr>
              <w:rPr>
                <w:rFonts w:ascii="Calibri" w:hAnsi="Calibri" w:cs="Calibri"/>
                <w:color w:val="000000"/>
              </w:rPr>
            </w:pPr>
          </w:p>
        </w:tc>
        <w:tc>
          <w:tcPr>
            <w:tcW w:w="7020" w:type="dxa"/>
          </w:tcPr>
          <w:p w14:paraId="7389FE04" w14:textId="43214550" w:rsidR="00B42286" w:rsidRDefault="004C24D7" w:rsidP="00DB4224">
            <w:pPr>
              <w:cnfStyle w:val="000000000000" w:firstRow="0" w:lastRow="0" w:firstColumn="0" w:lastColumn="0" w:oddVBand="0" w:evenVBand="0" w:oddHBand="0" w:evenHBand="0" w:firstRowFirstColumn="0" w:firstRowLastColumn="0" w:lastRowFirstColumn="0" w:lastRowLastColumn="0"/>
            </w:pPr>
            <w:r w:rsidRPr="004C24D7">
              <w:t>Charters are public but frequently have no staff that specialize in print disabilities.</w:t>
            </w:r>
            <w:r>
              <w:t xml:space="preserve"> (IN)</w:t>
            </w:r>
          </w:p>
        </w:tc>
      </w:tr>
      <w:tr w:rsidR="00B42286" w:rsidRPr="00F0250B" w14:paraId="2757C3F3"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2E006D5C" w14:textId="4F3B091A" w:rsidR="004C24D7" w:rsidRPr="006F4CFB" w:rsidRDefault="00B42286" w:rsidP="00DB4224">
            <w:pPr>
              <w:rPr>
                <w:rFonts w:ascii="Calibri" w:hAnsi="Calibri" w:cs="Calibri"/>
                <w:b w:val="0"/>
                <w:bCs w:val="0"/>
                <w:color w:val="000000"/>
              </w:rPr>
            </w:pPr>
            <w:r>
              <w:rPr>
                <w:rFonts w:ascii="Calibri" w:hAnsi="Calibri" w:cs="Calibri"/>
                <w:color w:val="000000"/>
              </w:rPr>
              <w:t>Lack of resources needed to obtain accessible formats (9)</w:t>
            </w:r>
          </w:p>
        </w:tc>
        <w:tc>
          <w:tcPr>
            <w:tcW w:w="7020" w:type="dxa"/>
            <w:shd w:val="clear" w:color="auto" w:fill="D9E2F3"/>
          </w:tcPr>
          <w:p w14:paraId="61702C13" w14:textId="00F5FB1E" w:rsidR="00B42286" w:rsidRPr="00F0250B" w:rsidRDefault="004C24D7" w:rsidP="00DB4224">
            <w:pPr>
              <w:cnfStyle w:val="000000100000" w:firstRow="0" w:lastRow="0" w:firstColumn="0" w:lastColumn="0" w:oddVBand="0" w:evenVBand="0" w:oddHBand="1" w:evenHBand="0" w:firstRowFirstColumn="0" w:firstRowLastColumn="0" w:lastRowFirstColumn="0" w:lastRowLastColumn="0"/>
            </w:pPr>
            <w:r w:rsidRPr="004C24D7">
              <w:t xml:space="preserve">I had one call </w:t>
            </w:r>
            <w:r w:rsidR="001C3079">
              <w:t>with</w:t>
            </w:r>
            <w:r w:rsidRPr="004C24D7">
              <w:t xml:space="preserve"> a charter school where they didn't realize how visually impaired the student was when they accepted the student. </w:t>
            </w:r>
            <w:r w:rsidR="00F4790E">
              <w:t>S</w:t>
            </w:r>
            <w:r w:rsidRPr="004C24D7">
              <w:t>o, they were not aware of all the support. They did not have a TV</w:t>
            </w:r>
            <w:r>
              <w:t xml:space="preserve">I, and they </w:t>
            </w:r>
            <w:r w:rsidRPr="004C24D7">
              <w:t xml:space="preserve">basically called me reading the IEP saying, </w:t>
            </w:r>
            <w:r>
              <w:t>“W</w:t>
            </w:r>
            <w:r w:rsidRPr="004C24D7">
              <w:t>hat should we get?</w:t>
            </w:r>
            <w:r>
              <w:t>”</w:t>
            </w:r>
            <w:r w:rsidRPr="004C24D7">
              <w:t xml:space="preserve"> So</w:t>
            </w:r>
            <w:r>
              <w:t>,</w:t>
            </w:r>
            <w:r w:rsidRPr="004C24D7">
              <w:t xml:space="preserve"> I think they don't always have the appropriate professionals or educators needed to support the students, and therefore they don't know the processes</w:t>
            </w:r>
            <w:r w:rsidR="00F4790E">
              <w:t xml:space="preserve"> or </w:t>
            </w:r>
            <w:r w:rsidRPr="004C24D7">
              <w:t>where to start.</w:t>
            </w:r>
            <w:r>
              <w:t xml:space="preserve"> (OH)</w:t>
            </w:r>
          </w:p>
        </w:tc>
      </w:tr>
      <w:tr w:rsidR="004C24D7" w:rsidRPr="00F0250B" w14:paraId="13BB71CF" w14:textId="77777777" w:rsidTr="000E6BB6">
        <w:tc>
          <w:tcPr>
            <w:cnfStyle w:val="001000000000" w:firstRow="0" w:lastRow="0" w:firstColumn="1" w:lastColumn="0" w:oddVBand="0" w:evenVBand="0" w:oddHBand="0" w:evenHBand="0" w:firstRowFirstColumn="0" w:firstRowLastColumn="0" w:lastRowFirstColumn="0" w:lastRowLastColumn="0"/>
            <w:tcW w:w="2335" w:type="dxa"/>
            <w:vAlign w:val="bottom"/>
          </w:tcPr>
          <w:p w14:paraId="3CD8D60A" w14:textId="77777777" w:rsidR="004C24D7" w:rsidRDefault="004C24D7" w:rsidP="00DB4224">
            <w:pPr>
              <w:rPr>
                <w:rFonts w:ascii="Calibri" w:hAnsi="Calibri" w:cs="Calibri"/>
                <w:color w:val="000000"/>
              </w:rPr>
            </w:pPr>
          </w:p>
        </w:tc>
        <w:tc>
          <w:tcPr>
            <w:tcW w:w="7020" w:type="dxa"/>
          </w:tcPr>
          <w:p w14:paraId="65980317" w14:textId="600D93B7" w:rsidR="004C24D7" w:rsidRPr="00F0250B" w:rsidRDefault="004C24D7" w:rsidP="00DB4224">
            <w:pPr>
              <w:cnfStyle w:val="000000000000" w:firstRow="0" w:lastRow="0" w:firstColumn="0" w:lastColumn="0" w:oddVBand="0" w:evenVBand="0" w:oddHBand="0" w:evenHBand="0" w:firstRowFirstColumn="0" w:firstRowLastColumn="0" w:lastRowFirstColumn="0" w:lastRowLastColumn="0"/>
            </w:pPr>
            <w:r>
              <w:t>E</w:t>
            </w:r>
            <w:r w:rsidRPr="004C24D7">
              <w:t xml:space="preserve">ven though </w:t>
            </w:r>
            <w:r>
              <w:t>the charter school is</w:t>
            </w:r>
            <w:r w:rsidRPr="004C24D7">
              <w:t xml:space="preserve"> in our district</w:t>
            </w:r>
            <w:r w:rsidR="001C3079">
              <w:t>,</w:t>
            </w:r>
            <w:r w:rsidRPr="004C24D7">
              <w:t xml:space="preserve"> they can't use our </w:t>
            </w:r>
            <w:r>
              <w:t>R</w:t>
            </w:r>
            <w:r w:rsidRPr="004C24D7">
              <w:t xml:space="preserve">ead and </w:t>
            </w:r>
            <w:r>
              <w:t>Wr</w:t>
            </w:r>
            <w:r w:rsidRPr="004C24D7">
              <w:t xml:space="preserve">ite licenses. </w:t>
            </w:r>
            <w:r w:rsidR="001C3079">
              <w:t>T</w:t>
            </w:r>
            <w:r w:rsidRPr="004C24D7">
              <w:t xml:space="preserve">here's just some of those technical barriers too. </w:t>
            </w:r>
            <w:r>
              <w:t>(OR)</w:t>
            </w:r>
          </w:p>
        </w:tc>
      </w:tr>
      <w:tr w:rsidR="004C24D7" w:rsidRPr="00F0250B" w14:paraId="0290790E"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3BAC531E" w14:textId="77777777" w:rsidR="004C24D7" w:rsidRDefault="004C24D7" w:rsidP="00DB4224">
            <w:pPr>
              <w:rPr>
                <w:rFonts w:ascii="Calibri" w:hAnsi="Calibri" w:cs="Calibri"/>
                <w:color w:val="000000"/>
              </w:rPr>
            </w:pPr>
          </w:p>
        </w:tc>
        <w:tc>
          <w:tcPr>
            <w:tcW w:w="7020" w:type="dxa"/>
            <w:shd w:val="clear" w:color="auto" w:fill="D9E2F3"/>
          </w:tcPr>
          <w:p w14:paraId="5CFD7579" w14:textId="03E8B378" w:rsidR="004C24D7" w:rsidRPr="00F0250B" w:rsidRDefault="004C24D7" w:rsidP="00DB4224">
            <w:pPr>
              <w:cnfStyle w:val="000000100000" w:firstRow="0" w:lastRow="0" w:firstColumn="0" w:lastColumn="0" w:oddVBand="0" w:evenVBand="0" w:oddHBand="1" w:evenHBand="0" w:firstRowFirstColumn="0" w:firstRowLastColumn="0" w:lastRowFirstColumn="0" w:lastRowLastColumn="0"/>
            </w:pPr>
            <w:r w:rsidRPr="004C24D7">
              <w:t>I work in a charter school</w:t>
            </w:r>
            <w:r w:rsidR="001C3079">
              <w:t>,</w:t>
            </w:r>
            <w:r w:rsidRPr="004C24D7">
              <w:t xml:space="preserve"> and there's a significant lack of communication as well as lack of consistency, which leads to things falling through the cracks. We're very understaffed and can't afford the staff we need.</w:t>
            </w:r>
            <w:r>
              <w:t xml:space="preserve"> (UT)</w:t>
            </w:r>
          </w:p>
        </w:tc>
      </w:tr>
      <w:tr w:rsidR="00B42286" w:rsidRPr="00F0250B" w14:paraId="2F5EBEB2" w14:textId="77777777" w:rsidTr="000E6BB6">
        <w:tc>
          <w:tcPr>
            <w:cnfStyle w:val="001000000000" w:firstRow="0" w:lastRow="0" w:firstColumn="1" w:lastColumn="0" w:oddVBand="0" w:evenVBand="0" w:oddHBand="0" w:evenHBand="0" w:firstRowFirstColumn="0" w:firstRowLastColumn="0" w:lastRowFirstColumn="0" w:lastRowLastColumn="0"/>
            <w:tcW w:w="2335" w:type="dxa"/>
            <w:vAlign w:val="bottom"/>
          </w:tcPr>
          <w:p w14:paraId="6D04FC18" w14:textId="284CCDDA" w:rsidR="00B42286" w:rsidRPr="00F0250B" w:rsidRDefault="00B42286" w:rsidP="00DB4224">
            <w:pPr>
              <w:rPr>
                <w:rFonts w:cstheme="minorHAnsi"/>
              </w:rPr>
            </w:pPr>
            <w:r>
              <w:rPr>
                <w:rFonts w:ascii="Calibri" w:hAnsi="Calibri" w:cs="Calibri"/>
                <w:color w:val="000000"/>
              </w:rPr>
              <w:t>Lack of accountability systems to promote timely delivery (</w:t>
            </w:r>
            <w:r w:rsidR="004C24D7">
              <w:rPr>
                <w:rFonts w:ascii="Calibri" w:hAnsi="Calibri" w:cs="Calibri"/>
                <w:color w:val="000000"/>
              </w:rPr>
              <w:t>8</w:t>
            </w:r>
            <w:r>
              <w:rPr>
                <w:rFonts w:ascii="Calibri" w:hAnsi="Calibri" w:cs="Calibri"/>
                <w:color w:val="000000"/>
              </w:rPr>
              <w:t>)</w:t>
            </w:r>
          </w:p>
        </w:tc>
        <w:tc>
          <w:tcPr>
            <w:tcW w:w="7020" w:type="dxa"/>
          </w:tcPr>
          <w:p w14:paraId="7348151C" w14:textId="3BCFD9ED" w:rsidR="00B42286" w:rsidRPr="00F0250B" w:rsidRDefault="004C24D7" w:rsidP="00DB4224">
            <w:pPr>
              <w:cnfStyle w:val="000000000000" w:firstRow="0" w:lastRow="0" w:firstColumn="0" w:lastColumn="0" w:oddVBand="0" w:evenVBand="0" w:oddHBand="0" w:evenHBand="0" w:firstRowFirstColumn="0" w:firstRowLastColumn="0" w:lastRowFirstColumn="0" w:lastRowLastColumn="0"/>
            </w:pPr>
            <w:r w:rsidRPr="004C24D7">
              <w:t>Charter schools lack the accountability of a public school system.</w:t>
            </w:r>
            <w:r w:rsidR="00B15D22">
              <w:t xml:space="preserve"> </w:t>
            </w:r>
            <w:r w:rsidRPr="004C24D7">
              <w:t xml:space="preserve">As such, they do not always adhere to special education law. </w:t>
            </w:r>
            <w:r>
              <w:t>(OH)</w:t>
            </w:r>
          </w:p>
        </w:tc>
      </w:tr>
      <w:tr w:rsidR="00B42286" w:rsidRPr="00F0250B" w14:paraId="704A4E66"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60C67F50" w14:textId="44751B94" w:rsidR="00B42286" w:rsidRPr="00F0250B" w:rsidRDefault="00B42286" w:rsidP="00DB4224">
            <w:pPr>
              <w:rPr>
                <w:rFonts w:cstheme="minorHAnsi"/>
              </w:rPr>
            </w:pPr>
          </w:p>
        </w:tc>
        <w:tc>
          <w:tcPr>
            <w:tcW w:w="7020" w:type="dxa"/>
            <w:shd w:val="clear" w:color="auto" w:fill="D9E2F3"/>
          </w:tcPr>
          <w:p w14:paraId="3A0F194C" w14:textId="566E0641" w:rsidR="00B42286" w:rsidRPr="00F0250B" w:rsidRDefault="00F54738" w:rsidP="00DB4224">
            <w:pPr>
              <w:cnfStyle w:val="000000100000" w:firstRow="0" w:lastRow="0" w:firstColumn="0" w:lastColumn="0" w:oddVBand="0" w:evenVBand="0" w:oddHBand="1" w:evenHBand="0" w:firstRowFirstColumn="0" w:firstRowLastColumn="0" w:lastRowFirstColumn="0" w:lastRowLastColumn="0"/>
            </w:pPr>
            <w:r>
              <w:t>For online charter schools, a</w:t>
            </w:r>
            <w:r w:rsidRPr="00F54738">
              <w:t>ll of their minutes had to be completed through virtual</w:t>
            </w:r>
            <w:r w:rsidR="006F3308">
              <w:t xml:space="preserve"> learning, which </w:t>
            </w:r>
            <w:r w:rsidRPr="00F54738">
              <w:t xml:space="preserve">made it super challenging to get </w:t>
            </w:r>
            <w:r w:rsidR="006F3308">
              <w:t xml:space="preserve">a </w:t>
            </w:r>
            <w:r w:rsidRPr="00F54738">
              <w:t>quality functional vision of what they really nee</w:t>
            </w:r>
            <w:r>
              <w:t>d</w:t>
            </w:r>
            <w:r w:rsidR="006F3308">
              <w:t>ed and help them t</w:t>
            </w:r>
            <w:r w:rsidRPr="00F54738">
              <w:t xml:space="preserve">roubleshoot using </w:t>
            </w:r>
            <w:r>
              <w:t>accessible formats</w:t>
            </w:r>
            <w:r w:rsidRPr="00F54738">
              <w:t xml:space="preserve">. I also felt like there was really not awesome follow-through because they were just at home kicking it. They would get on and do the bare minimum just to get in and get out. </w:t>
            </w:r>
            <w:r>
              <w:t>(OH)</w:t>
            </w:r>
          </w:p>
        </w:tc>
      </w:tr>
      <w:tr w:rsidR="004C24D7" w:rsidRPr="00F0250B" w14:paraId="36764257" w14:textId="77777777" w:rsidTr="00001130">
        <w:tc>
          <w:tcPr>
            <w:cnfStyle w:val="001000000000" w:firstRow="0" w:lastRow="0" w:firstColumn="1" w:lastColumn="0" w:oddVBand="0" w:evenVBand="0" w:oddHBand="0" w:evenHBand="0" w:firstRowFirstColumn="0" w:firstRowLastColumn="0" w:lastRowFirstColumn="0" w:lastRowLastColumn="0"/>
            <w:tcW w:w="2335" w:type="dxa"/>
          </w:tcPr>
          <w:p w14:paraId="73423B2A" w14:textId="77777777" w:rsidR="004C24D7" w:rsidRPr="00F0250B" w:rsidRDefault="004C24D7" w:rsidP="00DB4224">
            <w:pPr>
              <w:rPr>
                <w:rFonts w:cstheme="minorHAnsi"/>
              </w:rPr>
            </w:pPr>
          </w:p>
        </w:tc>
        <w:tc>
          <w:tcPr>
            <w:tcW w:w="7020" w:type="dxa"/>
          </w:tcPr>
          <w:p w14:paraId="4EE4B165" w14:textId="18523CA7" w:rsidR="004C24D7" w:rsidRPr="00F0250B" w:rsidRDefault="00F54738" w:rsidP="00DB4224">
            <w:pPr>
              <w:cnfStyle w:val="000000000000" w:firstRow="0" w:lastRow="0" w:firstColumn="0" w:lastColumn="0" w:oddVBand="0" w:evenVBand="0" w:oddHBand="0" w:evenHBand="0" w:firstRowFirstColumn="0" w:firstRowLastColumn="0" w:lastRowFirstColumn="0" w:lastRowLastColumn="0"/>
            </w:pPr>
            <w:r w:rsidRPr="00F54738">
              <w:t>Accessibility seems to be an afterthought</w:t>
            </w:r>
            <w:r w:rsidR="006F3308">
              <w:t>. Unless</w:t>
            </w:r>
            <w:r w:rsidRPr="00F54738">
              <w:t xml:space="preserve"> parents are advocates, </w:t>
            </w:r>
            <w:r w:rsidR="006F3308">
              <w:t xml:space="preserve">it </w:t>
            </w:r>
            <w:r w:rsidRPr="00F54738">
              <w:t>is often not a focus.</w:t>
            </w:r>
            <w:r>
              <w:t xml:space="preserve"> (MN)</w:t>
            </w:r>
          </w:p>
        </w:tc>
      </w:tr>
      <w:tr w:rsidR="00B42286" w:rsidRPr="00F0250B" w14:paraId="021695C5"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26E52BAC" w14:textId="232EF44C" w:rsidR="00B42286" w:rsidRPr="00F0250B" w:rsidRDefault="006F4CFB" w:rsidP="00DB4224">
            <w:pPr>
              <w:rPr>
                <w:rFonts w:cstheme="minorHAnsi"/>
              </w:rPr>
            </w:pPr>
            <w:r w:rsidRPr="006F4CFB">
              <w:rPr>
                <w:rFonts w:cstheme="minorHAnsi"/>
              </w:rPr>
              <w:t xml:space="preserve">Frequent use of teacher-created, non-traditional, </w:t>
            </w:r>
            <w:r>
              <w:rPr>
                <w:rFonts w:cstheme="minorHAnsi"/>
              </w:rPr>
              <w:t xml:space="preserve">and </w:t>
            </w:r>
            <w:r w:rsidRPr="006F4CFB">
              <w:rPr>
                <w:rFonts w:cstheme="minorHAnsi"/>
              </w:rPr>
              <w:t xml:space="preserve">digital materials that are difficult to make accessible </w:t>
            </w:r>
            <w:r w:rsidR="00B42286">
              <w:rPr>
                <w:rFonts w:cstheme="minorHAnsi"/>
              </w:rPr>
              <w:t>(</w:t>
            </w:r>
            <w:r>
              <w:rPr>
                <w:rFonts w:cstheme="minorHAnsi"/>
              </w:rPr>
              <w:t>6</w:t>
            </w:r>
            <w:r w:rsidR="00B42286">
              <w:rPr>
                <w:rFonts w:cstheme="minorHAnsi"/>
              </w:rPr>
              <w:t>)</w:t>
            </w:r>
          </w:p>
        </w:tc>
        <w:tc>
          <w:tcPr>
            <w:tcW w:w="7020" w:type="dxa"/>
            <w:shd w:val="clear" w:color="auto" w:fill="D9E2F3"/>
          </w:tcPr>
          <w:p w14:paraId="40C93582" w14:textId="6012F334" w:rsidR="00B42286" w:rsidRPr="00F0250B" w:rsidRDefault="00B42286" w:rsidP="00DB4224">
            <w:pPr>
              <w:cnfStyle w:val="000000100000" w:firstRow="0" w:lastRow="0" w:firstColumn="0" w:lastColumn="0" w:oddVBand="0" w:evenVBand="0" w:oddHBand="1" w:evenHBand="0" w:firstRowFirstColumn="0" w:firstRowLastColumn="0" w:lastRowFirstColumn="0" w:lastRowLastColumn="0"/>
            </w:pPr>
            <w:r>
              <w:t>C</w:t>
            </w:r>
            <w:r w:rsidRPr="004F5BFE">
              <w:t>harters aren't beholden to the same requirements around adopting HQIM</w:t>
            </w:r>
            <w:r>
              <w:t xml:space="preserve"> [High-Quality Instructional Materials]</w:t>
            </w:r>
            <w:r w:rsidRPr="004F5BFE">
              <w:t xml:space="preserve"> as public school districts. Some charters use HQIM, but others don't. </w:t>
            </w:r>
            <w:r w:rsidR="00073E80">
              <w:t>B</w:t>
            </w:r>
            <w:r w:rsidRPr="004F5BFE">
              <w:t xml:space="preserve">ecause a lot of the charters </w:t>
            </w:r>
            <w:r>
              <w:t>that haven’t</w:t>
            </w:r>
            <w:r w:rsidRPr="004F5BFE">
              <w:t xml:space="preserve"> adopted HQ</w:t>
            </w:r>
            <w:r>
              <w:t>I</w:t>
            </w:r>
            <w:r w:rsidRPr="004F5BFE">
              <w:t>M are using teacher created materials, I think that creates a pretty big barrier</w:t>
            </w:r>
            <w:r>
              <w:t>. (OR)</w:t>
            </w:r>
          </w:p>
        </w:tc>
      </w:tr>
      <w:tr w:rsidR="006F4CFB" w:rsidRPr="00CD254C" w14:paraId="0EFC60A9" w14:textId="77777777" w:rsidTr="00001130">
        <w:tc>
          <w:tcPr>
            <w:cnfStyle w:val="001000000000" w:firstRow="0" w:lastRow="0" w:firstColumn="1" w:lastColumn="0" w:oddVBand="0" w:evenVBand="0" w:oddHBand="0" w:evenHBand="0" w:firstRowFirstColumn="0" w:firstRowLastColumn="0" w:lastRowFirstColumn="0" w:lastRowLastColumn="0"/>
            <w:tcW w:w="2335" w:type="dxa"/>
          </w:tcPr>
          <w:p w14:paraId="3908C4E9" w14:textId="77777777" w:rsidR="006F4CFB" w:rsidRPr="00F0250B" w:rsidRDefault="006F4CFB" w:rsidP="006F4CFB">
            <w:pPr>
              <w:rPr>
                <w:rFonts w:cstheme="minorHAnsi"/>
              </w:rPr>
            </w:pPr>
          </w:p>
        </w:tc>
        <w:tc>
          <w:tcPr>
            <w:tcW w:w="7020" w:type="dxa"/>
          </w:tcPr>
          <w:p w14:paraId="2076F75D" w14:textId="583BF5B9" w:rsidR="006F4CFB" w:rsidRDefault="006F4CFB" w:rsidP="006F4CFB">
            <w:pPr>
              <w:cnfStyle w:val="000000000000" w:firstRow="0" w:lastRow="0" w:firstColumn="0" w:lastColumn="0" w:oddVBand="0" w:evenVBand="0" w:oddHBand="0" w:evenHBand="0" w:firstRowFirstColumn="0" w:firstRowLastColumn="0" w:lastRowFirstColumn="0" w:lastRowLastColumn="0"/>
            </w:pPr>
            <w:r>
              <w:t>A</w:t>
            </w:r>
            <w:r w:rsidRPr="003C7C11">
              <w:t xml:space="preserve"> lot of </w:t>
            </w:r>
            <w:r>
              <w:t>charter school staff</w:t>
            </w:r>
            <w:r w:rsidRPr="003C7C11">
              <w:t xml:space="preserve"> will just throw slides together and be like, "You know, this is my curriculum</w:t>
            </w:r>
            <w:r>
              <w:t>.</w:t>
            </w:r>
            <w:r w:rsidRPr="003C7C11">
              <w:t xml:space="preserve">" </w:t>
            </w:r>
            <w:r>
              <w:t>T</w:t>
            </w:r>
            <w:r w:rsidRPr="003C7C11">
              <w:t xml:space="preserve">hen, we're trying to adapt that into </w:t>
            </w:r>
            <w:r>
              <w:t>tactiles,</w:t>
            </w:r>
            <w:r w:rsidRPr="003C7C11">
              <w:t xml:space="preserve"> </w:t>
            </w:r>
            <w:r>
              <w:t>and</w:t>
            </w:r>
            <w:r w:rsidRPr="003C7C11">
              <w:t xml:space="preserve"> it takes weeks and weeks and weeks to get that out to people.</w:t>
            </w:r>
            <w:r>
              <w:t xml:space="preserve"> (OR)</w:t>
            </w:r>
          </w:p>
        </w:tc>
      </w:tr>
      <w:tr w:rsidR="006F4CFB" w:rsidRPr="00CD254C" w14:paraId="19E8A943"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36C9E1D7" w14:textId="77777777" w:rsidR="006F4CFB" w:rsidRPr="00F0250B" w:rsidRDefault="006F4CFB" w:rsidP="006F4CFB">
            <w:pPr>
              <w:rPr>
                <w:rFonts w:cstheme="minorHAnsi"/>
              </w:rPr>
            </w:pPr>
          </w:p>
        </w:tc>
        <w:tc>
          <w:tcPr>
            <w:tcW w:w="7020" w:type="dxa"/>
            <w:shd w:val="clear" w:color="auto" w:fill="D9E2F3"/>
          </w:tcPr>
          <w:p w14:paraId="79E9D04A" w14:textId="0F4E8C2F" w:rsidR="006F4CFB" w:rsidRDefault="006F4CFB" w:rsidP="006F4CFB">
            <w:pPr>
              <w:cnfStyle w:val="000000100000" w:firstRow="0" w:lastRow="0" w:firstColumn="0" w:lastColumn="0" w:oddVBand="0" w:evenVBand="0" w:oddHBand="1" w:evenHBand="0" w:firstRowFirstColumn="0" w:firstRowLastColumn="0" w:lastRowFirstColumn="0" w:lastRowLastColumn="0"/>
            </w:pPr>
            <w:r>
              <w:t>Charter schools</w:t>
            </w:r>
            <w:r w:rsidRPr="003C7C11">
              <w:t xml:space="preserve"> </w:t>
            </w:r>
            <w:r>
              <w:t xml:space="preserve">use </w:t>
            </w:r>
            <w:r w:rsidRPr="003C7C11">
              <w:t xml:space="preserve">digital curriculum </w:t>
            </w:r>
            <w:r>
              <w:t xml:space="preserve">that is </w:t>
            </w:r>
            <w:r w:rsidRPr="003C7C11">
              <w:t>cheaper, and so we have some problems with</w:t>
            </w:r>
            <w:r>
              <w:t xml:space="preserve"> </w:t>
            </w:r>
            <w:r w:rsidRPr="003C7C11">
              <w:t xml:space="preserve">getting the actual file that they're using. They're like, </w:t>
            </w:r>
            <w:r>
              <w:t>“I</w:t>
            </w:r>
            <w:r w:rsidRPr="003C7C11">
              <w:t>t's online, we'll just give you our Canvas account.</w:t>
            </w:r>
            <w:r>
              <w:t>”</w:t>
            </w:r>
            <w:r w:rsidRPr="003C7C11">
              <w:t xml:space="preserve"> And we're like, </w:t>
            </w:r>
            <w:r>
              <w:t>“N</w:t>
            </w:r>
            <w:r w:rsidRPr="003C7C11">
              <w:t xml:space="preserve">o, </w:t>
            </w:r>
            <w:r>
              <w:t>it</w:t>
            </w:r>
            <w:r w:rsidRPr="003C7C11">
              <w:t xml:space="preserve"> doesn't work like that. We need to know exactly what you're using for that student. You need to provide it to us.</w:t>
            </w:r>
            <w:r>
              <w:t>”</w:t>
            </w:r>
            <w:r w:rsidRPr="003C7C11">
              <w:t xml:space="preserve"> </w:t>
            </w:r>
            <w:r>
              <w:t>S</w:t>
            </w:r>
            <w:r w:rsidRPr="003C7C11">
              <w:t xml:space="preserve">o, it's the digital curriculum. </w:t>
            </w:r>
            <w:r>
              <w:t>C</w:t>
            </w:r>
            <w:r w:rsidRPr="003C7C11">
              <w:t>harter schoo</w:t>
            </w:r>
            <w:r>
              <w:t xml:space="preserve">ls </w:t>
            </w:r>
            <w:r w:rsidRPr="003C7C11">
              <w:t>get a little bit more creative and use cheaper open-source material.</w:t>
            </w:r>
            <w:r>
              <w:t xml:space="preserve"> (UT)</w:t>
            </w:r>
          </w:p>
        </w:tc>
      </w:tr>
      <w:tr w:rsidR="006F4CFB" w:rsidRPr="00CD254C" w14:paraId="74AD481F" w14:textId="77777777" w:rsidTr="00001130">
        <w:tc>
          <w:tcPr>
            <w:cnfStyle w:val="001000000000" w:firstRow="0" w:lastRow="0" w:firstColumn="1" w:lastColumn="0" w:oddVBand="0" w:evenVBand="0" w:oddHBand="0" w:evenHBand="0" w:firstRowFirstColumn="0" w:firstRowLastColumn="0" w:lastRowFirstColumn="0" w:lastRowLastColumn="0"/>
            <w:tcW w:w="2335" w:type="dxa"/>
          </w:tcPr>
          <w:p w14:paraId="377C5C5E" w14:textId="1A1AEB35" w:rsidR="006F4CFB" w:rsidRPr="00F0250B" w:rsidRDefault="006F4CFB" w:rsidP="006F4CFB">
            <w:pPr>
              <w:rPr>
                <w:rFonts w:cstheme="minorHAnsi"/>
              </w:rPr>
            </w:pPr>
          </w:p>
        </w:tc>
        <w:tc>
          <w:tcPr>
            <w:tcW w:w="7020" w:type="dxa"/>
          </w:tcPr>
          <w:p w14:paraId="38F045A9" w14:textId="4CA665EC" w:rsidR="006F4CFB" w:rsidRPr="00F0250B" w:rsidRDefault="006F4CFB" w:rsidP="006F4CFB">
            <w:pPr>
              <w:cnfStyle w:val="000000000000" w:firstRow="0" w:lastRow="0" w:firstColumn="0" w:lastColumn="0" w:oddVBand="0" w:evenVBand="0" w:oddHBand="0" w:evenHBand="0" w:firstRowFirstColumn="0" w:firstRowLastColumn="0" w:lastRowFirstColumn="0" w:lastRowLastColumn="0"/>
            </w:pPr>
            <w:r>
              <w:t>T</w:t>
            </w:r>
            <w:r w:rsidRPr="004F5BFE">
              <w:t>eacher created material is almost impossible to get to the student in a</w:t>
            </w:r>
            <w:r>
              <w:t xml:space="preserve"> q</w:t>
            </w:r>
            <w:r w:rsidRPr="004F5BFE">
              <w:t>uality and timely</w:t>
            </w:r>
            <w:r>
              <w:t xml:space="preserve"> manner. </w:t>
            </w:r>
            <w:r w:rsidRPr="004F5BFE">
              <w:t xml:space="preserve">It's because </w:t>
            </w:r>
            <w:r>
              <w:t xml:space="preserve">of </w:t>
            </w:r>
            <w:r w:rsidRPr="004F5BFE">
              <w:t xml:space="preserve">the inconsistencies </w:t>
            </w:r>
            <w:r>
              <w:t>in</w:t>
            </w:r>
            <w:r w:rsidRPr="004F5BFE">
              <w:t xml:space="preserve"> formats, the inconsistencies with how things are presented, </w:t>
            </w:r>
            <w:r>
              <w:t xml:space="preserve">and </w:t>
            </w:r>
            <w:r w:rsidRPr="004F5BFE">
              <w:t>the errors</w:t>
            </w:r>
            <w:r>
              <w:t>. I</w:t>
            </w:r>
            <w:r w:rsidRPr="004F5BFE">
              <w:t xml:space="preserve">t really takes a lot of time. </w:t>
            </w:r>
            <w:r>
              <w:t>B</w:t>
            </w:r>
            <w:r w:rsidRPr="004F5BFE">
              <w:t xml:space="preserve">ut this is </w:t>
            </w:r>
            <w:r>
              <w:t>the</w:t>
            </w:r>
            <w:r w:rsidRPr="004F5BFE">
              <w:t xml:space="preserve"> core curriculum</w:t>
            </w:r>
            <w:r>
              <w:t xml:space="preserve"> at charter schools. (UT)</w:t>
            </w:r>
          </w:p>
        </w:tc>
      </w:tr>
      <w:tr w:rsidR="006F4CFB" w:rsidRPr="00CD254C" w14:paraId="736E0902" w14:textId="77777777" w:rsidTr="00C743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1FFC6C9F" w14:textId="77777777" w:rsidR="006F4CFB" w:rsidRPr="00F0250B" w:rsidRDefault="006F4CFB" w:rsidP="006F4CFB">
            <w:pPr>
              <w:rPr>
                <w:rFonts w:cstheme="minorHAnsi"/>
              </w:rPr>
            </w:pPr>
          </w:p>
        </w:tc>
        <w:tc>
          <w:tcPr>
            <w:tcW w:w="7020" w:type="dxa"/>
            <w:shd w:val="clear" w:color="auto" w:fill="D9E2F3"/>
          </w:tcPr>
          <w:p w14:paraId="31DFD7FE" w14:textId="566461AA" w:rsidR="006F4CFB" w:rsidRPr="00F0250B" w:rsidRDefault="006F4CFB" w:rsidP="006F4CFB">
            <w:pPr>
              <w:cnfStyle w:val="000000100000" w:firstRow="0" w:lastRow="0" w:firstColumn="0" w:lastColumn="0" w:oddVBand="0" w:evenVBand="0" w:oddHBand="1" w:evenHBand="0" w:firstRowFirstColumn="0" w:firstRowLastColumn="0" w:lastRowFirstColumn="0" w:lastRowLastColumn="0"/>
            </w:pPr>
            <w:r w:rsidRPr="004F5BFE">
              <w:t>I would say in Florida, we have a lot of charter schools</w:t>
            </w:r>
            <w:r>
              <w:t>. T</w:t>
            </w:r>
            <w:r w:rsidRPr="004F5BFE">
              <w:t>hey are using all different kinds of materials and textbooks, and they're not similar to what the districts are using. So</w:t>
            </w:r>
            <w:r>
              <w:t>,</w:t>
            </w:r>
            <w:r w:rsidRPr="004F5BFE">
              <w:t xml:space="preserve"> there's no hope of us recirculating </w:t>
            </w:r>
            <w:r>
              <w:t>accessible formats</w:t>
            </w:r>
            <w:r w:rsidRPr="004F5BFE">
              <w:t xml:space="preserve"> and getting </w:t>
            </w:r>
            <w:r>
              <w:t xml:space="preserve">them </w:t>
            </w:r>
            <w:r w:rsidRPr="004F5BFE">
              <w:t xml:space="preserve">there fast. </w:t>
            </w:r>
            <w:r>
              <w:t>(FL)</w:t>
            </w:r>
          </w:p>
        </w:tc>
      </w:tr>
      <w:bookmarkEnd w:id="82"/>
    </w:tbl>
    <w:p w14:paraId="6817C17A" w14:textId="77777777" w:rsidR="006F301F" w:rsidRDefault="006F301F" w:rsidP="00F95B49">
      <w:pPr>
        <w:spacing w:after="0" w:line="276" w:lineRule="auto"/>
        <w:rPr>
          <w:rFonts w:ascii="Calibri" w:hAnsi="Calibri" w:cs="Calibri"/>
          <w:bCs/>
          <w:sz w:val="24"/>
          <w:szCs w:val="24"/>
        </w:rPr>
      </w:pPr>
    </w:p>
    <w:p w14:paraId="23CACB2C" w14:textId="77777777" w:rsidR="0015598C" w:rsidRDefault="0015598C" w:rsidP="00F95B49">
      <w:pPr>
        <w:spacing w:after="0" w:line="276" w:lineRule="auto"/>
        <w:rPr>
          <w:rFonts w:ascii="Calibri" w:hAnsi="Calibri" w:cs="Calibri"/>
          <w:bCs/>
          <w:sz w:val="24"/>
          <w:szCs w:val="24"/>
        </w:rPr>
      </w:pPr>
    </w:p>
    <w:p w14:paraId="2A9F1FB4" w14:textId="54594940" w:rsidR="001A5E28" w:rsidRPr="005919AC" w:rsidRDefault="00F745AF" w:rsidP="00B4146C">
      <w:pPr>
        <w:pStyle w:val="Heading3"/>
      </w:pPr>
      <w:bookmarkStart w:id="83" w:name="_Toc222904034"/>
      <w:r>
        <w:t>NIMAS and Procurement</w:t>
      </w:r>
      <w:bookmarkEnd w:id="83"/>
    </w:p>
    <w:p w14:paraId="20C7C361" w14:textId="77777777" w:rsidR="001A5E28" w:rsidRPr="005919AC" w:rsidRDefault="001A5E28" w:rsidP="00C73735">
      <w:pPr>
        <w:spacing w:after="0" w:line="276" w:lineRule="auto"/>
        <w:rPr>
          <w:rFonts w:ascii="Calibri" w:hAnsi="Calibri" w:cs="Calibri"/>
          <w:bCs/>
          <w:sz w:val="24"/>
          <w:szCs w:val="24"/>
        </w:rPr>
      </w:pPr>
    </w:p>
    <w:p w14:paraId="6B968179" w14:textId="6AC95D87" w:rsidR="00993194" w:rsidRDefault="00B55C67" w:rsidP="00993194">
      <w:pPr>
        <w:spacing w:after="0"/>
        <w:rPr>
          <w:rFonts w:ascii="Calibri" w:hAnsi="Calibri" w:cs="Calibri"/>
          <w:sz w:val="24"/>
          <w:szCs w:val="24"/>
        </w:rPr>
      </w:pPr>
      <w:r>
        <w:rPr>
          <w:rFonts w:ascii="ZWAdobeF" w:hAnsi="ZWAdobeF" w:cs="ZWAdobeF"/>
          <w:sz w:val="2"/>
          <w:szCs w:val="2"/>
        </w:rPr>
        <w:t>225B</w:t>
      </w:r>
      <w:r w:rsidR="00FE0FD0">
        <w:rPr>
          <w:rFonts w:ascii="Calibri" w:hAnsi="Calibri" w:cs="Calibri"/>
          <w:sz w:val="24"/>
          <w:szCs w:val="24"/>
        </w:rPr>
        <w:t xml:space="preserve">Survey respondents were asked </w:t>
      </w:r>
      <w:r w:rsidR="004958ED">
        <w:rPr>
          <w:rFonts w:ascii="Calibri" w:hAnsi="Calibri" w:cs="Calibri"/>
          <w:sz w:val="24"/>
          <w:szCs w:val="24"/>
        </w:rPr>
        <w:t xml:space="preserve">a series of </w:t>
      </w:r>
      <w:r w:rsidR="00FE0FD0">
        <w:rPr>
          <w:rFonts w:ascii="Calibri" w:hAnsi="Calibri" w:cs="Calibri"/>
          <w:sz w:val="24"/>
          <w:szCs w:val="24"/>
        </w:rPr>
        <w:t xml:space="preserve">questions related to procurement contract processes for educational materials. Figure </w:t>
      </w:r>
      <w:r w:rsidR="00FE2E8D">
        <w:rPr>
          <w:rFonts w:ascii="Calibri" w:hAnsi="Calibri" w:cs="Calibri"/>
          <w:sz w:val="24"/>
          <w:szCs w:val="24"/>
        </w:rPr>
        <w:t>3</w:t>
      </w:r>
      <w:r w:rsidR="00CB6034">
        <w:rPr>
          <w:rFonts w:ascii="Calibri" w:hAnsi="Calibri" w:cs="Calibri"/>
          <w:sz w:val="24"/>
          <w:szCs w:val="24"/>
        </w:rPr>
        <w:t>3</w:t>
      </w:r>
      <w:r w:rsidR="00FE0FD0">
        <w:rPr>
          <w:rFonts w:ascii="Calibri" w:hAnsi="Calibri" w:cs="Calibri"/>
          <w:sz w:val="24"/>
          <w:szCs w:val="24"/>
        </w:rPr>
        <w:t xml:space="preserve"> </w:t>
      </w:r>
      <w:r w:rsidR="009F7DBC">
        <w:rPr>
          <w:rFonts w:ascii="Calibri" w:hAnsi="Calibri" w:cs="Calibri"/>
          <w:sz w:val="24"/>
          <w:szCs w:val="24"/>
        </w:rPr>
        <w:t>reveals the lack of familiarity with procurement contract processes, with only one-quarter of survey respondents (24%) indicating strong or moderate familiarity.</w:t>
      </w:r>
      <w:r>
        <w:rPr>
          <w:rFonts w:ascii="ZWAdobeF" w:hAnsi="ZWAdobeF" w:cs="ZWAdobeF"/>
          <w:sz w:val="2"/>
          <w:szCs w:val="2"/>
        </w:rPr>
        <w:t>68F</w:t>
      </w:r>
      <w:r w:rsidR="009F0355">
        <w:rPr>
          <w:rStyle w:val="FootnoteReference"/>
          <w:rFonts w:ascii="Calibri" w:hAnsi="Calibri" w:cs="Calibri"/>
          <w:sz w:val="24"/>
          <w:szCs w:val="24"/>
        </w:rPr>
        <w:footnoteReference w:id="70"/>
      </w:r>
    </w:p>
    <w:p w14:paraId="53BE2956" w14:textId="77777777" w:rsidR="00993194" w:rsidRPr="00993194" w:rsidRDefault="00993194" w:rsidP="00993194">
      <w:pPr>
        <w:spacing w:after="0"/>
        <w:rPr>
          <w:rFonts w:ascii="Calibri" w:hAnsi="Calibri" w:cs="Calibri"/>
          <w:sz w:val="24"/>
          <w:szCs w:val="24"/>
        </w:rPr>
      </w:pPr>
    </w:p>
    <w:p w14:paraId="5E5741AC" w14:textId="4F96ABA7" w:rsidR="00FE0FD0" w:rsidRDefault="00FE0FD0" w:rsidP="004946C3">
      <w:pPr>
        <w:pStyle w:val="Heading4"/>
      </w:pPr>
      <w:bookmarkStart w:id="84" w:name="_Hlk216280742"/>
      <w:bookmarkStart w:id="85" w:name="_Toc222904035"/>
      <w:r w:rsidRPr="005919AC">
        <w:lastRenderedPageBreak/>
        <w:t xml:space="preserve">Figure </w:t>
      </w:r>
      <w:r w:rsidR="00FE2E8D">
        <w:t>3</w:t>
      </w:r>
      <w:r w:rsidR="00CB6034">
        <w:t>3</w:t>
      </w:r>
      <w:r w:rsidRPr="005919AC">
        <w:t xml:space="preserve">. </w:t>
      </w:r>
      <w:r w:rsidR="00DC0221">
        <w:t>Familiarity with Procurement Contract Processes for Educational Materials</w:t>
      </w:r>
      <w:bookmarkEnd w:id="85"/>
    </w:p>
    <w:bookmarkEnd w:id="84"/>
    <w:p w14:paraId="547F3BC0" w14:textId="4DFFBA20" w:rsidR="00FE0FD0" w:rsidRPr="007921A0" w:rsidRDefault="00B55C67" w:rsidP="00993194">
      <w:pPr>
        <w:jc w:val="center"/>
      </w:pPr>
      <w:r>
        <w:rPr>
          <w:rFonts w:ascii="ZWAdobeF" w:hAnsi="ZWAdobeF" w:cs="ZWAdobeF"/>
          <w:sz w:val="2"/>
          <w:szCs w:val="2"/>
        </w:rPr>
        <w:t>226</w:t>
      </w:r>
      <w:proofErr w:type="gramStart"/>
      <w:r>
        <w:rPr>
          <w:rFonts w:ascii="ZWAdobeF" w:hAnsi="ZWAdobeF" w:cs="ZWAdobeF"/>
          <w:sz w:val="2"/>
          <w:szCs w:val="2"/>
        </w:rPr>
        <w:t>B</w:t>
      </w:r>
      <w:r w:rsidR="00FE0FD0">
        <w:t>(</w:t>
      </w:r>
      <w:proofErr w:type="gramEnd"/>
      <w:r w:rsidR="00FE0FD0" w:rsidRPr="009F1957">
        <w:rPr>
          <w:i/>
          <w:iCs/>
        </w:rPr>
        <w:t>n</w:t>
      </w:r>
      <w:r w:rsidR="00FE0FD0">
        <w:t xml:space="preserve"> = 2</w:t>
      </w:r>
      <w:r w:rsidR="00DC0221">
        <w:t>31</w:t>
      </w:r>
      <w:r w:rsidR="00FE0FD0">
        <w:t>)</w:t>
      </w:r>
    </w:p>
    <w:p w14:paraId="48CADD29" w14:textId="0D77F507" w:rsidR="00FE0FD0" w:rsidRDefault="00B55C67" w:rsidP="00C76507">
      <w:pPr>
        <w:spacing w:after="0" w:line="276" w:lineRule="auto"/>
        <w:jc w:val="center"/>
        <w:rPr>
          <w:rFonts w:ascii="Calibri" w:hAnsi="Calibri" w:cs="Calibri"/>
          <w:sz w:val="24"/>
          <w:szCs w:val="24"/>
        </w:rPr>
      </w:pPr>
      <w:r>
        <w:rPr>
          <w:rFonts w:ascii="ZWAdobeF" w:hAnsi="ZWAdobeF" w:cs="ZWAdobeF"/>
          <w:sz w:val="2"/>
          <w:szCs w:val="2"/>
        </w:rPr>
        <w:t>227B</w:t>
      </w:r>
      <w:r w:rsidR="00DC0221" w:rsidRPr="00FD0A0B">
        <w:rPr>
          <w:rFonts w:ascii="Calibri" w:hAnsi="Calibri" w:cs="Calibri"/>
          <w:noProof/>
        </w:rPr>
        <w:drawing>
          <wp:inline distT="0" distB="0" distL="0" distR="0" wp14:anchorId="2BE0E05C" wp14:editId="3A4D3BB5">
            <wp:extent cx="5016137" cy="2221230"/>
            <wp:effectExtent l="0" t="0" r="0" b="7620"/>
            <wp:docPr id="56986952" name="Chart 56986952" descr="Figure 33 is a pie chart showing respondents’ familiarity with procurement contract processes for educational materials (n = 231). Forty-five percent of respondents reported being not familiar, 31% reported being slightly familiar, 17% reported being moderately familiar, and 7% reported being very familiar."/>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00E4AF84" w14:textId="6E1096D9" w:rsidR="0003378D" w:rsidRDefault="00B55C67" w:rsidP="004D0445">
      <w:pPr>
        <w:rPr>
          <w:rFonts w:ascii="Calibri" w:hAnsi="Calibri" w:cs="Calibri"/>
          <w:sz w:val="24"/>
          <w:szCs w:val="24"/>
        </w:rPr>
      </w:pPr>
      <w:r>
        <w:rPr>
          <w:rFonts w:ascii="ZWAdobeF" w:hAnsi="ZWAdobeF" w:cs="ZWAdobeF"/>
          <w:sz w:val="2"/>
          <w:szCs w:val="2"/>
        </w:rPr>
        <w:t>228B</w:t>
      </w:r>
      <w:r w:rsidR="00256A1F" w:rsidRPr="00256A1F">
        <w:rPr>
          <w:rFonts w:ascii="Calibri" w:hAnsi="Calibri" w:cs="Calibri"/>
          <w:sz w:val="24"/>
          <w:szCs w:val="24"/>
        </w:rPr>
        <w:t xml:space="preserve">To examine differences in familiarity with procurement contract processes for educational materials by location and role, responses were </w:t>
      </w:r>
      <w:r w:rsidR="00256A1F">
        <w:rPr>
          <w:rFonts w:ascii="Calibri" w:hAnsi="Calibri" w:cs="Calibri"/>
          <w:sz w:val="24"/>
          <w:szCs w:val="24"/>
        </w:rPr>
        <w:t>assigned</w:t>
      </w:r>
      <w:r w:rsidR="00256A1F" w:rsidRPr="00256A1F">
        <w:rPr>
          <w:rFonts w:ascii="Calibri" w:hAnsi="Calibri" w:cs="Calibri"/>
          <w:sz w:val="24"/>
          <w:szCs w:val="24"/>
        </w:rPr>
        <w:t xml:space="preserve"> a numerical value where 1 = Not Familiar, 2 = Slightly Familiar, 3 = Moderately Familiar, and 4 = Very Familiar. There were no statistically significant differences by location</w:t>
      </w:r>
      <w:r w:rsidR="00F35CA1">
        <w:rPr>
          <w:rFonts w:ascii="Calibri" w:hAnsi="Calibri" w:cs="Calibri"/>
          <w:sz w:val="24"/>
          <w:szCs w:val="24"/>
        </w:rPr>
        <w:t xml:space="preserve">, and </w:t>
      </w:r>
      <w:r w:rsidR="00256A1F" w:rsidRPr="00256A1F">
        <w:rPr>
          <w:rFonts w:ascii="Calibri" w:hAnsi="Calibri" w:cs="Calibri"/>
          <w:sz w:val="24"/>
          <w:szCs w:val="24"/>
        </w:rPr>
        <w:t xml:space="preserve">there were </w:t>
      </w:r>
      <w:r w:rsidR="008B33A7" w:rsidRPr="00EB58EA">
        <w:rPr>
          <w:rFonts w:ascii="Calibri" w:hAnsi="Calibri" w:cs="Calibri"/>
          <w:i/>
          <w:iCs/>
          <w:color w:val="EE0000"/>
          <w:sz w:val="24"/>
          <w:szCs w:val="24"/>
        </w:rPr>
        <w:t>t</w:t>
      </w:r>
      <w:r w:rsidR="008B33A7" w:rsidRPr="0015598C">
        <w:rPr>
          <w:rFonts w:ascii="Calibri" w:hAnsi="Calibri" w:cs="Calibri"/>
          <w:i/>
          <w:iCs/>
          <w:color w:val="EE0000"/>
          <w:sz w:val="24"/>
          <w:szCs w:val="24"/>
        </w:rPr>
        <w:t>hree</w:t>
      </w:r>
      <w:r w:rsidR="00256A1F" w:rsidRPr="0015598C">
        <w:rPr>
          <w:rFonts w:ascii="Calibri" w:hAnsi="Calibri" w:cs="Calibri"/>
          <w:i/>
          <w:iCs/>
          <w:color w:val="EE0000"/>
          <w:sz w:val="24"/>
          <w:szCs w:val="24"/>
        </w:rPr>
        <w:t xml:space="preserve"> statistically significant differences by role</w:t>
      </w:r>
      <w:r w:rsidR="00256A1F" w:rsidRPr="00B7706B">
        <w:rPr>
          <w:rFonts w:ascii="Calibri" w:hAnsi="Calibri" w:cs="Calibri"/>
          <w:color w:val="EE0000"/>
          <w:sz w:val="24"/>
          <w:szCs w:val="24"/>
        </w:rPr>
        <w:t>.</w:t>
      </w:r>
      <w:r w:rsidR="00256A1F" w:rsidRPr="00256A1F">
        <w:rPr>
          <w:rFonts w:ascii="Calibri" w:hAnsi="Calibri" w:cs="Calibri"/>
          <w:sz w:val="24"/>
          <w:szCs w:val="24"/>
        </w:rPr>
        <w:t xml:space="preserve"> As displayed in Figure </w:t>
      </w:r>
      <w:r w:rsidR="00CB6034">
        <w:rPr>
          <w:rFonts w:ascii="Calibri" w:hAnsi="Calibri" w:cs="Calibri"/>
          <w:sz w:val="24"/>
          <w:szCs w:val="24"/>
        </w:rPr>
        <w:t>34</w:t>
      </w:r>
      <w:r w:rsidR="00256A1F" w:rsidRPr="00256A1F">
        <w:rPr>
          <w:rFonts w:ascii="Calibri" w:hAnsi="Calibri" w:cs="Calibri"/>
          <w:sz w:val="24"/>
          <w:szCs w:val="24"/>
        </w:rPr>
        <w:t>, familiarity with procurement contract processes was lowe</w:t>
      </w:r>
      <w:r w:rsidR="00256A1F">
        <w:rPr>
          <w:rFonts w:ascii="Calibri" w:hAnsi="Calibri" w:cs="Calibri"/>
          <w:sz w:val="24"/>
          <w:szCs w:val="24"/>
        </w:rPr>
        <w:t>r</w:t>
      </w:r>
      <w:r w:rsidR="00256A1F" w:rsidRPr="00256A1F">
        <w:rPr>
          <w:rFonts w:ascii="Calibri" w:hAnsi="Calibri" w:cs="Calibri"/>
          <w:sz w:val="24"/>
          <w:szCs w:val="24"/>
        </w:rPr>
        <w:t xml:space="preserve"> among school staff (</w:t>
      </w:r>
      <w:proofErr w:type="gramStart"/>
      <w:r w:rsidR="00256A1F">
        <w:rPr>
          <w:rFonts w:ascii="Calibri" w:hAnsi="Calibri" w:cs="Calibri"/>
          <w:i/>
          <w:iCs/>
          <w:sz w:val="24"/>
          <w:szCs w:val="24"/>
        </w:rPr>
        <w:t>t</w:t>
      </w:r>
      <w:r w:rsidR="00256A1F">
        <w:rPr>
          <w:rFonts w:ascii="Calibri" w:hAnsi="Calibri" w:cs="Calibri"/>
          <w:sz w:val="24"/>
          <w:szCs w:val="24"/>
        </w:rPr>
        <w:t>(</w:t>
      </w:r>
      <w:proofErr w:type="gramEnd"/>
      <w:r w:rsidR="00256A1F">
        <w:rPr>
          <w:rFonts w:ascii="Calibri" w:hAnsi="Calibri" w:cs="Calibri"/>
          <w:sz w:val="24"/>
          <w:szCs w:val="24"/>
        </w:rPr>
        <w:t xml:space="preserve">229) = 2.7, </w:t>
      </w:r>
      <w:r w:rsidR="00256A1F">
        <w:rPr>
          <w:rFonts w:ascii="Calibri" w:hAnsi="Calibri" w:cs="Calibri"/>
          <w:i/>
          <w:iCs/>
          <w:sz w:val="24"/>
          <w:szCs w:val="24"/>
        </w:rPr>
        <w:t>p</w:t>
      </w:r>
      <w:r w:rsidR="00256A1F">
        <w:rPr>
          <w:rFonts w:ascii="Calibri" w:hAnsi="Calibri" w:cs="Calibri"/>
          <w:sz w:val="24"/>
          <w:szCs w:val="24"/>
        </w:rPr>
        <w:t xml:space="preserve"> &lt; .05</w:t>
      </w:r>
      <w:r w:rsidR="00256A1F" w:rsidRPr="00256A1F">
        <w:rPr>
          <w:rFonts w:ascii="Calibri" w:hAnsi="Calibri" w:cs="Calibri"/>
          <w:sz w:val="24"/>
          <w:szCs w:val="24"/>
        </w:rPr>
        <w:t>) and highe</w:t>
      </w:r>
      <w:r w:rsidR="00256A1F">
        <w:rPr>
          <w:rFonts w:ascii="Calibri" w:hAnsi="Calibri" w:cs="Calibri"/>
          <w:sz w:val="24"/>
          <w:szCs w:val="24"/>
        </w:rPr>
        <w:t>r</w:t>
      </w:r>
      <w:r w:rsidR="00256A1F" w:rsidRPr="00256A1F">
        <w:rPr>
          <w:rFonts w:ascii="Calibri" w:hAnsi="Calibri" w:cs="Calibri"/>
          <w:sz w:val="24"/>
          <w:szCs w:val="24"/>
        </w:rPr>
        <w:t xml:space="preserve"> among IMC/IRC staff (</w:t>
      </w:r>
      <w:proofErr w:type="gramStart"/>
      <w:r w:rsidR="00256A1F">
        <w:rPr>
          <w:rFonts w:ascii="Calibri" w:hAnsi="Calibri" w:cs="Calibri"/>
          <w:i/>
          <w:iCs/>
          <w:sz w:val="24"/>
          <w:szCs w:val="24"/>
        </w:rPr>
        <w:t>t</w:t>
      </w:r>
      <w:r w:rsidR="00256A1F">
        <w:rPr>
          <w:rFonts w:ascii="Calibri" w:hAnsi="Calibri" w:cs="Calibri"/>
          <w:sz w:val="24"/>
          <w:szCs w:val="24"/>
        </w:rPr>
        <w:t>(</w:t>
      </w:r>
      <w:proofErr w:type="gramEnd"/>
      <w:r w:rsidR="00256A1F">
        <w:rPr>
          <w:rFonts w:ascii="Calibri" w:hAnsi="Calibri" w:cs="Calibri"/>
          <w:sz w:val="24"/>
          <w:szCs w:val="24"/>
        </w:rPr>
        <w:t>229) =</w:t>
      </w:r>
      <w:r w:rsidR="00B97F3E">
        <w:rPr>
          <w:rFonts w:ascii="Calibri" w:hAnsi="Calibri" w:cs="Calibri"/>
          <w:sz w:val="24"/>
          <w:szCs w:val="24"/>
        </w:rPr>
        <w:t xml:space="preserve"> </w:t>
      </w:r>
      <w:r w:rsidR="00256A1F">
        <w:rPr>
          <w:rFonts w:ascii="Calibri" w:hAnsi="Calibri" w:cs="Calibri"/>
          <w:sz w:val="24"/>
          <w:szCs w:val="24"/>
        </w:rPr>
        <w:t xml:space="preserve">3.1, </w:t>
      </w:r>
      <w:r w:rsidR="00256A1F">
        <w:rPr>
          <w:rFonts w:ascii="Calibri" w:hAnsi="Calibri" w:cs="Calibri"/>
          <w:i/>
          <w:iCs/>
          <w:sz w:val="24"/>
          <w:szCs w:val="24"/>
        </w:rPr>
        <w:t>p</w:t>
      </w:r>
      <w:r w:rsidR="00256A1F">
        <w:rPr>
          <w:rFonts w:ascii="Calibri" w:hAnsi="Calibri" w:cs="Calibri"/>
          <w:sz w:val="24"/>
          <w:szCs w:val="24"/>
        </w:rPr>
        <w:t xml:space="preserve"> &lt; .05</w:t>
      </w:r>
      <w:r w:rsidR="00256A1F" w:rsidRPr="00256A1F">
        <w:rPr>
          <w:rFonts w:ascii="Calibri" w:hAnsi="Calibri" w:cs="Calibri"/>
          <w:sz w:val="24"/>
          <w:szCs w:val="24"/>
        </w:rPr>
        <w:t>)</w:t>
      </w:r>
      <w:r w:rsidR="00256A1F">
        <w:rPr>
          <w:rFonts w:ascii="Calibri" w:hAnsi="Calibri" w:cs="Calibri"/>
          <w:sz w:val="24"/>
          <w:szCs w:val="24"/>
        </w:rPr>
        <w:t xml:space="preserve"> compared to other respondents. </w:t>
      </w:r>
      <w:r w:rsidR="008B33A7">
        <w:rPr>
          <w:rFonts w:ascii="Calibri" w:hAnsi="Calibri" w:cs="Calibri"/>
          <w:sz w:val="24"/>
          <w:szCs w:val="24"/>
        </w:rPr>
        <w:t xml:space="preserve">In addition, </w:t>
      </w:r>
      <w:r w:rsidR="008B33A7">
        <w:rPr>
          <w:rFonts w:cstheme="minorHAnsi"/>
          <w:sz w:val="24"/>
          <w:szCs w:val="24"/>
        </w:rPr>
        <w:t>NIMAC Users reported more familiarity with procurement contract processes</w:t>
      </w:r>
      <w:r w:rsidR="008B33A7">
        <w:rPr>
          <w:rFonts w:ascii="Calibri" w:hAnsi="Calibri" w:cs="Calibri"/>
          <w:sz w:val="24"/>
          <w:szCs w:val="24"/>
        </w:rPr>
        <w:t xml:space="preserve"> (</w:t>
      </w:r>
      <w:r w:rsidR="000D0336">
        <w:rPr>
          <w:rFonts w:ascii="Calibri" w:hAnsi="Calibri" w:cs="Calibri"/>
          <w:sz w:val="24"/>
          <w:szCs w:val="24"/>
        </w:rPr>
        <w:t xml:space="preserve">mean = </w:t>
      </w:r>
      <w:r w:rsidR="008B33A7">
        <w:rPr>
          <w:rFonts w:ascii="Calibri" w:hAnsi="Calibri" w:cs="Calibri"/>
          <w:sz w:val="24"/>
          <w:szCs w:val="24"/>
        </w:rPr>
        <w:t>2.2</w:t>
      </w:r>
      <w:r w:rsidR="000D0336">
        <w:rPr>
          <w:rFonts w:ascii="Calibri" w:hAnsi="Calibri" w:cs="Calibri"/>
          <w:sz w:val="24"/>
          <w:szCs w:val="24"/>
        </w:rPr>
        <w:t>;</w:t>
      </w:r>
      <w:r w:rsidR="008B33A7">
        <w:rPr>
          <w:rFonts w:ascii="Calibri" w:hAnsi="Calibri" w:cs="Calibri"/>
          <w:sz w:val="24"/>
          <w:szCs w:val="24"/>
        </w:rPr>
        <w:t xml:space="preserve"> </w:t>
      </w:r>
      <w:r w:rsidR="008B33A7">
        <w:rPr>
          <w:rFonts w:ascii="Calibri" w:hAnsi="Calibri" w:cs="Calibri"/>
          <w:i/>
          <w:iCs/>
          <w:sz w:val="24"/>
          <w:szCs w:val="24"/>
        </w:rPr>
        <w:t>n</w:t>
      </w:r>
      <w:r w:rsidR="008B33A7">
        <w:rPr>
          <w:rFonts w:ascii="Calibri" w:hAnsi="Calibri" w:cs="Calibri"/>
          <w:sz w:val="24"/>
          <w:szCs w:val="24"/>
        </w:rPr>
        <w:t xml:space="preserve"> = 54) compared to respondents who were not NIMAC Users (</w:t>
      </w:r>
      <w:r w:rsidR="000D0336">
        <w:rPr>
          <w:rFonts w:ascii="Calibri" w:hAnsi="Calibri" w:cs="Calibri"/>
          <w:sz w:val="24"/>
          <w:szCs w:val="24"/>
        </w:rPr>
        <w:t xml:space="preserve">mean = </w:t>
      </w:r>
      <w:r w:rsidR="008B33A7">
        <w:rPr>
          <w:rFonts w:ascii="Calibri" w:hAnsi="Calibri" w:cs="Calibri"/>
          <w:sz w:val="24"/>
          <w:szCs w:val="24"/>
        </w:rPr>
        <w:t>1.8</w:t>
      </w:r>
      <w:r w:rsidR="000D0336">
        <w:rPr>
          <w:rFonts w:ascii="Calibri" w:hAnsi="Calibri" w:cs="Calibri"/>
          <w:sz w:val="24"/>
          <w:szCs w:val="24"/>
        </w:rPr>
        <w:t>;</w:t>
      </w:r>
      <w:r w:rsidR="008B33A7">
        <w:rPr>
          <w:rFonts w:ascii="Calibri" w:hAnsi="Calibri" w:cs="Calibri"/>
          <w:sz w:val="24"/>
          <w:szCs w:val="24"/>
        </w:rPr>
        <w:t xml:space="preserve"> </w:t>
      </w:r>
      <w:r w:rsidR="008B33A7">
        <w:rPr>
          <w:rFonts w:ascii="Calibri" w:hAnsi="Calibri" w:cs="Calibri"/>
          <w:i/>
          <w:iCs/>
          <w:sz w:val="24"/>
          <w:szCs w:val="24"/>
        </w:rPr>
        <w:t xml:space="preserve">n </w:t>
      </w:r>
      <w:r w:rsidR="008B33A7">
        <w:rPr>
          <w:rFonts w:ascii="Calibri" w:hAnsi="Calibri" w:cs="Calibri"/>
          <w:sz w:val="24"/>
          <w:szCs w:val="24"/>
        </w:rPr>
        <w:t>= 177;</w:t>
      </w:r>
      <w:r w:rsidR="008B33A7" w:rsidRPr="008B33A7">
        <w:rPr>
          <w:rFonts w:ascii="Calibri" w:hAnsi="Calibri" w:cs="Calibri"/>
          <w:i/>
          <w:iCs/>
          <w:sz w:val="24"/>
          <w:szCs w:val="24"/>
        </w:rPr>
        <w:t xml:space="preserve"> </w:t>
      </w:r>
      <w:proofErr w:type="gramStart"/>
      <w:r w:rsidR="008B33A7">
        <w:rPr>
          <w:rFonts w:ascii="Calibri" w:hAnsi="Calibri" w:cs="Calibri"/>
          <w:i/>
          <w:iCs/>
          <w:sz w:val="24"/>
          <w:szCs w:val="24"/>
        </w:rPr>
        <w:t>t</w:t>
      </w:r>
      <w:r w:rsidR="008B33A7">
        <w:rPr>
          <w:rFonts w:ascii="Calibri" w:hAnsi="Calibri" w:cs="Calibri"/>
          <w:sz w:val="24"/>
          <w:szCs w:val="24"/>
        </w:rPr>
        <w:t>(</w:t>
      </w:r>
      <w:proofErr w:type="gramEnd"/>
      <w:r w:rsidR="008B33A7">
        <w:rPr>
          <w:rFonts w:ascii="Calibri" w:hAnsi="Calibri" w:cs="Calibri"/>
          <w:sz w:val="24"/>
          <w:szCs w:val="24"/>
        </w:rPr>
        <w:t xml:space="preserve">229) = -2.7, </w:t>
      </w:r>
      <w:r w:rsidR="008B33A7">
        <w:rPr>
          <w:rFonts w:ascii="Calibri" w:hAnsi="Calibri" w:cs="Calibri"/>
          <w:i/>
          <w:iCs/>
          <w:sz w:val="24"/>
          <w:szCs w:val="24"/>
        </w:rPr>
        <w:t>p</w:t>
      </w:r>
      <w:r w:rsidR="008B33A7">
        <w:rPr>
          <w:rFonts w:ascii="Calibri" w:hAnsi="Calibri" w:cs="Calibri"/>
          <w:sz w:val="24"/>
          <w:szCs w:val="24"/>
        </w:rPr>
        <w:t xml:space="preserve"> &lt; .05</w:t>
      </w:r>
      <w:r w:rsidR="008B33A7">
        <w:rPr>
          <w:rFonts w:cstheme="minorHAnsi"/>
          <w:sz w:val="24"/>
          <w:szCs w:val="24"/>
        </w:rPr>
        <w:t xml:space="preserve">). </w:t>
      </w:r>
      <w:r w:rsidR="008B33A7">
        <w:rPr>
          <w:rFonts w:ascii="Calibri" w:hAnsi="Calibri" w:cs="Calibri"/>
          <w:sz w:val="24"/>
          <w:szCs w:val="24"/>
        </w:rPr>
        <w:t xml:space="preserve">These findings suggest that </w:t>
      </w:r>
      <w:r w:rsidR="0003378D">
        <w:rPr>
          <w:rFonts w:ascii="Calibri" w:hAnsi="Calibri" w:cs="Calibri"/>
          <w:sz w:val="24"/>
          <w:szCs w:val="24"/>
        </w:rPr>
        <w:t>involvement in procurement contract processes is likely less common among school staff and more common among IMC/IRC staff and NIMAC Users.</w:t>
      </w:r>
      <w:r w:rsidR="005C5521">
        <w:rPr>
          <w:rFonts w:ascii="Calibri" w:hAnsi="Calibri" w:cs="Calibri"/>
          <w:sz w:val="24"/>
          <w:szCs w:val="24"/>
        </w:rPr>
        <w:t xml:space="preserve"> </w:t>
      </w:r>
    </w:p>
    <w:p w14:paraId="7B9A4082" w14:textId="77777777" w:rsidR="00A7099E" w:rsidRDefault="00A7099E">
      <w:pPr>
        <w:rPr>
          <w:rFonts w:ascii="Calibri" w:eastAsiaTheme="majorEastAsia" w:hAnsi="Calibri" w:cs="Calibri"/>
          <w:smallCaps/>
          <w:color w:val="44546A" w:themeColor="text2"/>
          <w:sz w:val="24"/>
          <w:szCs w:val="24"/>
        </w:rPr>
      </w:pPr>
      <w:r>
        <w:rPr>
          <w:rFonts w:ascii="Calibri" w:hAnsi="Calibri" w:cs="Calibri"/>
          <w:smallCaps/>
          <w:color w:val="44546A" w:themeColor="text2"/>
        </w:rPr>
        <w:br w:type="page"/>
      </w:r>
    </w:p>
    <w:p w14:paraId="09CF9354" w14:textId="4A15F8EE" w:rsidR="00256A1F" w:rsidRDefault="00256A1F" w:rsidP="004946C3">
      <w:pPr>
        <w:pStyle w:val="Heading4"/>
      </w:pPr>
      <w:bookmarkStart w:id="86" w:name="_Toc222904036"/>
      <w:r w:rsidRPr="005919AC">
        <w:lastRenderedPageBreak/>
        <w:t xml:space="preserve">Figure </w:t>
      </w:r>
      <w:r w:rsidR="00CB6034">
        <w:t>34</w:t>
      </w:r>
      <w:r w:rsidRPr="005919AC">
        <w:t xml:space="preserve">. </w:t>
      </w:r>
      <w:r>
        <w:t>Familiarity with Procurement Contract Processes for Educational Materials: Differences by Role</w:t>
      </w:r>
      <w:r w:rsidR="00B55C67">
        <w:rPr>
          <w:rFonts w:ascii="ZWAdobeF" w:hAnsi="ZWAdobeF" w:cs="ZWAdobeF"/>
          <w:i w:val="0"/>
          <w:color w:val="auto"/>
          <w:sz w:val="2"/>
          <w:szCs w:val="2"/>
        </w:rPr>
        <w:t>69F</w:t>
      </w:r>
      <w:r w:rsidR="00760A0D">
        <w:rPr>
          <w:rStyle w:val="FootnoteReference"/>
          <w:rFonts w:cs="Calibri"/>
          <w:smallCaps/>
          <w:color w:val="44546A" w:themeColor="text2"/>
        </w:rPr>
        <w:footnoteReference w:id="71"/>
      </w:r>
      <w:bookmarkEnd w:id="86"/>
      <w:r>
        <w:rPr>
          <w:rStyle w:val="FootnoteReference"/>
          <w:rFonts w:cs="Calibri"/>
          <w:smallCaps/>
          <w:color w:val="44546A" w:themeColor="text2"/>
        </w:rPr>
        <w:t xml:space="preserve"> </w:t>
      </w:r>
    </w:p>
    <w:p w14:paraId="03BCAABC" w14:textId="0E9B1210" w:rsidR="001833E9" w:rsidRPr="004E11E3" w:rsidRDefault="00B55C67" w:rsidP="004E11E3">
      <w:pPr>
        <w:jc w:val="center"/>
      </w:pPr>
      <w:r>
        <w:rPr>
          <w:rFonts w:ascii="ZWAdobeF" w:hAnsi="ZWAdobeF" w:cs="ZWAdobeF"/>
          <w:sz w:val="2"/>
          <w:szCs w:val="2"/>
        </w:rPr>
        <w:t>229</w:t>
      </w:r>
      <w:proofErr w:type="gramStart"/>
      <w:r>
        <w:rPr>
          <w:rFonts w:ascii="ZWAdobeF" w:hAnsi="ZWAdobeF" w:cs="ZWAdobeF"/>
          <w:sz w:val="2"/>
          <w:szCs w:val="2"/>
        </w:rPr>
        <w:t>B</w:t>
      </w:r>
      <w:r w:rsidR="004E11E3">
        <w:t>(</w:t>
      </w:r>
      <w:proofErr w:type="gramEnd"/>
      <w:r w:rsidR="004E11E3" w:rsidRPr="009F1957">
        <w:rPr>
          <w:i/>
          <w:iCs/>
        </w:rPr>
        <w:t>n</w:t>
      </w:r>
      <w:r w:rsidR="004E11E3">
        <w:t xml:space="preserve"> = 231)</w:t>
      </w:r>
    </w:p>
    <w:p w14:paraId="35642F35" w14:textId="1A858063" w:rsidR="001833E9" w:rsidRDefault="00B55C67" w:rsidP="001833E9">
      <w:pPr>
        <w:spacing w:after="0" w:line="276" w:lineRule="auto"/>
        <w:rPr>
          <w:rFonts w:ascii="Calibri" w:hAnsi="Calibri" w:cs="Calibri"/>
          <w:sz w:val="24"/>
          <w:szCs w:val="24"/>
        </w:rPr>
      </w:pPr>
      <w:r>
        <w:rPr>
          <w:rFonts w:ascii="ZWAdobeF" w:hAnsi="ZWAdobeF" w:cs="ZWAdobeF"/>
          <w:sz w:val="2"/>
          <w:szCs w:val="2"/>
        </w:rPr>
        <w:t>230B</w:t>
      </w:r>
      <w:r w:rsidR="00A7099E" w:rsidRPr="00012B18">
        <w:rPr>
          <w:rFonts w:ascii="Times New Roman" w:hAnsi="Times New Roman" w:cs="Times New Roman"/>
          <w:b/>
          <w:noProof/>
          <w:color w:val="0070C0"/>
        </w:rPr>
        <w:drawing>
          <wp:inline distT="0" distB="0" distL="0" distR="0" wp14:anchorId="3F2B6487" wp14:editId="7F3595D2">
            <wp:extent cx="6096000" cy="2559343"/>
            <wp:effectExtent l="0" t="0" r="0" b="0"/>
            <wp:docPr id="394232652" name="Chart 3" descr="Figure 34 is a vertical bar chart showing differences by role in mean familiarity with procurement contract processes for educational materials (n = 231). Mean familiarity ratings on a 4-point scale were 1.9 for LEA/ESD, regional, and cooperative staff (n = 102); 1.6 for school staff (n = 63); 2.4 for IMR/IRC staff (n = 26); 1.8 for SEA staff (n = 26); and 2.1 for AMPs, publishers, and vendors (n = 14). Asterisks indicate statistically significant differences for school staff and IMR/IRC staff."/>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7FB223D8" w14:textId="77777777" w:rsidR="00A7099E" w:rsidRDefault="00A7099E" w:rsidP="004D0445">
      <w:pPr>
        <w:rPr>
          <w:rFonts w:ascii="Calibri" w:hAnsi="Calibri" w:cs="Calibri"/>
          <w:sz w:val="24"/>
          <w:szCs w:val="24"/>
        </w:rPr>
      </w:pPr>
    </w:p>
    <w:p w14:paraId="6277F42B" w14:textId="47FBAA16" w:rsidR="0004115E" w:rsidRDefault="00B55C67">
      <w:pPr>
        <w:rPr>
          <w:rFonts w:ascii="Calibri" w:hAnsi="Calibri" w:cs="Calibri"/>
          <w:sz w:val="24"/>
          <w:szCs w:val="24"/>
        </w:rPr>
      </w:pPr>
      <w:r>
        <w:rPr>
          <w:rFonts w:ascii="ZWAdobeF" w:hAnsi="ZWAdobeF" w:cs="ZWAdobeF"/>
          <w:sz w:val="2"/>
          <w:szCs w:val="2"/>
        </w:rPr>
        <w:t>231B</w:t>
      </w:r>
      <w:r w:rsidR="00C730E6">
        <w:rPr>
          <w:rFonts w:ascii="Calibri" w:hAnsi="Calibri" w:cs="Calibri"/>
          <w:sz w:val="24"/>
          <w:szCs w:val="24"/>
        </w:rPr>
        <w:t xml:space="preserve">Survey respondents were </w:t>
      </w:r>
      <w:r w:rsidR="00FA7229">
        <w:rPr>
          <w:rFonts w:ascii="Calibri" w:hAnsi="Calibri" w:cs="Calibri"/>
          <w:sz w:val="24"/>
          <w:szCs w:val="24"/>
        </w:rPr>
        <w:t>also asked</w:t>
      </w:r>
      <w:r w:rsidR="00C730E6">
        <w:rPr>
          <w:rFonts w:ascii="Calibri" w:hAnsi="Calibri" w:cs="Calibri"/>
          <w:sz w:val="24"/>
          <w:szCs w:val="24"/>
        </w:rPr>
        <w:t xml:space="preserve"> </w:t>
      </w:r>
      <w:r w:rsidR="00E21AC5">
        <w:rPr>
          <w:rFonts w:ascii="Calibri" w:hAnsi="Calibri" w:cs="Calibri"/>
          <w:sz w:val="24"/>
          <w:szCs w:val="24"/>
        </w:rPr>
        <w:t xml:space="preserve">whether they have been </w:t>
      </w:r>
      <w:r w:rsidR="00BA1B83" w:rsidRPr="00BA1B83">
        <w:rPr>
          <w:rFonts w:ascii="Calibri" w:hAnsi="Calibri" w:cs="Calibri"/>
          <w:sz w:val="24"/>
          <w:szCs w:val="24"/>
        </w:rPr>
        <w:t>directly involved in the procurement contract process</w:t>
      </w:r>
      <w:r w:rsidR="00FE2E8D">
        <w:rPr>
          <w:rFonts w:ascii="Calibri" w:hAnsi="Calibri" w:cs="Calibri"/>
          <w:sz w:val="24"/>
          <w:szCs w:val="24"/>
        </w:rPr>
        <w:t xml:space="preserve"> for educational materials</w:t>
      </w:r>
      <w:r w:rsidR="00E21AC5">
        <w:rPr>
          <w:rFonts w:ascii="Calibri" w:hAnsi="Calibri" w:cs="Calibri"/>
          <w:sz w:val="24"/>
          <w:szCs w:val="24"/>
        </w:rPr>
        <w:t>.</w:t>
      </w:r>
      <w:r>
        <w:rPr>
          <w:rFonts w:ascii="ZWAdobeF" w:hAnsi="ZWAdobeF" w:cs="ZWAdobeF"/>
          <w:sz w:val="2"/>
          <w:szCs w:val="2"/>
        </w:rPr>
        <w:t>70F</w:t>
      </w:r>
      <w:r w:rsidR="00FE2E8D">
        <w:rPr>
          <w:rStyle w:val="FootnoteReference"/>
          <w:rFonts w:ascii="Calibri" w:hAnsi="Calibri" w:cs="Calibri"/>
          <w:sz w:val="24"/>
          <w:szCs w:val="24"/>
        </w:rPr>
        <w:footnoteReference w:id="72"/>
      </w:r>
      <w:r w:rsidR="00BA1B83">
        <w:rPr>
          <w:rFonts w:ascii="Calibri" w:hAnsi="Calibri" w:cs="Calibri"/>
          <w:sz w:val="24"/>
          <w:szCs w:val="24"/>
        </w:rPr>
        <w:t xml:space="preserve"> </w:t>
      </w:r>
      <w:r w:rsidR="00DA5EB0">
        <w:rPr>
          <w:rFonts w:ascii="Calibri" w:hAnsi="Calibri" w:cs="Calibri"/>
          <w:sz w:val="24"/>
          <w:szCs w:val="24"/>
        </w:rPr>
        <w:t xml:space="preserve">Similar to </w:t>
      </w:r>
      <w:r w:rsidR="004958ED">
        <w:rPr>
          <w:rFonts w:ascii="Calibri" w:hAnsi="Calibri" w:cs="Calibri"/>
          <w:sz w:val="24"/>
          <w:szCs w:val="24"/>
        </w:rPr>
        <w:t xml:space="preserve">the </w:t>
      </w:r>
      <w:r w:rsidR="00DA5EB0">
        <w:rPr>
          <w:rFonts w:ascii="Calibri" w:hAnsi="Calibri" w:cs="Calibri"/>
          <w:sz w:val="24"/>
          <w:szCs w:val="24"/>
        </w:rPr>
        <w:t xml:space="preserve">previous finding, </w:t>
      </w:r>
      <w:r w:rsidR="004958ED">
        <w:rPr>
          <w:rFonts w:ascii="Calibri" w:hAnsi="Calibri" w:cs="Calibri"/>
          <w:sz w:val="24"/>
          <w:szCs w:val="24"/>
        </w:rPr>
        <w:t xml:space="preserve">less than </w:t>
      </w:r>
      <w:r w:rsidR="00DA5EB0">
        <w:rPr>
          <w:rFonts w:ascii="Calibri" w:hAnsi="Calibri" w:cs="Calibri"/>
          <w:sz w:val="24"/>
          <w:szCs w:val="24"/>
        </w:rPr>
        <w:t xml:space="preserve">one-quarter of respondents (23%) reported involvement </w:t>
      </w:r>
      <w:r w:rsidR="00E21AC5">
        <w:rPr>
          <w:rFonts w:ascii="Calibri" w:hAnsi="Calibri" w:cs="Calibri"/>
          <w:sz w:val="24"/>
          <w:szCs w:val="24"/>
        </w:rPr>
        <w:t xml:space="preserve">in the procurement </w:t>
      </w:r>
      <w:r w:rsidR="00FE2E8D">
        <w:rPr>
          <w:rFonts w:ascii="Calibri" w:hAnsi="Calibri" w:cs="Calibri"/>
          <w:sz w:val="24"/>
          <w:szCs w:val="24"/>
        </w:rPr>
        <w:t xml:space="preserve">contract </w:t>
      </w:r>
      <w:r w:rsidR="00E21AC5">
        <w:rPr>
          <w:rFonts w:ascii="Calibri" w:hAnsi="Calibri" w:cs="Calibri"/>
          <w:sz w:val="24"/>
          <w:szCs w:val="24"/>
        </w:rPr>
        <w:t>process</w:t>
      </w:r>
      <w:r w:rsidR="004958ED">
        <w:rPr>
          <w:rFonts w:ascii="Calibri" w:hAnsi="Calibri" w:cs="Calibri"/>
          <w:sz w:val="24"/>
          <w:szCs w:val="24"/>
        </w:rPr>
        <w:t xml:space="preserve"> (see Figure 3</w:t>
      </w:r>
      <w:r w:rsidR="00CB6034">
        <w:rPr>
          <w:rFonts w:ascii="Calibri" w:hAnsi="Calibri" w:cs="Calibri"/>
          <w:sz w:val="24"/>
          <w:szCs w:val="24"/>
        </w:rPr>
        <w:t>5</w:t>
      </w:r>
      <w:r w:rsidR="004958ED">
        <w:rPr>
          <w:rFonts w:ascii="Calibri" w:hAnsi="Calibri" w:cs="Calibri"/>
          <w:sz w:val="24"/>
          <w:szCs w:val="24"/>
        </w:rPr>
        <w:t>)</w:t>
      </w:r>
      <w:r w:rsidR="00E21AC5">
        <w:rPr>
          <w:rFonts w:ascii="Calibri" w:hAnsi="Calibri" w:cs="Calibri"/>
          <w:sz w:val="24"/>
          <w:szCs w:val="24"/>
        </w:rPr>
        <w:t xml:space="preserve">. </w:t>
      </w:r>
    </w:p>
    <w:p w14:paraId="3886481E" w14:textId="77777777" w:rsidR="00F54583" w:rsidRDefault="00F54583">
      <w:pPr>
        <w:rPr>
          <w:rFonts w:ascii="Calibri" w:eastAsiaTheme="majorEastAsia" w:hAnsi="Calibri" w:cstheme="majorBidi"/>
          <w:i/>
          <w:iCs/>
          <w:color w:val="44546A"/>
          <w:sz w:val="28"/>
        </w:rPr>
      </w:pPr>
    </w:p>
    <w:p w14:paraId="48A82EEF" w14:textId="1972C18D" w:rsidR="00E21AC5" w:rsidRDefault="00E21AC5" w:rsidP="004946C3">
      <w:pPr>
        <w:pStyle w:val="Heading4"/>
      </w:pPr>
      <w:bookmarkStart w:id="88" w:name="_Toc222904037"/>
      <w:r w:rsidRPr="005919AC">
        <w:t xml:space="preserve">Figure </w:t>
      </w:r>
      <w:r w:rsidR="00FE2E8D">
        <w:t>3</w:t>
      </w:r>
      <w:r w:rsidR="00CB6034">
        <w:t>5</w:t>
      </w:r>
      <w:r w:rsidRPr="005919AC">
        <w:t xml:space="preserve">. </w:t>
      </w:r>
      <w:r>
        <w:t>Involvement in Procurement Contract Process</w:t>
      </w:r>
      <w:bookmarkEnd w:id="88"/>
    </w:p>
    <w:p w14:paraId="771D751E" w14:textId="77283236" w:rsidR="00E21AC5" w:rsidRPr="007921A0" w:rsidRDefault="00B55C67" w:rsidP="00E21AC5">
      <w:pPr>
        <w:jc w:val="center"/>
      </w:pPr>
      <w:r>
        <w:rPr>
          <w:rFonts w:ascii="ZWAdobeF" w:hAnsi="ZWAdobeF" w:cs="ZWAdobeF"/>
          <w:sz w:val="2"/>
          <w:szCs w:val="2"/>
        </w:rPr>
        <w:t>232</w:t>
      </w:r>
      <w:proofErr w:type="gramStart"/>
      <w:r>
        <w:rPr>
          <w:rFonts w:ascii="ZWAdobeF" w:hAnsi="ZWAdobeF" w:cs="ZWAdobeF"/>
          <w:sz w:val="2"/>
          <w:szCs w:val="2"/>
        </w:rPr>
        <w:t>B</w:t>
      </w:r>
      <w:r w:rsidR="00E21AC5">
        <w:t>(</w:t>
      </w:r>
      <w:proofErr w:type="gramEnd"/>
      <w:r w:rsidR="00E21AC5" w:rsidRPr="009F1957">
        <w:rPr>
          <w:i/>
          <w:iCs/>
        </w:rPr>
        <w:t>n</w:t>
      </w:r>
      <w:r w:rsidR="00E21AC5">
        <w:t xml:space="preserve"> = 204)</w:t>
      </w:r>
    </w:p>
    <w:p w14:paraId="4022E820" w14:textId="776BA1B9" w:rsidR="00E21AC5" w:rsidRDefault="00B55C67" w:rsidP="00E21AC5">
      <w:pPr>
        <w:spacing w:after="0" w:line="276" w:lineRule="auto"/>
        <w:jc w:val="center"/>
        <w:rPr>
          <w:rFonts w:ascii="ZWAdobeF" w:hAnsi="ZWAdobeF" w:cs="ZWAdobeF"/>
          <w:sz w:val="2"/>
          <w:szCs w:val="2"/>
        </w:rPr>
      </w:pPr>
      <w:r>
        <w:rPr>
          <w:rFonts w:ascii="ZWAdobeF" w:hAnsi="ZWAdobeF" w:cs="ZWAdobeF"/>
          <w:sz w:val="2"/>
          <w:szCs w:val="2"/>
        </w:rPr>
        <w:t>233B</w:t>
      </w:r>
      <w:r w:rsidR="00E21AC5" w:rsidRPr="00FD0A0B">
        <w:rPr>
          <w:rFonts w:ascii="Calibri" w:hAnsi="Calibri" w:cs="Calibri"/>
          <w:noProof/>
        </w:rPr>
        <w:drawing>
          <wp:inline distT="0" distB="0" distL="0" distR="0" wp14:anchorId="162FE094" wp14:editId="3FF8612D">
            <wp:extent cx="4839914" cy="1997702"/>
            <wp:effectExtent l="0" t="0" r="0" b="3175"/>
            <wp:docPr id="214215497" name="Chart 214215497" descr="Figure 35 is a pie chart showing respondents’ involvement in the procurement contract process (n = 204). Seventy-seven percent of respondents reported no involvement, while 23% reported being involved."/>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14:paraId="13F69224" w14:textId="4501FDFC" w:rsidR="00E21AC5" w:rsidRDefault="00E21AC5" w:rsidP="00993194">
      <w:pPr>
        <w:spacing w:after="0"/>
        <w:rPr>
          <w:rFonts w:ascii="Calibri" w:hAnsi="Calibri" w:cs="Calibri"/>
          <w:sz w:val="24"/>
          <w:szCs w:val="24"/>
        </w:rPr>
      </w:pPr>
      <w:r>
        <w:rPr>
          <w:rFonts w:ascii="Calibri" w:hAnsi="Calibri" w:cs="Calibri"/>
          <w:sz w:val="24"/>
          <w:szCs w:val="24"/>
        </w:rPr>
        <w:lastRenderedPageBreak/>
        <w:t>Survey respondents were then asked how often SEA and LEAs include the NIMAS requirement in procurement contracts.</w:t>
      </w:r>
      <w:r w:rsidR="00B55C67">
        <w:rPr>
          <w:rFonts w:ascii="ZWAdobeF" w:hAnsi="ZWAdobeF" w:cs="ZWAdobeF"/>
          <w:sz w:val="2"/>
          <w:szCs w:val="2"/>
        </w:rPr>
        <w:t>71F</w:t>
      </w:r>
      <w:r w:rsidR="00FE2E8D">
        <w:rPr>
          <w:rStyle w:val="FootnoteReference"/>
          <w:rFonts w:ascii="Calibri" w:hAnsi="Calibri" w:cs="Calibri"/>
          <w:sz w:val="24"/>
          <w:szCs w:val="24"/>
        </w:rPr>
        <w:footnoteReference w:id="73"/>
      </w:r>
      <w:r>
        <w:rPr>
          <w:rFonts w:ascii="Calibri" w:hAnsi="Calibri" w:cs="Calibri"/>
          <w:sz w:val="24"/>
          <w:szCs w:val="24"/>
        </w:rPr>
        <w:t xml:space="preserve"> As displayed in Figure </w:t>
      </w:r>
      <w:r w:rsidR="00FE2E8D">
        <w:rPr>
          <w:rFonts w:ascii="Calibri" w:hAnsi="Calibri" w:cs="Calibri"/>
          <w:sz w:val="24"/>
          <w:szCs w:val="24"/>
        </w:rPr>
        <w:t>3</w:t>
      </w:r>
      <w:r w:rsidR="00CB6034">
        <w:rPr>
          <w:rFonts w:ascii="Calibri" w:hAnsi="Calibri" w:cs="Calibri"/>
          <w:sz w:val="24"/>
          <w:szCs w:val="24"/>
        </w:rPr>
        <w:t>6</w:t>
      </w:r>
      <w:r>
        <w:rPr>
          <w:rFonts w:ascii="Calibri" w:hAnsi="Calibri" w:cs="Calibri"/>
          <w:sz w:val="24"/>
          <w:szCs w:val="24"/>
        </w:rPr>
        <w:t xml:space="preserve">, </w:t>
      </w:r>
      <w:r w:rsidR="00D562BF">
        <w:rPr>
          <w:rFonts w:ascii="Calibri" w:hAnsi="Calibri" w:cs="Calibri"/>
          <w:sz w:val="24"/>
          <w:szCs w:val="24"/>
        </w:rPr>
        <w:t xml:space="preserve">more than half of respondents (54%) indicated that the NIMAS requirement is never or rarely included in procurement contracts. </w:t>
      </w:r>
    </w:p>
    <w:p w14:paraId="3F14303B" w14:textId="77777777" w:rsidR="00F54583" w:rsidRDefault="00F54583" w:rsidP="00993194">
      <w:pPr>
        <w:spacing w:after="0"/>
        <w:rPr>
          <w:rFonts w:ascii="Calibri" w:hAnsi="Calibri" w:cs="Calibri"/>
          <w:sz w:val="24"/>
          <w:szCs w:val="24"/>
        </w:rPr>
      </w:pPr>
    </w:p>
    <w:p w14:paraId="560072A8" w14:textId="7DD63A36" w:rsidR="002E3ED3" w:rsidRDefault="002E3ED3" w:rsidP="004946C3">
      <w:pPr>
        <w:pStyle w:val="Heading4"/>
      </w:pPr>
      <w:bookmarkStart w:id="89" w:name="_Toc222904038"/>
      <w:r w:rsidRPr="005919AC">
        <w:t xml:space="preserve">Figure </w:t>
      </w:r>
      <w:r w:rsidR="00FE2E8D">
        <w:t>3</w:t>
      </w:r>
      <w:r w:rsidR="00CB6034">
        <w:t>6</w:t>
      </w:r>
      <w:r w:rsidRPr="005919AC">
        <w:t xml:space="preserve">. </w:t>
      </w:r>
      <w:r>
        <w:t>How Often NIMAS Requirement is Included in Procurement Contracts</w:t>
      </w:r>
      <w:r w:rsidR="00B55C67">
        <w:rPr>
          <w:rFonts w:ascii="ZWAdobeF" w:hAnsi="ZWAdobeF" w:cs="ZWAdobeF"/>
          <w:i w:val="0"/>
          <w:color w:val="auto"/>
          <w:sz w:val="2"/>
          <w:szCs w:val="2"/>
        </w:rPr>
        <w:t>72F</w:t>
      </w:r>
      <w:r>
        <w:rPr>
          <w:rStyle w:val="FootnoteReference"/>
          <w:rFonts w:cs="Calibri"/>
          <w:smallCaps/>
          <w:color w:val="44546A" w:themeColor="text2"/>
        </w:rPr>
        <w:footnoteReference w:id="74"/>
      </w:r>
      <w:bookmarkEnd w:id="89"/>
    </w:p>
    <w:p w14:paraId="6A3B8C97" w14:textId="2A4587C4" w:rsidR="002E3ED3" w:rsidRPr="007921A0" w:rsidRDefault="00B55C67" w:rsidP="002E3ED3">
      <w:pPr>
        <w:jc w:val="center"/>
      </w:pPr>
      <w:r>
        <w:rPr>
          <w:rFonts w:ascii="ZWAdobeF" w:hAnsi="ZWAdobeF" w:cs="ZWAdobeF"/>
          <w:sz w:val="2"/>
          <w:szCs w:val="2"/>
        </w:rPr>
        <w:t>235</w:t>
      </w:r>
      <w:proofErr w:type="gramStart"/>
      <w:r>
        <w:rPr>
          <w:rFonts w:ascii="ZWAdobeF" w:hAnsi="ZWAdobeF" w:cs="ZWAdobeF"/>
          <w:sz w:val="2"/>
          <w:szCs w:val="2"/>
        </w:rPr>
        <w:t>B</w:t>
      </w:r>
      <w:r w:rsidR="002E3ED3">
        <w:t>(</w:t>
      </w:r>
      <w:proofErr w:type="gramEnd"/>
      <w:r w:rsidR="002E3ED3" w:rsidRPr="009F1957">
        <w:rPr>
          <w:i/>
          <w:iCs/>
        </w:rPr>
        <w:t>n</w:t>
      </w:r>
      <w:r w:rsidR="002E3ED3">
        <w:t xml:space="preserve"> = 48)</w:t>
      </w:r>
    </w:p>
    <w:p w14:paraId="098D7CD6" w14:textId="42113C5D" w:rsidR="002E3ED3" w:rsidRDefault="00B55C67" w:rsidP="002E3ED3">
      <w:pPr>
        <w:spacing w:after="0" w:line="276" w:lineRule="auto"/>
        <w:jc w:val="center"/>
        <w:rPr>
          <w:rFonts w:ascii="Calibri" w:hAnsi="Calibri" w:cs="Calibri"/>
          <w:sz w:val="24"/>
          <w:szCs w:val="24"/>
        </w:rPr>
      </w:pPr>
      <w:r>
        <w:rPr>
          <w:rFonts w:ascii="ZWAdobeF" w:hAnsi="ZWAdobeF" w:cs="ZWAdobeF"/>
          <w:sz w:val="2"/>
          <w:szCs w:val="2"/>
        </w:rPr>
        <w:t>236B</w:t>
      </w:r>
      <w:r w:rsidR="002E3ED3" w:rsidRPr="00FD0A0B">
        <w:rPr>
          <w:rFonts w:ascii="Calibri" w:hAnsi="Calibri" w:cs="Calibri"/>
          <w:noProof/>
        </w:rPr>
        <w:drawing>
          <wp:inline distT="0" distB="0" distL="0" distR="0" wp14:anchorId="13FADA83" wp14:editId="664B6EAC">
            <wp:extent cx="5015865" cy="1752600"/>
            <wp:effectExtent l="0" t="0" r="0" b="0"/>
            <wp:docPr id="118311472" name="Chart 118311472" descr="Figure 36 is a pie chart showing how often the NIMAS requirement is included in procurement contracts (n = 48). Fifty-four percent of respondents reported that the requirement is never or rarely included, 25% reported it is sometimes included, 15% reported it is often included, and 6% reported it is always included."/>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14:paraId="0DB557DA" w14:textId="77777777" w:rsidR="00ED3AED" w:rsidRDefault="00ED3AED" w:rsidP="00993194">
      <w:pPr>
        <w:spacing w:after="0"/>
        <w:rPr>
          <w:rFonts w:ascii="Calibri" w:hAnsi="Calibri" w:cs="Calibri"/>
          <w:sz w:val="24"/>
          <w:szCs w:val="24"/>
        </w:rPr>
      </w:pPr>
    </w:p>
    <w:p w14:paraId="44EEB37E" w14:textId="77777777" w:rsidR="00F54583" w:rsidRDefault="00B55C67" w:rsidP="00993194">
      <w:pPr>
        <w:spacing w:after="0"/>
        <w:rPr>
          <w:rFonts w:ascii="ZWAdobeF" w:hAnsi="ZWAdobeF" w:cs="ZWAdobeF"/>
          <w:sz w:val="2"/>
          <w:szCs w:val="2"/>
        </w:rPr>
      </w:pPr>
      <w:r>
        <w:rPr>
          <w:rFonts w:ascii="ZWAdobeF" w:hAnsi="ZWAdobeF" w:cs="ZWAdobeF"/>
          <w:sz w:val="2"/>
          <w:szCs w:val="2"/>
        </w:rPr>
        <w:t>237B</w:t>
      </w:r>
    </w:p>
    <w:p w14:paraId="13DEDD1D" w14:textId="77777777" w:rsidR="00F54583" w:rsidRDefault="00F54583" w:rsidP="00993194">
      <w:pPr>
        <w:spacing w:after="0"/>
        <w:rPr>
          <w:rFonts w:ascii="Calibri" w:hAnsi="Calibri" w:cs="Calibri"/>
          <w:sz w:val="24"/>
          <w:szCs w:val="24"/>
        </w:rPr>
      </w:pPr>
    </w:p>
    <w:p w14:paraId="461072AE" w14:textId="1468CF21" w:rsidR="00FE2E8D" w:rsidRDefault="001A2F4A" w:rsidP="00993194">
      <w:pPr>
        <w:spacing w:after="0"/>
        <w:rPr>
          <w:rFonts w:ascii="Calibri" w:hAnsi="Calibri" w:cs="Calibri"/>
          <w:sz w:val="24"/>
          <w:szCs w:val="24"/>
        </w:rPr>
      </w:pPr>
      <w:r>
        <w:rPr>
          <w:rFonts w:ascii="Calibri" w:hAnsi="Calibri" w:cs="Calibri"/>
          <w:sz w:val="24"/>
          <w:szCs w:val="24"/>
        </w:rPr>
        <w:t>Survey respondents were also asked to rate their level of agreement with the following statement: “</w:t>
      </w:r>
      <w:r w:rsidRPr="001A2F4A">
        <w:rPr>
          <w:rFonts w:ascii="Calibri" w:hAnsi="Calibri" w:cs="Calibri"/>
          <w:sz w:val="24"/>
          <w:szCs w:val="24"/>
        </w:rPr>
        <w:t>I understand which educational materials fall within the scope for NIMAS and which educational materials fall outside of the scope for NIMAS.</w:t>
      </w:r>
      <w:r>
        <w:rPr>
          <w:rFonts w:ascii="Calibri" w:hAnsi="Calibri" w:cs="Calibri"/>
          <w:sz w:val="24"/>
          <w:szCs w:val="24"/>
        </w:rPr>
        <w:t>”</w:t>
      </w:r>
      <w:r w:rsidR="00B55C67">
        <w:rPr>
          <w:rFonts w:ascii="ZWAdobeF" w:hAnsi="ZWAdobeF" w:cs="ZWAdobeF"/>
          <w:sz w:val="2"/>
          <w:szCs w:val="2"/>
        </w:rPr>
        <w:t>73F</w:t>
      </w:r>
      <w:r w:rsidR="00FE2E8D">
        <w:rPr>
          <w:rStyle w:val="FootnoteReference"/>
          <w:rFonts w:ascii="Calibri" w:hAnsi="Calibri" w:cs="Calibri"/>
          <w:sz w:val="24"/>
          <w:szCs w:val="24"/>
        </w:rPr>
        <w:footnoteReference w:id="75"/>
      </w:r>
      <w:r>
        <w:rPr>
          <w:rFonts w:ascii="Calibri" w:hAnsi="Calibri" w:cs="Calibri"/>
          <w:sz w:val="24"/>
          <w:szCs w:val="24"/>
        </w:rPr>
        <w:t xml:space="preserve"> Figure </w:t>
      </w:r>
      <w:r w:rsidR="00FE2E8D">
        <w:rPr>
          <w:rFonts w:ascii="Calibri" w:hAnsi="Calibri" w:cs="Calibri"/>
          <w:sz w:val="24"/>
          <w:szCs w:val="24"/>
        </w:rPr>
        <w:t>3</w:t>
      </w:r>
      <w:r w:rsidR="00CB6034">
        <w:rPr>
          <w:rFonts w:ascii="Calibri" w:hAnsi="Calibri" w:cs="Calibri"/>
          <w:sz w:val="24"/>
          <w:szCs w:val="24"/>
        </w:rPr>
        <w:t>7</w:t>
      </w:r>
      <w:r>
        <w:rPr>
          <w:rFonts w:ascii="Calibri" w:hAnsi="Calibri" w:cs="Calibri"/>
          <w:sz w:val="24"/>
          <w:szCs w:val="24"/>
        </w:rPr>
        <w:t xml:space="preserve"> shows that approximately half of respondents (49%) agreed with the statement, </w:t>
      </w:r>
      <w:r w:rsidR="000B421C">
        <w:rPr>
          <w:rFonts w:ascii="Calibri" w:hAnsi="Calibri" w:cs="Calibri"/>
          <w:sz w:val="24"/>
          <w:szCs w:val="24"/>
        </w:rPr>
        <w:t>indicating variability in understanding of NIMAS scope</w:t>
      </w:r>
      <w:r>
        <w:rPr>
          <w:rFonts w:ascii="Calibri" w:hAnsi="Calibri" w:cs="Calibri"/>
          <w:sz w:val="24"/>
          <w:szCs w:val="24"/>
        </w:rPr>
        <w:t>.</w:t>
      </w:r>
      <w:r w:rsidR="00B55C67">
        <w:rPr>
          <w:rFonts w:ascii="ZWAdobeF" w:hAnsi="ZWAdobeF" w:cs="ZWAdobeF"/>
          <w:sz w:val="2"/>
          <w:szCs w:val="2"/>
        </w:rPr>
        <w:t>74F</w:t>
      </w:r>
      <w:r w:rsidR="002F1F98">
        <w:rPr>
          <w:rStyle w:val="FootnoteReference"/>
          <w:rFonts w:ascii="Calibri" w:hAnsi="Calibri" w:cs="Calibri"/>
          <w:sz w:val="24"/>
          <w:szCs w:val="24"/>
        </w:rPr>
        <w:footnoteReference w:id="76"/>
      </w:r>
    </w:p>
    <w:p w14:paraId="247ED774" w14:textId="355AFCB6" w:rsidR="00F54583" w:rsidRDefault="00F54583">
      <w:pPr>
        <w:rPr>
          <w:rFonts w:ascii="Calibri" w:hAnsi="Calibri" w:cs="Calibri"/>
          <w:sz w:val="24"/>
          <w:szCs w:val="24"/>
        </w:rPr>
      </w:pPr>
      <w:r>
        <w:rPr>
          <w:rFonts w:ascii="Calibri" w:hAnsi="Calibri" w:cs="Calibri"/>
          <w:sz w:val="24"/>
          <w:szCs w:val="24"/>
        </w:rPr>
        <w:br w:type="page"/>
      </w:r>
    </w:p>
    <w:p w14:paraId="38A7D4CF" w14:textId="1AEA4B14" w:rsidR="001A2F4A" w:rsidRDefault="001A2F4A" w:rsidP="004946C3">
      <w:pPr>
        <w:pStyle w:val="Heading4"/>
      </w:pPr>
      <w:bookmarkStart w:id="90" w:name="_Toc222904039"/>
      <w:r w:rsidRPr="005919AC">
        <w:lastRenderedPageBreak/>
        <w:t xml:space="preserve">Figure </w:t>
      </w:r>
      <w:r w:rsidR="00FE2E8D">
        <w:t>3</w:t>
      </w:r>
      <w:r w:rsidR="00CB6034">
        <w:t>7</w:t>
      </w:r>
      <w:r w:rsidR="00FE2E8D">
        <w:t>.</w:t>
      </w:r>
      <w:r w:rsidRPr="005919AC">
        <w:t xml:space="preserve"> </w:t>
      </w:r>
      <w:r>
        <w:t>Understanding of Educational Materials that Fall within Scope for NIMAS</w:t>
      </w:r>
      <w:r w:rsidR="00B55C67">
        <w:rPr>
          <w:rFonts w:ascii="ZWAdobeF" w:hAnsi="ZWAdobeF" w:cs="ZWAdobeF"/>
          <w:i w:val="0"/>
          <w:color w:val="auto"/>
          <w:sz w:val="2"/>
          <w:szCs w:val="2"/>
        </w:rPr>
        <w:t>75F</w:t>
      </w:r>
      <w:r>
        <w:rPr>
          <w:rStyle w:val="FootnoteReference"/>
          <w:rFonts w:cs="Calibri"/>
          <w:smallCaps/>
          <w:color w:val="44546A" w:themeColor="text2"/>
        </w:rPr>
        <w:footnoteReference w:id="77"/>
      </w:r>
      <w:bookmarkEnd w:id="90"/>
    </w:p>
    <w:p w14:paraId="199BD21B" w14:textId="7629B85B" w:rsidR="001A2F4A" w:rsidRPr="007921A0" w:rsidRDefault="00B55C67" w:rsidP="001A2F4A">
      <w:pPr>
        <w:jc w:val="center"/>
      </w:pPr>
      <w:r>
        <w:rPr>
          <w:rFonts w:ascii="ZWAdobeF" w:hAnsi="ZWAdobeF" w:cs="ZWAdobeF"/>
          <w:sz w:val="2"/>
          <w:szCs w:val="2"/>
        </w:rPr>
        <w:t>238</w:t>
      </w:r>
      <w:proofErr w:type="gramStart"/>
      <w:r>
        <w:rPr>
          <w:rFonts w:ascii="ZWAdobeF" w:hAnsi="ZWAdobeF" w:cs="ZWAdobeF"/>
          <w:sz w:val="2"/>
          <w:szCs w:val="2"/>
        </w:rPr>
        <w:t>B</w:t>
      </w:r>
      <w:r w:rsidR="001A2F4A" w:rsidRPr="001A2F4A">
        <w:t>(</w:t>
      </w:r>
      <w:proofErr w:type="gramEnd"/>
      <w:r w:rsidR="001A2F4A" w:rsidRPr="001A2F4A">
        <w:rPr>
          <w:i/>
          <w:iCs/>
        </w:rPr>
        <w:t>n</w:t>
      </w:r>
      <w:r w:rsidR="001A2F4A" w:rsidRPr="001A2F4A">
        <w:t xml:space="preserve"> = 146)</w:t>
      </w:r>
    </w:p>
    <w:p w14:paraId="09D82589" w14:textId="04B02FE3" w:rsidR="001A2F4A" w:rsidRDefault="00B55C67" w:rsidP="001A2F4A">
      <w:pPr>
        <w:spacing w:after="0" w:line="276" w:lineRule="auto"/>
        <w:jc w:val="center"/>
        <w:rPr>
          <w:rFonts w:ascii="Calibri" w:hAnsi="Calibri" w:cs="Calibri"/>
          <w:sz w:val="24"/>
          <w:szCs w:val="24"/>
        </w:rPr>
      </w:pPr>
      <w:r>
        <w:rPr>
          <w:rFonts w:ascii="ZWAdobeF" w:hAnsi="ZWAdobeF" w:cs="ZWAdobeF"/>
          <w:sz w:val="2"/>
          <w:szCs w:val="2"/>
        </w:rPr>
        <w:t>239B</w:t>
      </w:r>
      <w:r w:rsidR="001A2F4A" w:rsidRPr="00FD0A0B">
        <w:rPr>
          <w:rFonts w:ascii="Calibri" w:hAnsi="Calibri" w:cs="Calibri"/>
          <w:noProof/>
        </w:rPr>
        <w:drawing>
          <wp:inline distT="0" distB="0" distL="0" distR="0" wp14:anchorId="4F77ACF8" wp14:editId="295E4C74">
            <wp:extent cx="4741448" cy="1723292"/>
            <wp:effectExtent l="0" t="0" r="2540" b="0"/>
            <wp:docPr id="356900970" name="Chart 356900970" descr="Figure 37 is a pie chart showing respondents’ understanding of which educational materials fall within scope for NIMAS (n = 146). Forty percent of respondents agree that they understand which materials are within scope, 33% disagree, 16% strongly disagree, and 11% strongly agree."/>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14:paraId="0FAF11E2" w14:textId="77777777" w:rsidR="00F54583" w:rsidRDefault="00B55C67" w:rsidP="004E11E3">
      <w:pPr>
        <w:rPr>
          <w:rFonts w:ascii="ZWAdobeF" w:hAnsi="ZWAdobeF" w:cs="ZWAdobeF"/>
          <w:sz w:val="2"/>
          <w:szCs w:val="2"/>
        </w:rPr>
      </w:pPr>
      <w:r>
        <w:rPr>
          <w:rFonts w:ascii="ZWAdobeF" w:hAnsi="ZWAdobeF" w:cs="ZWAdobeF"/>
          <w:sz w:val="2"/>
          <w:szCs w:val="2"/>
        </w:rPr>
        <w:t>240B</w:t>
      </w:r>
    </w:p>
    <w:p w14:paraId="21DD393A" w14:textId="77777777" w:rsidR="00F54583" w:rsidRDefault="00F54583" w:rsidP="004E11E3">
      <w:pPr>
        <w:rPr>
          <w:rFonts w:ascii="ZWAdobeF" w:hAnsi="ZWAdobeF" w:cs="ZWAdobeF"/>
          <w:sz w:val="2"/>
          <w:szCs w:val="2"/>
        </w:rPr>
      </w:pPr>
    </w:p>
    <w:p w14:paraId="11F5A578" w14:textId="77777777" w:rsidR="00F54583" w:rsidRDefault="00F54583" w:rsidP="004E11E3">
      <w:pPr>
        <w:rPr>
          <w:rFonts w:ascii="ZWAdobeF" w:hAnsi="ZWAdobeF" w:cs="ZWAdobeF"/>
          <w:sz w:val="2"/>
          <w:szCs w:val="2"/>
        </w:rPr>
      </w:pPr>
    </w:p>
    <w:p w14:paraId="5682443C" w14:textId="3EE929CE" w:rsidR="0055764E" w:rsidRDefault="00C255D7" w:rsidP="00F54583">
      <w:pPr>
        <w:spacing w:line="276" w:lineRule="auto"/>
        <w:rPr>
          <w:rFonts w:cstheme="minorHAnsi"/>
          <w:sz w:val="24"/>
          <w:szCs w:val="24"/>
        </w:rPr>
      </w:pPr>
      <w:r w:rsidRPr="00C255D7">
        <w:rPr>
          <w:rFonts w:ascii="Calibri" w:hAnsi="Calibri" w:cs="Calibri"/>
          <w:sz w:val="24"/>
          <w:szCs w:val="24"/>
        </w:rPr>
        <w:t xml:space="preserve">To examine differences in </w:t>
      </w:r>
      <w:r w:rsidR="00B97F3E">
        <w:rPr>
          <w:rFonts w:ascii="Calibri" w:hAnsi="Calibri" w:cs="Calibri"/>
          <w:sz w:val="24"/>
          <w:szCs w:val="24"/>
        </w:rPr>
        <w:t>knowledge</w:t>
      </w:r>
      <w:r w:rsidRPr="00C255D7">
        <w:rPr>
          <w:rFonts w:ascii="Calibri" w:hAnsi="Calibri" w:cs="Calibri"/>
          <w:sz w:val="24"/>
          <w:szCs w:val="24"/>
        </w:rPr>
        <w:t xml:space="preserve"> of educational materials that fall within scope for NIMAS by location and role, responses were </w:t>
      </w:r>
      <w:proofErr w:type="gramStart"/>
      <w:r w:rsidRPr="00C255D7">
        <w:rPr>
          <w:rFonts w:ascii="Calibri" w:hAnsi="Calibri" w:cs="Calibri"/>
          <w:sz w:val="24"/>
          <w:szCs w:val="24"/>
        </w:rPr>
        <w:t>provided</w:t>
      </w:r>
      <w:proofErr w:type="gramEnd"/>
      <w:r w:rsidRPr="00C255D7">
        <w:rPr>
          <w:rFonts w:ascii="Calibri" w:hAnsi="Calibri" w:cs="Calibri"/>
          <w:sz w:val="24"/>
          <w:szCs w:val="24"/>
        </w:rPr>
        <w:t xml:space="preserve"> a numerical value where 1 = Strongly Disagree, 2 = Disagree, 3 = Agree, and 4 = Strongly Agree. There were no statistically significant differences by location, and there were </w:t>
      </w:r>
      <w:r w:rsidR="00E8514A" w:rsidRPr="00CA4463">
        <w:rPr>
          <w:rFonts w:ascii="Calibri" w:hAnsi="Calibri" w:cs="Calibri"/>
          <w:i/>
          <w:iCs/>
          <w:color w:val="EE0000"/>
          <w:sz w:val="24"/>
          <w:szCs w:val="24"/>
        </w:rPr>
        <w:t>three</w:t>
      </w:r>
      <w:r w:rsidRPr="00CA4463">
        <w:rPr>
          <w:rFonts w:ascii="Calibri" w:hAnsi="Calibri" w:cs="Calibri"/>
          <w:i/>
          <w:iCs/>
          <w:color w:val="EE0000"/>
          <w:sz w:val="24"/>
          <w:szCs w:val="24"/>
        </w:rPr>
        <w:t xml:space="preserve"> statistically significant differences by role</w:t>
      </w:r>
      <w:r w:rsidRPr="00B7706B">
        <w:rPr>
          <w:rFonts w:ascii="Calibri" w:hAnsi="Calibri" w:cs="Calibri"/>
          <w:color w:val="EE0000"/>
          <w:sz w:val="24"/>
          <w:szCs w:val="24"/>
        </w:rPr>
        <w:t>.</w:t>
      </w:r>
      <w:r w:rsidRPr="00C255D7">
        <w:rPr>
          <w:rFonts w:ascii="Calibri" w:hAnsi="Calibri" w:cs="Calibri"/>
          <w:sz w:val="24"/>
          <w:szCs w:val="24"/>
        </w:rPr>
        <w:t xml:space="preserve"> As displayed in Figure </w:t>
      </w:r>
      <w:r w:rsidR="00CB6034">
        <w:rPr>
          <w:rFonts w:ascii="Calibri" w:hAnsi="Calibri" w:cs="Calibri"/>
          <w:sz w:val="24"/>
          <w:szCs w:val="24"/>
        </w:rPr>
        <w:t>38</w:t>
      </w:r>
      <w:r w:rsidRPr="00C255D7">
        <w:rPr>
          <w:rFonts w:ascii="Calibri" w:hAnsi="Calibri" w:cs="Calibri"/>
          <w:sz w:val="24"/>
          <w:szCs w:val="24"/>
        </w:rPr>
        <w:t>, understanding of educational materials that fall within scope for NIMA</w:t>
      </w:r>
      <w:r w:rsidR="00E8514A">
        <w:rPr>
          <w:rFonts w:ascii="Calibri" w:hAnsi="Calibri" w:cs="Calibri"/>
          <w:sz w:val="24"/>
          <w:szCs w:val="24"/>
        </w:rPr>
        <w:t>S</w:t>
      </w:r>
      <w:r w:rsidRPr="00C255D7">
        <w:rPr>
          <w:rFonts w:ascii="Calibri" w:hAnsi="Calibri" w:cs="Calibri"/>
          <w:sz w:val="24"/>
          <w:szCs w:val="24"/>
        </w:rPr>
        <w:t xml:space="preserve"> was lower among school staff (</w:t>
      </w:r>
      <w:proofErr w:type="gramStart"/>
      <w:r w:rsidRPr="00C255D7">
        <w:rPr>
          <w:rFonts w:ascii="Calibri" w:hAnsi="Calibri" w:cs="Calibri"/>
          <w:i/>
          <w:iCs/>
          <w:sz w:val="24"/>
          <w:szCs w:val="24"/>
        </w:rPr>
        <w:t>t</w:t>
      </w:r>
      <w:r w:rsidRPr="00C255D7">
        <w:rPr>
          <w:rFonts w:ascii="Calibri" w:hAnsi="Calibri" w:cs="Calibri"/>
          <w:sz w:val="24"/>
          <w:szCs w:val="24"/>
        </w:rPr>
        <w:t>(</w:t>
      </w:r>
      <w:proofErr w:type="gramEnd"/>
      <w:r w:rsidRPr="00C255D7">
        <w:rPr>
          <w:rFonts w:ascii="Calibri" w:hAnsi="Calibri" w:cs="Calibri"/>
          <w:sz w:val="24"/>
          <w:szCs w:val="24"/>
        </w:rPr>
        <w:t xml:space="preserve">144) = 3.2, </w:t>
      </w:r>
      <w:r w:rsidRPr="00C255D7">
        <w:rPr>
          <w:rFonts w:ascii="Calibri" w:hAnsi="Calibri" w:cs="Calibri"/>
          <w:i/>
          <w:iCs/>
          <w:sz w:val="24"/>
          <w:szCs w:val="24"/>
        </w:rPr>
        <w:t>p</w:t>
      </w:r>
      <w:r w:rsidRPr="00C255D7">
        <w:rPr>
          <w:rFonts w:ascii="Calibri" w:hAnsi="Calibri" w:cs="Calibri"/>
          <w:sz w:val="24"/>
          <w:szCs w:val="24"/>
        </w:rPr>
        <w:t xml:space="preserve"> &lt; .05) and higher among AMPs, </w:t>
      </w:r>
      <w:r w:rsidR="004E11E3">
        <w:rPr>
          <w:rFonts w:ascii="Calibri" w:hAnsi="Calibri" w:cs="Calibri"/>
          <w:sz w:val="24"/>
          <w:szCs w:val="24"/>
        </w:rPr>
        <w:t>p</w:t>
      </w:r>
      <w:r w:rsidRPr="00C255D7">
        <w:rPr>
          <w:rFonts w:ascii="Calibri" w:hAnsi="Calibri" w:cs="Calibri"/>
          <w:sz w:val="24"/>
          <w:szCs w:val="24"/>
        </w:rPr>
        <w:t xml:space="preserve">ublishers, and </w:t>
      </w:r>
      <w:r w:rsidR="004E11E3">
        <w:rPr>
          <w:rFonts w:ascii="Calibri" w:hAnsi="Calibri" w:cs="Calibri"/>
          <w:sz w:val="24"/>
          <w:szCs w:val="24"/>
        </w:rPr>
        <w:t>c</w:t>
      </w:r>
      <w:r w:rsidRPr="00C255D7">
        <w:rPr>
          <w:rFonts w:ascii="Calibri" w:hAnsi="Calibri" w:cs="Calibri"/>
          <w:sz w:val="24"/>
          <w:szCs w:val="24"/>
        </w:rPr>
        <w:t xml:space="preserve">onversion </w:t>
      </w:r>
      <w:r w:rsidR="004E11E3">
        <w:rPr>
          <w:rFonts w:ascii="Calibri" w:hAnsi="Calibri" w:cs="Calibri"/>
          <w:sz w:val="24"/>
          <w:szCs w:val="24"/>
        </w:rPr>
        <w:t>v</w:t>
      </w:r>
      <w:r w:rsidRPr="00C255D7">
        <w:rPr>
          <w:rFonts w:ascii="Calibri" w:hAnsi="Calibri" w:cs="Calibri"/>
          <w:sz w:val="24"/>
          <w:szCs w:val="24"/>
        </w:rPr>
        <w:t>endors (</w:t>
      </w:r>
      <w:r w:rsidRPr="00C255D7">
        <w:rPr>
          <w:rFonts w:ascii="Calibri" w:hAnsi="Calibri" w:cs="Calibri"/>
          <w:i/>
          <w:iCs/>
          <w:sz w:val="24"/>
          <w:szCs w:val="24"/>
        </w:rPr>
        <w:t>U</w:t>
      </w:r>
      <w:r w:rsidRPr="00C255D7">
        <w:rPr>
          <w:rFonts w:ascii="Calibri" w:hAnsi="Calibri" w:cs="Calibri"/>
          <w:sz w:val="24"/>
          <w:szCs w:val="24"/>
        </w:rPr>
        <w:t xml:space="preserve"> = 1614.5, </w:t>
      </w:r>
      <w:r w:rsidRPr="00C255D7">
        <w:rPr>
          <w:rFonts w:ascii="Calibri" w:hAnsi="Calibri" w:cs="Calibri"/>
          <w:i/>
          <w:iCs/>
          <w:sz w:val="24"/>
          <w:szCs w:val="24"/>
        </w:rPr>
        <w:t>p</w:t>
      </w:r>
      <w:r w:rsidRPr="00C255D7">
        <w:rPr>
          <w:rFonts w:ascii="Calibri" w:hAnsi="Calibri" w:cs="Calibri"/>
          <w:sz w:val="24"/>
          <w:szCs w:val="24"/>
        </w:rPr>
        <w:t xml:space="preserve"> &lt; .05) compared to other respondents.</w:t>
      </w:r>
      <w:r w:rsidR="00E8514A">
        <w:rPr>
          <w:rFonts w:ascii="Calibri" w:hAnsi="Calibri" w:cs="Calibri"/>
          <w:sz w:val="24"/>
          <w:szCs w:val="24"/>
        </w:rPr>
        <w:t xml:space="preserve"> In addition, </w:t>
      </w:r>
      <w:r w:rsidR="00E8514A">
        <w:rPr>
          <w:rFonts w:cstheme="minorHAnsi"/>
          <w:sz w:val="24"/>
          <w:szCs w:val="24"/>
        </w:rPr>
        <w:t>NIMAC Users reported greater understanding of educational materials that fall within scope for NIMAS</w:t>
      </w:r>
      <w:r w:rsidR="00E8514A">
        <w:rPr>
          <w:rFonts w:ascii="Calibri" w:hAnsi="Calibri" w:cs="Calibri"/>
          <w:sz w:val="24"/>
          <w:szCs w:val="24"/>
        </w:rPr>
        <w:t xml:space="preserve"> (</w:t>
      </w:r>
      <w:r w:rsidR="007A0629">
        <w:rPr>
          <w:rFonts w:ascii="Calibri" w:hAnsi="Calibri" w:cs="Calibri"/>
          <w:sz w:val="24"/>
          <w:szCs w:val="24"/>
        </w:rPr>
        <w:t xml:space="preserve">mean = </w:t>
      </w:r>
      <w:r w:rsidR="00E8514A">
        <w:rPr>
          <w:rFonts w:ascii="Calibri" w:hAnsi="Calibri" w:cs="Calibri"/>
          <w:sz w:val="24"/>
          <w:szCs w:val="24"/>
        </w:rPr>
        <w:t>2.8</w:t>
      </w:r>
      <w:r w:rsidR="007A0629">
        <w:rPr>
          <w:rFonts w:ascii="Calibri" w:hAnsi="Calibri" w:cs="Calibri"/>
          <w:sz w:val="24"/>
          <w:szCs w:val="24"/>
        </w:rPr>
        <w:t>;</w:t>
      </w:r>
      <w:r w:rsidR="00E8514A">
        <w:rPr>
          <w:rFonts w:ascii="Calibri" w:hAnsi="Calibri" w:cs="Calibri"/>
          <w:sz w:val="24"/>
          <w:szCs w:val="24"/>
        </w:rPr>
        <w:t xml:space="preserve"> </w:t>
      </w:r>
      <w:r w:rsidR="00E8514A">
        <w:rPr>
          <w:rFonts w:ascii="Calibri" w:hAnsi="Calibri" w:cs="Calibri"/>
          <w:i/>
          <w:iCs/>
          <w:sz w:val="24"/>
          <w:szCs w:val="24"/>
        </w:rPr>
        <w:t>n</w:t>
      </w:r>
      <w:r w:rsidR="00E8514A">
        <w:rPr>
          <w:rFonts w:ascii="Calibri" w:hAnsi="Calibri" w:cs="Calibri"/>
          <w:sz w:val="24"/>
          <w:szCs w:val="24"/>
        </w:rPr>
        <w:t xml:space="preserve"> = 38) compared to respondents who were not NIMAC Users (</w:t>
      </w:r>
      <w:r w:rsidR="007A0629">
        <w:rPr>
          <w:rFonts w:ascii="Calibri" w:hAnsi="Calibri" w:cs="Calibri"/>
          <w:sz w:val="24"/>
          <w:szCs w:val="24"/>
        </w:rPr>
        <w:t xml:space="preserve">mean = </w:t>
      </w:r>
      <w:r w:rsidR="00E8514A">
        <w:rPr>
          <w:rFonts w:ascii="Calibri" w:hAnsi="Calibri" w:cs="Calibri"/>
          <w:sz w:val="24"/>
          <w:szCs w:val="24"/>
        </w:rPr>
        <w:t>2.3</w:t>
      </w:r>
      <w:r w:rsidR="007A0629">
        <w:rPr>
          <w:rFonts w:ascii="Calibri" w:hAnsi="Calibri" w:cs="Calibri"/>
          <w:sz w:val="24"/>
          <w:szCs w:val="24"/>
        </w:rPr>
        <w:t>;</w:t>
      </w:r>
      <w:r w:rsidR="00E8514A">
        <w:rPr>
          <w:rFonts w:ascii="Calibri" w:hAnsi="Calibri" w:cs="Calibri"/>
          <w:sz w:val="24"/>
          <w:szCs w:val="24"/>
        </w:rPr>
        <w:t xml:space="preserve"> </w:t>
      </w:r>
      <w:r w:rsidR="00E8514A">
        <w:rPr>
          <w:rFonts w:ascii="Calibri" w:hAnsi="Calibri" w:cs="Calibri"/>
          <w:i/>
          <w:iCs/>
          <w:sz w:val="24"/>
          <w:szCs w:val="24"/>
        </w:rPr>
        <w:t xml:space="preserve">n </w:t>
      </w:r>
      <w:r w:rsidR="00E8514A">
        <w:rPr>
          <w:rFonts w:ascii="Calibri" w:hAnsi="Calibri" w:cs="Calibri"/>
          <w:sz w:val="24"/>
          <w:szCs w:val="24"/>
        </w:rPr>
        <w:t>= 108;</w:t>
      </w:r>
      <w:r w:rsidR="00E8514A" w:rsidRPr="008B33A7">
        <w:rPr>
          <w:rFonts w:ascii="Calibri" w:hAnsi="Calibri" w:cs="Calibri"/>
          <w:i/>
          <w:iCs/>
          <w:sz w:val="24"/>
          <w:szCs w:val="24"/>
        </w:rPr>
        <w:t xml:space="preserve"> </w:t>
      </w:r>
      <w:proofErr w:type="gramStart"/>
      <w:r w:rsidR="00E8514A">
        <w:rPr>
          <w:rFonts w:ascii="Calibri" w:hAnsi="Calibri" w:cs="Calibri"/>
          <w:i/>
          <w:iCs/>
          <w:sz w:val="24"/>
          <w:szCs w:val="24"/>
        </w:rPr>
        <w:t>t</w:t>
      </w:r>
      <w:r w:rsidR="00E8514A">
        <w:rPr>
          <w:rFonts w:ascii="Calibri" w:hAnsi="Calibri" w:cs="Calibri"/>
          <w:sz w:val="24"/>
          <w:szCs w:val="24"/>
        </w:rPr>
        <w:t>(</w:t>
      </w:r>
      <w:proofErr w:type="gramEnd"/>
      <w:r w:rsidR="00E8514A">
        <w:rPr>
          <w:rFonts w:ascii="Calibri" w:hAnsi="Calibri" w:cs="Calibri"/>
          <w:sz w:val="24"/>
          <w:szCs w:val="24"/>
        </w:rPr>
        <w:t xml:space="preserve">144) = -3.2, </w:t>
      </w:r>
      <w:r w:rsidR="00E8514A">
        <w:rPr>
          <w:rFonts w:ascii="Calibri" w:hAnsi="Calibri" w:cs="Calibri"/>
          <w:i/>
          <w:iCs/>
          <w:sz w:val="24"/>
          <w:szCs w:val="24"/>
        </w:rPr>
        <w:t>p</w:t>
      </w:r>
      <w:r w:rsidR="00E8514A">
        <w:rPr>
          <w:rFonts w:ascii="Calibri" w:hAnsi="Calibri" w:cs="Calibri"/>
          <w:sz w:val="24"/>
          <w:szCs w:val="24"/>
        </w:rPr>
        <w:t xml:space="preserve"> &lt; .05</w:t>
      </w:r>
      <w:r w:rsidR="00E8514A">
        <w:rPr>
          <w:rFonts w:cstheme="minorHAnsi"/>
          <w:sz w:val="24"/>
          <w:szCs w:val="24"/>
        </w:rPr>
        <w:t xml:space="preserve">). These findings indicate less familiarity with the scope for NIMAS among school staff and more familiarity among AMPs, </w:t>
      </w:r>
      <w:r w:rsidR="007A0629">
        <w:rPr>
          <w:rFonts w:cstheme="minorHAnsi"/>
          <w:sz w:val="24"/>
          <w:szCs w:val="24"/>
        </w:rPr>
        <w:t>p</w:t>
      </w:r>
      <w:r w:rsidR="00E8514A">
        <w:rPr>
          <w:rFonts w:cstheme="minorHAnsi"/>
          <w:sz w:val="24"/>
          <w:szCs w:val="24"/>
        </w:rPr>
        <w:t xml:space="preserve">ublishers, </w:t>
      </w:r>
      <w:r w:rsidR="007A0629">
        <w:rPr>
          <w:rFonts w:cstheme="minorHAnsi"/>
          <w:sz w:val="24"/>
          <w:szCs w:val="24"/>
        </w:rPr>
        <w:t>c</w:t>
      </w:r>
      <w:r w:rsidR="00E8514A">
        <w:rPr>
          <w:rFonts w:cstheme="minorHAnsi"/>
          <w:sz w:val="24"/>
          <w:szCs w:val="24"/>
        </w:rPr>
        <w:t xml:space="preserve">onversion </w:t>
      </w:r>
      <w:r w:rsidR="007A0629">
        <w:rPr>
          <w:rFonts w:cstheme="minorHAnsi"/>
          <w:sz w:val="24"/>
          <w:szCs w:val="24"/>
        </w:rPr>
        <w:t>v</w:t>
      </w:r>
      <w:r w:rsidR="00E8514A">
        <w:rPr>
          <w:rFonts w:cstheme="minorHAnsi"/>
          <w:sz w:val="24"/>
          <w:szCs w:val="24"/>
        </w:rPr>
        <w:t>endors, and NIMAC Users.</w:t>
      </w:r>
    </w:p>
    <w:p w14:paraId="118BEC21" w14:textId="3D745862" w:rsidR="00F54583" w:rsidRDefault="00F54583">
      <w:pPr>
        <w:rPr>
          <w:rFonts w:cstheme="minorHAnsi"/>
          <w:sz w:val="24"/>
          <w:szCs w:val="24"/>
        </w:rPr>
      </w:pPr>
      <w:r>
        <w:rPr>
          <w:rFonts w:cstheme="minorHAnsi"/>
          <w:sz w:val="24"/>
          <w:szCs w:val="24"/>
        </w:rPr>
        <w:br w:type="page"/>
      </w:r>
    </w:p>
    <w:p w14:paraId="1AAF2999" w14:textId="294EF830" w:rsidR="004E453C" w:rsidRDefault="004E453C" w:rsidP="004946C3">
      <w:pPr>
        <w:pStyle w:val="Heading4"/>
      </w:pPr>
      <w:bookmarkStart w:id="91" w:name="_Toc222904040"/>
      <w:r w:rsidRPr="005919AC">
        <w:lastRenderedPageBreak/>
        <w:t xml:space="preserve">Figure </w:t>
      </w:r>
      <w:r w:rsidR="00CB6034">
        <w:t>38</w:t>
      </w:r>
      <w:r w:rsidRPr="005919AC">
        <w:t xml:space="preserve">. </w:t>
      </w:r>
      <w:r>
        <w:t>Understanding of Educational Materials that Fall within Scope for NIMAS: Differences by Role</w:t>
      </w:r>
      <w:r w:rsidR="00B55C67">
        <w:rPr>
          <w:rFonts w:ascii="ZWAdobeF" w:hAnsi="ZWAdobeF" w:cs="ZWAdobeF"/>
          <w:i w:val="0"/>
          <w:color w:val="auto"/>
          <w:sz w:val="2"/>
          <w:szCs w:val="2"/>
        </w:rPr>
        <w:t>76F</w:t>
      </w:r>
      <w:r>
        <w:rPr>
          <w:rStyle w:val="FootnoteReference"/>
          <w:rFonts w:cs="Calibri"/>
          <w:smallCaps/>
          <w:color w:val="44546A" w:themeColor="text2"/>
        </w:rPr>
        <w:footnoteReference w:id="78"/>
      </w:r>
      <w:bookmarkEnd w:id="91"/>
      <w:r>
        <w:rPr>
          <w:rStyle w:val="FootnoteReference"/>
          <w:rFonts w:cs="Calibri"/>
          <w:smallCaps/>
          <w:color w:val="44546A" w:themeColor="text2"/>
        </w:rPr>
        <w:t xml:space="preserve"> </w:t>
      </w:r>
    </w:p>
    <w:p w14:paraId="7953CAEB" w14:textId="2F586512" w:rsidR="007A0629" w:rsidRPr="007A0629" w:rsidRDefault="00B55C67" w:rsidP="007A0629">
      <w:pPr>
        <w:jc w:val="center"/>
      </w:pPr>
      <w:r>
        <w:rPr>
          <w:rFonts w:ascii="ZWAdobeF" w:hAnsi="ZWAdobeF" w:cs="ZWAdobeF"/>
          <w:sz w:val="2"/>
          <w:szCs w:val="2"/>
        </w:rPr>
        <w:t>241</w:t>
      </w:r>
      <w:proofErr w:type="gramStart"/>
      <w:r>
        <w:rPr>
          <w:rFonts w:ascii="ZWAdobeF" w:hAnsi="ZWAdobeF" w:cs="ZWAdobeF"/>
          <w:sz w:val="2"/>
          <w:szCs w:val="2"/>
        </w:rPr>
        <w:t>B</w:t>
      </w:r>
      <w:r w:rsidR="007A0629" w:rsidRPr="001A2F4A">
        <w:t>(</w:t>
      </w:r>
      <w:proofErr w:type="gramEnd"/>
      <w:r w:rsidR="007A0629" w:rsidRPr="001A2F4A">
        <w:rPr>
          <w:i/>
          <w:iCs/>
        </w:rPr>
        <w:t>n</w:t>
      </w:r>
      <w:r w:rsidR="007A0629" w:rsidRPr="001A2F4A">
        <w:t xml:space="preserve"> = 146)</w:t>
      </w:r>
    </w:p>
    <w:p w14:paraId="03DE84E0" w14:textId="6880C6D2" w:rsidR="004E453C" w:rsidRDefault="00B55C67" w:rsidP="001A2F4A">
      <w:pPr>
        <w:spacing w:after="0" w:line="276" w:lineRule="auto"/>
        <w:jc w:val="center"/>
        <w:rPr>
          <w:rFonts w:ascii="Calibri" w:hAnsi="Calibri" w:cs="Calibri"/>
          <w:sz w:val="24"/>
          <w:szCs w:val="24"/>
        </w:rPr>
      </w:pPr>
      <w:r>
        <w:rPr>
          <w:rFonts w:ascii="ZWAdobeF" w:hAnsi="ZWAdobeF" w:cs="ZWAdobeF"/>
          <w:sz w:val="2"/>
          <w:szCs w:val="2"/>
        </w:rPr>
        <w:t>242B</w:t>
      </w:r>
      <w:r w:rsidR="00A7099E" w:rsidRPr="00012B18">
        <w:rPr>
          <w:rFonts w:ascii="Times New Roman" w:hAnsi="Times New Roman" w:cs="Times New Roman"/>
          <w:b/>
          <w:noProof/>
          <w:color w:val="0070C0"/>
        </w:rPr>
        <w:drawing>
          <wp:inline distT="0" distB="0" distL="0" distR="0" wp14:anchorId="71F84896" wp14:editId="2B205AC3">
            <wp:extent cx="5943600" cy="2620645"/>
            <wp:effectExtent l="0" t="0" r="0" b="8255"/>
            <wp:docPr id="1059869541" name="Chart 3" descr="Figure 38 is a vertical bar chart showing differences by role in mean understanding of which educational materials fall within scope for NIMAS (n = 146). Mean understanding ratings on a 4-point scale were 2.3 for LEA/ESD, regional, and cooperative staff (n = 62); 2.1 for school staff (n = 38); 2.8 for IMR/IRC staff (n = 15); 2.9 for SEA staff (n = 14); and 3.1 for AMPs, publishers, and vendors (n = 17). Asterisks indicate statistically significant differences for school staff and AMPs, publishers, and vendors."/>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14:paraId="3A16640F" w14:textId="77777777" w:rsidR="00A7099E" w:rsidRDefault="00A7099E" w:rsidP="00CA4463">
      <w:pPr>
        <w:rPr>
          <w:rFonts w:ascii="Calibri" w:hAnsi="Calibri" w:cs="Calibri"/>
          <w:color w:val="1B4466"/>
        </w:rPr>
      </w:pPr>
    </w:p>
    <w:p w14:paraId="2D46F017" w14:textId="58A481DA" w:rsidR="00DF21C0" w:rsidRPr="005919AC" w:rsidRDefault="00DF21C0" w:rsidP="00B4146C">
      <w:pPr>
        <w:pStyle w:val="Heading3"/>
      </w:pPr>
      <w:bookmarkStart w:id="92" w:name="_Toc222904041"/>
      <w:r>
        <w:t>NIMAC Assistance</w:t>
      </w:r>
      <w:bookmarkEnd w:id="92"/>
    </w:p>
    <w:p w14:paraId="15756412" w14:textId="77777777" w:rsidR="00DF21C0" w:rsidRPr="005919AC" w:rsidRDefault="00DF21C0" w:rsidP="00DF21C0">
      <w:pPr>
        <w:spacing w:after="0" w:line="276" w:lineRule="auto"/>
        <w:rPr>
          <w:rFonts w:ascii="Calibri" w:hAnsi="Calibri" w:cs="Calibri"/>
          <w:bCs/>
          <w:sz w:val="24"/>
          <w:szCs w:val="24"/>
        </w:rPr>
      </w:pPr>
    </w:p>
    <w:p w14:paraId="272A0EBC" w14:textId="55940C92" w:rsidR="004608EC" w:rsidRDefault="00B55C67" w:rsidP="00F657D0">
      <w:pPr>
        <w:rPr>
          <w:rFonts w:ascii="Calibri" w:hAnsi="Calibri" w:cs="Calibri"/>
          <w:sz w:val="24"/>
          <w:szCs w:val="24"/>
        </w:rPr>
      </w:pPr>
      <w:r>
        <w:rPr>
          <w:rFonts w:ascii="ZWAdobeF" w:hAnsi="ZWAdobeF" w:cs="ZWAdobeF"/>
          <w:sz w:val="2"/>
          <w:szCs w:val="2"/>
        </w:rPr>
        <w:t>243B</w:t>
      </w:r>
      <w:r w:rsidR="00F657D0" w:rsidRPr="009A2D28">
        <w:rPr>
          <w:rFonts w:ascii="Calibri" w:hAnsi="Calibri" w:cs="Calibri"/>
          <w:sz w:val="24"/>
          <w:szCs w:val="24"/>
        </w:rPr>
        <w:t xml:space="preserve">Given that the NIMAS requirement in procurement contracts is the only legal mechanism to hold publishers accountable for submitting NIMAS files into the NIMAC repository, the NIMAC was interested in strategies </w:t>
      </w:r>
      <w:r w:rsidR="00B1030A">
        <w:rPr>
          <w:rFonts w:ascii="Calibri" w:hAnsi="Calibri" w:cs="Calibri"/>
          <w:sz w:val="24"/>
          <w:szCs w:val="24"/>
        </w:rPr>
        <w:t>to</w:t>
      </w:r>
      <w:r w:rsidR="00F657D0" w:rsidRPr="009A2D28">
        <w:rPr>
          <w:rFonts w:ascii="Calibri" w:hAnsi="Calibri" w:cs="Calibri"/>
          <w:sz w:val="24"/>
          <w:szCs w:val="24"/>
        </w:rPr>
        <w:t xml:space="preserve"> facilitate the inclusion of the NIMAS requirement in procurement contracts. </w:t>
      </w:r>
      <w:r w:rsidR="00F657D0">
        <w:rPr>
          <w:rFonts w:ascii="Calibri" w:hAnsi="Calibri" w:cs="Calibri"/>
          <w:sz w:val="24"/>
          <w:szCs w:val="24"/>
        </w:rPr>
        <w:t>S</w:t>
      </w:r>
      <w:r w:rsidR="00F657D0" w:rsidRPr="009A2D28">
        <w:rPr>
          <w:rFonts w:ascii="Calibri" w:hAnsi="Calibri" w:cs="Calibri"/>
          <w:sz w:val="24"/>
          <w:szCs w:val="24"/>
        </w:rPr>
        <w:t xml:space="preserve">urvey respondents were </w:t>
      </w:r>
      <w:r w:rsidR="00DD39E7">
        <w:rPr>
          <w:rFonts w:ascii="Calibri" w:hAnsi="Calibri" w:cs="Calibri"/>
          <w:sz w:val="24"/>
          <w:szCs w:val="24"/>
        </w:rPr>
        <w:t>presented with a list of</w:t>
      </w:r>
      <w:r w:rsidR="00B1030A">
        <w:rPr>
          <w:rFonts w:ascii="Calibri" w:hAnsi="Calibri" w:cs="Calibri"/>
          <w:sz w:val="24"/>
          <w:szCs w:val="24"/>
        </w:rPr>
        <w:t xml:space="preserve"> multiple strategies</w:t>
      </w:r>
      <w:r w:rsidR="00DD39E7">
        <w:rPr>
          <w:rFonts w:ascii="Calibri" w:hAnsi="Calibri" w:cs="Calibri"/>
          <w:sz w:val="24"/>
          <w:szCs w:val="24"/>
        </w:rPr>
        <w:t xml:space="preserve"> (all of which are presented in Figure 39)</w:t>
      </w:r>
      <w:r w:rsidR="00B1030A">
        <w:rPr>
          <w:rFonts w:ascii="Calibri" w:hAnsi="Calibri" w:cs="Calibri"/>
          <w:sz w:val="24"/>
          <w:szCs w:val="24"/>
        </w:rPr>
        <w:t xml:space="preserve"> </w:t>
      </w:r>
      <w:r w:rsidR="00DD39E7">
        <w:rPr>
          <w:rFonts w:ascii="Calibri" w:hAnsi="Calibri" w:cs="Calibri"/>
          <w:sz w:val="24"/>
          <w:szCs w:val="24"/>
        </w:rPr>
        <w:t xml:space="preserve">and asked to select the strategies that would </w:t>
      </w:r>
      <w:r w:rsidR="00F657D0" w:rsidRPr="00B03A7B">
        <w:rPr>
          <w:rFonts w:ascii="Calibri" w:hAnsi="Calibri" w:cs="Calibri"/>
          <w:sz w:val="24"/>
          <w:szCs w:val="24"/>
        </w:rPr>
        <w:t>help SEAs and LEAs consistently include the NIMAS requirement in procurement contracts for educational materials</w:t>
      </w:r>
      <w:r w:rsidR="00B1030A">
        <w:rPr>
          <w:rFonts w:ascii="Calibri" w:hAnsi="Calibri" w:cs="Calibri"/>
          <w:sz w:val="24"/>
          <w:szCs w:val="24"/>
        </w:rPr>
        <w:t>.</w:t>
      </w:r>
      <w:r>
        <w:rPr>
          <w:rFonts w:ascii="ZWAdobeF" w:hAnsi="ZWAdobeF" w:cs="ZWAdobeF"/>
          <w:sz w:val="2"/>
          <w:szCs w:val="2"/>
        </w:rPr>
        <w:t>77F</w:t>
      </w:r>
      <w:r w:rsidR="004608EC">
        <w:rPr>
          <w:rStyle w:val="FootnoteReference"/>
          <w:rFonts w:ascii="Calibri" w:hAnsi="Calibri" w:cs="Calibri"/>
          <w:sz w:val="24"/>
          <w:szCs w:val="24"/>
        </w:rPr>
        <w:footnoteReference w:id="79"/>
      </w:r>
      <w:r w:rsidR="00F657D0">
        <w:rPr>
          <w:rFonts w:ascii="Calibri" w:hAnsi="Calibri" w:cs="Calibri"/>
          <w:sz w:val="24"/>
          <w:szCs w:val="24"/>
        </w:rPr>
        <w:t xml:space="preserve"> </w:t>
      </w:r>
    </w:p>
    <w:p w14:paraId="4E88BD29" w14:textId="55648EAB" w:rsidR="00F657D0" w:rsidRDefault="00B55C67" w:rsidP="00F657D0">
      <w:pPr>
        <w:rPr>
          <w:rFonts w:ascii="Calibri" w:hAnsi="Calibri" w:cs="Calibri"/>
          <w:sz w:val="24"/>
          <w:szCs w:val="24"/>
        </w:rPr>
      </w:pPr>
      <w:r>
        <w:rPr>
          <w:rFonts w:ascii="ZWAdobeF" w:hAnsi="ZWAdobeF" w:cs="ZWAdobeF"/>
          <w:sz w:val="2"/>
          <w:szCs w:val="2"/>
        </w:rPr>
        <w:t>244B</w:t>
      </w:r>
      <w:r w:rsidR="00D265C5">
        <w:rPr>
          <w:rFonts w:ascii="Calibri" w:hAnsi="Calibri" w:cs="Calibri"/>
          <w:sz w:val="24"/>
          <w:szCs w:val="24"/>
        </w:rPr>
        <w:t>Nearly three-quarters (</w:t>
      </w:r>
      <w:r w:rsidR="00C30DE3">
        <w:rPr>
          <w:rFonts w:ascii="Calibri" w:hAnsi="Calibri" w:cs="Calibri"/>
          <w:sz w:val="24"/>
          <w:szCs w:val="24"/>
        </w:rPr>
        <w:t>72</w:t>
      </w:r>
      <w:r w:rsidR="00F657D0">
        <w:rPr>
          <w:rFonts w:ascii="Calibri" w:hAnsi="Calibri" w:cs="Calibri"/>
          <w:sz w:val="24"/>
          <w:szCs w:val="24"/>
        </w:rPr>
        <w:t>%</w:t>
      </w:r>
      <w:r w:rsidR="00D265C5">
        <w:rPr>
          <w:rFonts w:ascii="Calibri" w:hAnsi="Calibri" w:cs="Calibri"/>
          <w:sz w:val="24"/>
          <w:szCs w:val="24"/>
        </w:rPr>
        <w:t>)</w:t>
      </w:r>
      <w:r w:rsidR="00F657D0">
        <w:rPr>
          <w:rFonts w:ascii="Calibri" w:hAnsi="Calibri" w:cs="Calibri"/>
          <w:sz w:val="24"/>
          <w:szCs w:val="24"/>
        </w:rPr>
        <w:t xml:space="preserve"> of respondents </w:t>
      </w:r>
      <w:r w:rsidR="00C30DE3">
        <w:rPr>
          <w:rFonts w:ascii="Calibri" w:hAnsi="Calibri" w:cs="Calibri"/>
          <w:sz w:val="24"/>
          <w:szCs w:val="24"/>
        </w:rPr>
        <w:t>selected</w:t>
      </w:r>
      <w:r w:rsidR="00D265C5">
        <w:rPr>
          <w:rFonts w:ascii="Calibri" w:hAnsi="Calibri" w:cs="Calibri"/>
          <w:sz w:val="24"/>
          <w:szCs w:val="24"/>
        </w:rPr>
        <w:t xml:space="preserve"> </w:t>
      </w:r>
      <w:r w:rsidR="00C30DE3">
        <w:rPr>
          <w:rFonts w:ascii="Calibri" w:hAnsi="Calibri" w:cs="Calibri"/>
          <w:sz w:val="24"/>
          <w:szCs w:val="24"/>
        </w:rPr>
        <w:t>two</w:t>
      </w:r>
      <w:r w:rsidR="00D265C5">
        <w:rPr>
          <w:rFonts w:ascii="Calibri" w:hAnsi="Calibri" w:cs="Calibri"/>
          <w:sz w:val="24"/>
          <w:szCs w:val="24"/>
        </w:rPr>
        <w:t xml:space="preserve"> strategies </w:t>
      </w:r>
      <w:r w:rsidR="00C30DE3">
        <w:rPr>
          <w:rFonts w:ascii="Calibri" w:hAnsi="Calibri" w:cs="Calibri"/>
          <w:sz w:val="24"/>
          <w:szCs w:val="24"/>
        </w:rPr>
        <w:t xml:space="preserve">that </w:t>
      </w:r>
      <w:r w:rsidR="00D265C5">
        <w:rPr>
          <w:rFonts w:ascii="Calibri" w:hAnsi="Calibri" w:cs="Calibri"/>
          <w:sz w:val="24"/>
          <w:szCs w:val="24"/>
        </w:rPr>
        <w:t xml:space="preserve">would be helpful: </w:t>
      </w:r>
      <w:r w:rsidR="00F657D0" w:rsidRPr="002C46D1">
        <w:rPr>
          <w:rFonts w:ascii="Calibri" w:hAnsi="Calibri" w:cs="Calibri"/>
          <w:sz w:val="24"/>
          <w:szCs w:val="24"/>
        </w:rPr>
        <w:t xml:space="preserve">Trainings with SEA/LEA procurement staff to </w:t>
      </w:r>
      <w:bookmarkStart w:id="93" w:name="_Hlk216540744"/>
      <w:r w:rsidR="00C30DE3">
        <w:rPr>
          <w:rFonts w:ascii="Calibri" w:hAnsi="Calibri" w:cs="Calibri"/>
          <w:sz w:val="24"/>
          <w:szCs w:val="24"/>
        </w:rPr>
        <w:t>“</w:t>
      </w:r>
      <w:r w:rsidR="00F657D0" w:rsidRPr="002C46D1">
        <w:rPr>
          <w:rFonts w:ascii="Calibri" w:hAnsi="Calibri" w:cs="Calibri"/>
          <w:sz w:val="24"/>
          <w:szCs w:val="24"/>
        </w:rPr>
        <w:t>provide education about the types of educational materials that fall within the scope for NIMAS</w:t>
      </w:r>
      <w:r w:rsidR="00F657D0">
        <w:rPr>
          <w:rFonts w:ascii="Calibri" w:hAnsi="Calibri" w:cs="Calibri"/>
          <w:sz w:val="24"/>
          <w:szCs w:val="24"/>
        </w:rPr>
        <w:t>”</w:t>
      </w:r>
      <w:bookmarkEnd w:id="93"/>
      <w:r w:rsidR="00C30DE3">
        <w:rPr>
          <w:rFonts w:ascii="Calibri" w:hAnsi="Calibri" w:cs="Calibri"/>
          <w:sz w:val="24"/>
          <w:szCs w:val="24"/>
        </w:rPr>
        <w:t xml:space="preserve"> and</w:t>
      </w:r>
      <w:r w:rsidR="00F657D0">
        <w:rPr>
          <w:rFonts w:ascii="Calibri" w:hAnsi="Calibri" w:cs="Calibri"/>
          <w:sz w:val="24"/>
          <w:szCs w:val="24"/>
        </w:rPr>
        <w:t xml:space="preserve"> </w:t>
      </w:r>
      <w:bookmarkStart w:id="94" w:name="_Hlk216540720"/>
      <w:r w:rsidR="00F657D0">
        <w:rPr>
          <w:rFonts w:ascii="Calibri" w:hAnsi="Calibri" w:cs="Calibri"/>
          <w:sz w:val="24"/>
          <w:szCs w:val="24"/>
        </w:rPr>
        <w:t>“</w:t>
      </w:r>
      <w:proofErr w:type="gramStart"/>
      <w:r w:rsidR="00F657D0" w:rsidRPr="002C46D1">
        <w:rPr>
          <w:rFonts w:ascii="Calibri" w:hAnsi="Calibri" w:cs="Calibri"/>
          <w:sz w:val="24"/>
          <w:szCs w:val="24"/>
        </w:rPr>
        <w:t>increase</w:t>
      </w:r>
      <w:proofErr w:type="gramEnd"/>
      <w:r w:rsidR="00F657D0" w:rsidRPr="002C46D1">
        <w:rPr>
          <w:rFonts w:ascii="Calibri" w:hAnsi="Calibri" w:cs="Calibri"/>
          <w:sz w:val="24"/>
          <w:szCs w:val="24"/>
        </w:rPr>
        <w:t xml:space="preserve"> awareness of the importance of including the NIMAS requirement in procurement contracts</w:t>
      </w:r>
      <w:r w:rsidR="00C30DE3">
        <w:rPr>
          <w:rFonts w:ascii="Calibri" w:hAnsi="Calibri" w:cs="Calibri"/>
          <w:sz w:val="24"/>
          <w:szCs w:val="24"/>
        </w:rPr>
        <w:t>.</w:t>
      </w:r>
      <w:r w:rsidR="00F657D0">
        <w:rPr>
          <w:rFonts w:ascii="Calibri" w:hAnsi="Calibri" w:cs="Calibri"/>
          <w:sz w:val="24"/>
          <w:szCs w:val="24"/>
        </w:rPr>
        <w:t xml:space="preserve">” </w:t>
      </w:r>
      <w:bookmarkEnd w:id="94"/>
      <w:r w:rsidR="00C30DE3">
        <w:rPr>
          <w:rFonts w:ascii="Calibri" w:hAnsi="Calibri" w:cs="Calibri"/>
          <w:sz w:val="24"/>
          <w:szCs w:val="24"/>
        </w:rPr>
        <w:t xml:space="preserve">Two-thirds of survey respondents selected two other strategies: </w:t>
      </w:r>
      <w:bookmarkStart w:id="95" w:name="_Hlk216540756"/>
      <w:r w:rsidR="00F657D0">
        <w:rPr>
          <w:rFonts w:ascii="Calibri" w:hAnsi="Calibri" w:cs="Calibri"/>
          <w:sz w:val="24"/>
          <w:szCs w:val="24"/>
        </w:rPr>
        <w:t>“</w:t>
      </w:r>
      <w:r w:rsidR="00F657D0" w:rsidRPr="002C46D1">
        <w:rPr>
          <w:rFonts w:ascii="Calibri" w:hAnsi="Calibri" w:cs="Calibri"/>
          <w:sz w:val="24"/>
          <w:szCs w:val="24"/>
        </w:rPr>
        <w:t>Trainings with General Education Departments and Special Education Departments to improve collaboration</w:t>
      </w:r>
      <w:r w:rsidR="00F657D0">
        <w:rPr>
          <w:rFonts w:ascii="Calibri" w:hAnsi="Calibri" w:cs="Calibri"/>
          <w:sz w:val="24"/>
          <w:szCs w:val="24"/>
        </w:rPr>
        <w:t>”</w:t>
      </w:r>
      <w:r w:rsidR="00C30DE3">
        <w:rPr>
          <w:rFonts w:ascii="Calibri" w:hAnsi="Calibri" w:cs="Calibri"/>
          <w:sz w:val="24"/>
          <w:szCs w:val="24"/>
        </w:rPr>
        <w:t xml:space="preserve"> </w:t>
      </w:r>
      <w:bookmarkEnd w:id="95"/>
      <w:r w:rsidR="00C30DE3">
        <w:rPr>
          <w:rFonts w:ascii="Calibri" w:hAnsi="Calibri" w:cs="Calibri"/>
          <w:sz w:val="24"/>
          <w:szCs w:val="24"/>
        </w:rPr>
        <w:t>(69%) and</w:t>
      </w:r>
      <w:r w:rsidR="00F657D0">
        <w:rPr>
          <w:rFonts w:ascii="Calibri" w:hAnsi="Calibri" w:cs="Calibri"/>
          <w:sz w:val="24"/>
          <w:szCs w:val="24"/>
        </w:rPr>
        <w:t xml:space="preserve"> “</w:t>
      </w:r>
      <w:r w:rsidR="00F657D0" w:rsidRPr="002C46D1">
        <w:rPr>
          <w:rFonts w:ascii="Calibri" w:hAnsi="Calibri" w:cs="Calibri"/>
          <w:sz w:val="24"/>
          <w:szCs w:val="24"/>
        </w:rPr>
        <w:t>Providing educational materials about the NIMAC and the NIMAS requirement that can be incorporated into onboarding materials for new SEA/LEA procurement staff</w:t>
      </w:r>
      <w:r w:rsidR="00F657D0">
        <w:rPr>
          <w:rFonts w:ascii="Calibri" w:hAnsi="Calibri" w:cs="Calibri"/>
          <w:sz w:val="24"/>
          <w:szCs w:val="24"/>
        </w:rPr>
        <w:t>”</w:t>
      </w:r>
      <w:r w:rsidR="00C30DE3">
        <w:rPr>
          <w:rFonts w:ascii="Calibri" w:hAnsi="Calibri" w:cs="Calibri"/>
          <w:sz w:val="24"/>
          <w:szCs w:val="24"/>
        </w:rPr>
        <w:t xml:space="preserve"> (62%). Other helpful strategies for promoting consistent inclusion of the NIMAS requirement in procurement contracts, selected by about </w:t>
      </w:r>
      <w:r w:rsidR="00C30DE3">
        <w:rPr>
          <w:rFonts w:ascii="Calibri" w:hAnsi="Calibri" w:cs="Calibri"/>
          <w:sz w:val="24"/>
          <w:szCs w:val="24"/>
        </w:rPr>
        <w:lastRenderedPageBreak/>
        <w:t>half of survey respondents, were</w:t>
      </w:r>
      <w:r w:rsidR="00F657D0">
        <w:rPr>
          <w:rFonts w:ascii="Calibri" w:hAnsi="Calibri" w:cs="Calibri"/>
          <w:sz w:val="24"/>
          <w:szCs w:val="24"/>
        </w:rPr>
        <w:t xml:space="preserve"> “</w:t>
      </w:r>
      <w:r w:rsidR="00F657D0" w:rsidRPr="002C46D1">
        <w:rPr>
          <w:rFonts w:ascii="Calibri" w:hAnsi="Calibri" w:cs="Calibri"/>
          <w:sz w:val="24"/>
          <w:szCs w:val="24"/>
        </w:rPr>
        <w:t>Trainings with General Education and Special Education Departments to improve data collection efforts related to procurement and production of accessible formats</w:t>
      </w:r>
      <w:r w:rsidR="00F657D0">
        <w:rPr>
          <w:rFonts w:ascii="Calibri" w:hAnsi="Calibri" w:cs="Calibri"/>
          <w:sz w:val="24"/>
          <w:szCs w:val="24"/>
        </w:rPr>
        <w:t>”</w:t>
      </w:r>
      <w:r w:rsidR="00C30DE3">
        <w:rPr>
          <w:rFonts w:ascii="Calibri" w:hAnsi="Calibri" w:cs="Calibri"/>
          <w:sz w:val="24"/>
          <w:szCs w:val="24"/>
        </w:rPr>
        <w:t xml:space="preserve"> (54%),</w:t>
      </w:r>
      <w:r w:rsidR="00F657D0">
        <w:rPr>
          <w:rFonts w:ascii="Calibri" w:hAnsi="Calibri" w:cs="Calibri"/>
          <w:sz w:val="24"/>
          <w:szCs w:val="24"/>
        </w:rPr>
        <w:t xml:space="preserve"> “</w:t>
      </w:r>
      <w:r w:rsidR="00F657D0" w:rsidRPr="002C46D1">
        <w:rPr>
          <w:rFonts w:ascii="Calibri" w:hAnsi="Calibri" w:cs="Calibri"/>
          <w:sz w:val="24"/>
          <w:szCs w:val="24"/>
        </w:rPr>
        <w:t>Trainings with multiple stakeholder groups (e.g., instructional resource centers) about how to include the NIMAS requirement in procurement contracts</w:t>
      </w:r>
      <w:r w:rsidR="00F657D0">
        <w:rPr>
          <w:rFonts w:ascii="Calibri" w:hAnsi="Calibri" w:cs="Calibri"/>
          <w:sz w:val="24"/>
          <w:szCs w:val="24"/>
        </w:rPr>
        <w:t>”</w:t>
      </w:r>
      <w:r w:rsidR="00C30DE3">
        <w:rPr>
          <w:rFonts w:ascii="Calibri" w:hAnsi="Calibri" w:cs="Calibri"/>
          <w:sz w:val="24"/>
          <w:szCs w:val="24"/>
        </w:rPr>
        <w:t xml:space="preserve"> (52%), and</w:t>
      </w:r>
      <w:r w:rsidR="00F657D0">
        <w:rPr>
          <w:rFonts w:ascii="Calibri" w:hAnsi="Calibri" w:cs="Calibri"/>
          <w:sz w:val="24"/>
          <w:szCs w:val="24"/>
        </w:rPr>
        <w:t xml:space="preserve"> “</w:t>
      </w:r>
      <w:r w:rsidR="00F657D0" w:rsidRPr="002C46D1">
        <w:rPr>
          <w:rFonts w:ascii="Calibri" w:hAnsi="Calibri" w:cs="Calibri"/>
          <w:sz w:val="24"/>
          <w:szCs w:val="24"/>
        </w:rPr>
        <w:t>Creating a designated position that focuses on outreach to states and local educational agencies to provide guidance and technical assistance</w:t>
      </w:r>
      <w:r w:rsidR="00F657D0">
        <w:rPr>
          <w:rFonts w:ascii="Calibri" w:hAnsi="Calibri" w:cs="Calibri"/>
          <w:sz w:val="24"/>
          <w:szCs w:val="24"/>
        </w:rPr>
        <w:t>”</w:t>
      </w:r>
      <w:r w:rsidR="00C30DE3">
        <w:rPr>
          <w:rFonts w:ascii="Calibri" w:hAnsi="Calibri" w:cs="Calibri"/>
          <w:sz w:val="24"/>
          <w:szCs w:val="24"/>
        </w:rPr>
        <w:t xml:space="preserve"> (48%).</w:t>
      </w:r>
      <w:r w:rsidR="00F657D0">
        <w:rPr>
          <w:rFonts w:ascii="Calibri" w:hAnsi="Calibri" w:cs="Calibri"/>
          <w:sz w:val="24"/>
          <w:szCs w:val="24"/>
        </w:rPr>
        <w:t xml:space="preserve"> </w:t>
      </w:r>
    </w:p>
    <w:p w14:paraId="7A615C85" w14:textId="1C34C09D" w:rsidR="009C020D" w:rsidRDefault="009C020D">
      <w:pPr>
        <w:rPr>
          <w:rFonts w:ascii="Calibri" w:eastAsiaTheme="majorEastAsia" w:hAnsi="Calibri" w:cstheme="majorBidi"/>
          <w:i/>
          <w:iCs/>
          <w:color w:val="44546A"/>
          <w:sz w:val="28"/>
        </w:rPr>
      </w:pPr>
    </w:p>
    <w:p w14:paraId="6ECDA0C3" w14:textId="2BB333A7" w:rsidR="00F657D0" w:rsidRPr="00B03A7B" w:rsidRDefault="00F657D0" w:rsidP="004946C3">
      <w:pPr>
        <w:pStyle w:val="Heading4"/>
      </w:pPr>
      <w:bookmarkStart w:id="96" w:name="_Toc222904042"/>
      <w:r w:rsidRPr="00B03A7B">
        <w:t xml:space="preserve">Figure </w:t>
      </w:r>
      <w:r w:rsidR="004608EC">
        <w:t>3</w:t>
      </w:r>
      <w:r w:rsidR="00CB6034">
        <w:t>9</w:t>
      </w:r>
      <w:r w:rsidRPr="00B03A7B">
        <w:t>. Strategies to Help SEAs and LEAs Consistently Include the NIMAS Requirement in Procurement Contracts</w:t>
      </w:r>
      <w:r w:rsidRPr="00B03A7B">
        <w:rPr>
          <w:rStyle w:val="FootnoteReference"/>
          <w:rFonts w:cs="Calibri"/>
          <w:smallCaps/>
          <w:color w:val="44546A" w:themeColor="text2"/>
          <w:vertAlign w:val="baseline"/>
        </w:rPr>
        <w:t xml:space="preserve"> </w:t>
      </w:r>
      <w:r w:rsidR="00B55C67">
        <w:rPr>
          <w:rFonts w:ascii="ZWAdobeF" w:hAnsi="ZWAdobeF" w:cs="ZWAdobeF"/>
          <w:i w:val="0"/>
          <w:smallCaps/>
          <w:color w:val="auto"/>
          <w:sz w:val="2"/>
          <w:szCs w:val="2"/>
        </w:rPr>
        <w:t>78F</w:t>
      </w:r>
      <w:r w:rsidRPr="00B03A7B">
        <w:rPr>
          <w:rStyle w:val="FootnoteReference"/>
          <w:rFonts w:cs="Calibri"/>
          <w:smallCaps/>
          <w:color w:val="44546A" w:themeColor="text2"/>
        </w:rPr>
        <w:footnoteReference w:id="80"/>
      </w:r>
      <w:bookmarkEnd w:id="96"/>
      <w:r w:rsidRPr="00B03A7B">
        <w:t xml:space="preserve"> </w:t>
      </w:r>
    </w:p>
    <w:p w14:paraId="118322C7" w14:textId="1B2AD61B" w:rsidR="00993194" w:rsidRDefault="00B55C67" w:rsidP="006F60EF">
      <w:pPr>
        <w:spacing w:after="0"/>
        <w:jc w:val="center"/>
        <w:rPr>
          <w:color w:val="000000" w:themeColor="text1"/>
        </w:rPr>
      </w:pPr>
      <w:r>
        <w:rPr>
          <w:rFonts w:ascii="ZWAdobeF" w:hAnsi="ZWAdobeF" w:cs="ZWAdobeF"/>
          <w:sz w:val="2"/>
          <w:szCs w:val="2"/>
        </w:rPr>
        <w:t>245</w:t>
      </w:r>
      <w:proofErr w:type="gramStart"/>
      <w:r>
        <w:rPr>
          <w:rFonts w:ascii="ZWAdobeF" w:hAnsi="ZWAdobeF" w:cs="ZWAdobeF"/>
          <w:sz w:val="2"/>
          <w:szCs w:val="2"/>
        </w:rPr>
        <w:t>B</w:t>
      </w:r>
      <w:r w:rsidR="00F657D0" w:rsidRPr="0004353F">
        <w:rPr>
          <w:color w:val="000000" w:themeColor="text1"/>
        </w:rPr>
        <w:t>(</w:t>
      </w:r>
      <w:proofErr w:type="gramEnd"/>
      <w:r w:rsidR="00F657D0" w:rsidRPr="0004353F">
        <w:rPr>
          <w:i/>
          <w:iCs/>
          <w:color w:val="000000" w:themeColor="text1"/>
        </w:rPr>
        <w:t>n</w:t>
      </w:r>
      <w:r w:rsidR="00F657D0" w:rsidRPr="0004353F">
        <w:rPr>
          <w:color w:val="000000" w:themeColor="text1"/>
        </w:rPr>
        <w:t xml:space="preserve"> = 141)</w:t>
      </w:r>
    </w:p>
    <w:p w14:paraId="087A1F4A" w14:textId="7FE54F94" w:rsidR="00F657D0" w:rsidRPr="00993194" w:rsidRDefault="00B55C67" w:rsidP="003D48CC">
      <w:pPr>
        <w:spacing w:before="240" w:after="0"/>
        <w:rPr>
          <w:color w:val="000000" w:themeColor="text1"/>
        </w:rPr>
      </w:pPr>
      <w:r>
        <w:rPr>
          <w:rFonts w:ascii="ZWAdobeF" w:hAnsi="ZWAdobeF" w:cs="ZWAdobeF"/>
          <w:sz w:val="2"/>
          <w:szCs w:val="2"/>
        </w:rPr>
        <w:t>246B</w:t>
      </w:r>
      <w:r w:rsidR="00F657D0" w:rsidRPr="009A2D28">
        <w:rPr>
          <w:rFonts w:ascii="Times New Roman" w:hAnsi="Times New Roman" w:cs="Times New Roman"/>
          <w:noProof/>
          <w:sz w:val="24"/>
          <w:szCs w:val="24"/>
          <w:highlight w:val="yellow"/>
        </w:rPr>
        <w:drawing>
          <wp:inline distT="0" distB="0" distL="0" distR="0" wp14:anchorId="7F24D889" wp14:editId="57F93F96">
            <wp:extent cx="6167755" cy="4845738"/>
            <wp:effectExtent l="0" t="0" r="4445" b="0"/>
            <wp:docPr id="980359218" name="Chart 980359218" descr="Figure 39 is a horizontal bar chart showing strategies to help SEAs and LEAs consistently include the NIMAS requirement in procurement contracts (n = 141). Respondents reported that trainings with SEA or LEA procurement staff to educate them about types of educational materials that fall within scope for NIMAS was a helpful strategy (72%). Trainings with SEA or LEA procurement staff to increase awareness of the importance of including the NIMAS requirement in procurement contracts was also reported by 72%. Trainings with general and special education departments to improve collaboration was reported by 69%. Providing educational materials about the NIMAC and NIMAS requirement for inclusion in onboarding materials for new SEA or LEA procurement staff was reported by 62%. Trainings with general and special education departments to improve data collection related to procurement and production of accessible formats was reported by 54%. Trainings with multiple stakeholder groups, such as instructional resource centers, on how to include the NIMAS requirement in procurement contracts was reported by 52%. Creating a designated position focused on outreach to states and local educational agencies to provide guidance and technical assistance was reported by 48%. Other strategies were reported by 6%."/>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p w14:paraId="500F0FC1" w14:textId="5999E4A4" w:rsidR="00F657D0" w:rsidRDefault="00B55C67" w:rsidP="00F657D0">
      <w:pPr>
        <w:spacing w:after="0" w:line="276" w:lineRule="auto"/>
        <w:rPr>
          <w:rFonts w:cstheme="minorHAnsi"/>
          <w:sz w:val="24"/>
          <w:szCs w:val="24"/>
        </w:rPr>
      </w:pPr>
      <w:r>
        <w:rPr>
          <w:rFonts w:ascii="ZWAdobeF" w:hAnsi="ZWAdobeF" w:cs="ZWAdobeF"/>
          <w:sz w:val="2"/>
          <w:szCs w:val="2"/>
        </w:rPr>
        <w:lastRenderedPageBreak/>
        <w:t>247B</w:t>
      </w:r>
      <w:r w:rsidR="00F657D0" w:rsidRPr="00120654">
        <w:rPr>
          <w:rFonts w:cstheme="minorHAnsi"/>
          <w:sz w:val="24"/>
          <w:szCs w:val="24"/>
        </w:rPr>
        <w:t xml:space="preserve">When comparing the pattern of responses displayed in Figure </w:t>
      </w:r>
      <w:r w:rsidR="0067024B">
        <w:rPr>
          <w:rFonts w:cstheme="minorHAnsi"/>
          <w:sz w:val="24"/>
          <w:szCs w:val="24"/>
        </w:rPr>
        <w:t>3</w:t>
      </w:r>
      <w:r w:rsidR="00CB6034">
        <w:rPr>
          <w:rFonts w:cstheme="minorHAnsi"/>
          <w:sz w:val="24"/>
          <w:szCs w:val="24"/>
        </w:rPr>
        <w:t>9</w:t>
      </w:r>
      <w:r w:rsidR="00F657D0" w:rsidRPr="00120654">
        <w:rPr>
          <w:rFonts w:cstheme="minorHAnsi"/>
          <w:sz w:val="24"/>
          <w:szCs w:val="24"/>
        </w:rPr>
        <w:t xml:space="preserve"> across the three case study states as well as the national survey, </w:t>
      </w:r>
      <w:r w:rsidR="00F657D0">
        <w:rPr>
          <w:rFonts w:cstheme="minorHAnsi"/>
          <w:sz w:val="24"/>
          <w:szCs w:val="24"/>
        </w:rPr>
        <w:t>there were no statistically significant differences</w:t>
      </w:r>
      <w:r w:rsidR="001B3022">
        <w:rPr>
          <w:rFonts w:cstheme="minorHAnsi"/>
          <w:sz w:val="24"/>
          <w:szCs w:val="24"/>
        </w:rPr>
        <w:t>,</w:t>
      </w:r>
      <w:r w:rsidR="008D50AB">
        <w:rPr>
          <w:rFonts w:cstheme="minorHAnsi"/>
          <w:sz w:val="24"/>
          <w:szCs w:val="24"/>
        </w:rPr>
        <w:t xml:space="preserve"> </w:t>
      </w:r>
      <w:r w:rsidR="00F657D0">
        <w:rPr>
          <w:rFonts w:cstheme="minorHAnsi"/>
          <w:sz w:val="24"/>
          <w:szCs w:val="24"/>
        </w:rPr>
        <w:t>indicat</w:t>
      </w:r>
      <w:r w:rsidR="001B3022">
        <w:rPr>
          <w:rFonts w:cstheme="minorHAnsi"/>
          <w:sz w:val="24"/>
          <w:szCs w:val="24"/>
        </w:rPr>
        <w:t>ing</w:t>
      </w:r>
      <w:r w:rsidR="00F657D0">
        <w:rPr>
          <w:rFonts w:cstheme="minorHAnsi"/>
          <w:sz w:val="24"/>
          <w:szCs w:val="24"/>
        </w:rPr>
        <w:t xml:space="preserve"> that strategies to help SEAs and LEAs consistently include the NIMAS requirement in procurement contracts </w:t>
      </w:r>
      <w:r w:rsidR="001B3022">
        <w:rPr>
          <w:rFonts w:cstheme="minorHAnsi"/>
          <w:sz w:val="24"/>
          <w:szCs w:val="24"/>
        </w:rPr>
        <w:t xml:space="preserve">may be effective </w:t>
      </w:r>
      <w:r w:rsidR="00F657D0">
        <w:rPr>
          <w:rFonts w:cstheme="minorHAnsi"/>
          <w:sz w:val="24"/>
          <w:szCs w:val="24"/>
        </w:rPr>
        <w:t xml:space="preserve">across states. </w:t>
      </w:r>
    </w:p>
    <w:p w14:paraId="68881B46" w14:textId="77777777" w:rsidR="00255A7D" w:rsidRDefault="00255A7D" w:rsidP="00F657D0">
      <w:pPr>
        <w:spacing w:after="0" w:line="276" w:lineRule="auto"/>
        <w:rPr>
          <w:rFonts w:cstheme="minorHAnsi"/>
          <w:sz w:val="24"/>
          <w:szCs w:val="24"/>
        </w:rPr>
      </w:pPr>
    </w:p>
    <w:p w14:paraId="7BF3C20D" w14:textId="034DC562" w:rsidR="00145AA4" w:rsidRPr="006920AA" w:rsidRDefault="00B55C67" w:rsidP="006963D1">
      <w:pPr>
        <w:spacing w:line="276" w:lineRule="auto"/>
      </w:pPr>
      <w:r>
        <w:rPr>
          <w:rFonts w:ascii="ZWAdobeF" w:hAnsi="ZWAdobeF" w:cs="ZWAdobeF"/>
          <w:sz w:val="2"/>
          <w:szCs w:val="2"/>
        </w:rPr>
        <w:t>248B</w:t>
      </w:r>
      <w:r w:rsidR="00255A7D">
        <w:rPr>
          <w:rFonts w:cstheme="minorHAnsi"/>
          <w:sz w:val="24"/>
          <w:szCs w:val="24"/>
        </w:rPr>
        <w:t xml:space="preserve">When examining strategies to help SEAs and LEAs consistently include the NIMAS requirement in procurement contracts across respondent role, there were </w:t>
      </w:r>
      <w:r w:rsidR="00145AA4">
        <w:rPr>
          <w:rFonts w:cstheme="minorHAnsi"/>
          <w:i/>
          <w:iCs/>
          <w:color w:val="EE0000"/>
          <w:sz w:val="24"/>
          <w:szCs w:val="24"/>
        </w:rPr>
        <w:t>six</w:t>
      </w:r>
      <w:r w:rsidR="00255A7D" w:rsidRPr="006920AA">
        <w:rPr>
          <w:rFonts w:cstheme="minorHAnsi"/>
          <w:i/>
          <w:iCs/>
          <w:color w:val="EE0000"/>
          <w:sz w:val="24"/>
          <w:szCs w:val="24"/>
        </w:rPr>
        <w:t xml:space="preserve"> statistically significant findings</w:t>
      </w:r>
      <w:r w:rsidR="00255A7D" w:rsidRPr="00B7706B">
        <w:rPr>
          <w:rFonts w:cstheme="minorHAnsi"/>
          <w:color w:val="EE0000"/>
          <w:sz w:val="24"/>
          <w:szCs w:val="24"/>
        </w:rPr>
        <w:t>.</w:t>
      </w:r>
      <w:r w:rsidR="00255A7D">
        <w:rPr>
          <w:rFonts w:cstheme="minorHAnsi"/>
          <w:sz w:val="24"/>
          <w:szCs w:val="24"/>
        </w:rPr>
        <w:t xml:space="preserve"> Specifically, IMC/IRC staff were more likely to endorse trainings with SEA/LEA procurement staff to </w:t>
      </w:r>
      <w:r w:rsidR="00255A7D">
        <w:rPr>
          <w:rFonts w:ascii="Calibri" w:hAnsi="Calibri" w:cs="Calibri"/>
          <w:sz w:val="24"/>
          <w:szCs w:val="24"/>
        </w:rPr>
        <w:t>“</w:t>
      </w:r>
      <w:r w:rsidR="00255A7D" w:rsidRPr="002C46D1">
        <w:rPr>
          <w:rFonts w:ascii="Calibri" w:hAnsi="Calibri" w:cs="Calibri"/>
          <w:sz w:val="24"/>
          <w:szCs w:val="24"/>
        </w:rPr>
        <w:t xml:space="preserve">increase awareness of the importance of including the NIMAS requirement in procurement </w:t>
      </w:r>
      <w:r w:rsidR="00255A7D" w:rsidRPr="00255A7D">
        <w:rPr>
          <w:rFonts w:ascii="Calibri" w:hAnsi="Calibri" w:cs="Calibri"/>
          <w:sz w:val="24"/>
          <w:szCs w:val="24"/>
        </w:rPr>
        <w:t>contracts”</w:t>
      </w:r>
      <w:r w:rsidR="00255A7D" w:rsidRPr="00255A7D">
        <w:rPr>
          <w:rFonts w:cstheme="minorHAnsi"/>
          <w:sz w:val="24"/>
          <w:szCs w:val="24"/>
        </w:rPr>
        <w:t xml:space="preserve"> </w:t>
      </w:r>
      <w:r w:rsidR="00255A7D">
        <w:rPr>
          <w:rFonts w:cstheme="minorHAnsi"/>
          <w:sz w:val="24"/>
          <w:szCs w:val="24"/>
        </w:rPr>
        <w:t>(Fisher’s exact test</w:t>
      </w:r>
      <w:r w:rsidR="00255A7D" w:rsidRPr="00255A7D">
        <w:rPr>
          <w:rFonts w:cstheme="minorHAnsi"/>
          <w:sz w:val="24"/>
          <w:szCs w:val="24"/>
        </w:rPr>
        <w:t xml:space="preserve"> </w:t>
      </w:r>
      <w:r w:rsidR="00255A7D" w:rsidRPr="00255A7D">
        <w:rPr>
          <w:rFonts w:cstheme="minorHAnsi"/>
          <w:i/>
          <w:iCs/>
          <w:sz w:val="24"/>
          <w:szCs w:val="24"/>
        </w:rPr>
        <w:t>p</w:t>
      </w:r>
      <w:r w:rsidR="00255A7D" w:rsidRPr="00255A7D">
        <w:rPr>
          <w:rFonts w:cstheme="minorHAnsi"/>
          <w:sz w:val="24"/>
          <w:szCs w:val="24"/>
        </w:rPr>
        <w:t xml:space="preserve"> &lt; .05) </w:t>
      </w:r>
      <w:r w:rsidR="00255A7D" w:rsidRPr="00255A7D">
        <w:rPr>
          <w:rFonts w:ascii="Calibri" w:hAnsi="Calibri" w:cs="Calibri"/>
          <w:sz w:val="24"/>
          <w:szCs w:val="24"/>
        </w:rPr>
        <w:t>and</w:t>
      </w:r>
      <w:r w:rsidR="00255A7D">
        <w:rPr>
          <w:rFonts w:ascii="Calibri" w:hAnsi="Calibri" w:cs="Calibri"/>
          <w:sz w:val="24"/>
          <w:szCs w:val="24"/>
        </w:rPr>
        <w:t xml:space="preserve"> “</w:t>
      </w:r>
      <w:r w:rsidR="00255A7D" w:rsidRPr="002C46D1">
        <w:rPr>
          <w:rFonts w:ascii="Calibri" w:hAnsi="Calibri" w:cs="Calibri"/>
          <w:sz w:val="24"/>
          <w:szCs w:val="24"/>
        </w:rPr>
        <w:t>p</w:t>
      </w:r>
      <w:r w:rsidR="00255A7D" w:rsidRPr="00255A7D">
        <w:rPr>
          <w:rFonts w:ascii="Calibri" w:hAnsi="Calibri" w:cs="Calibri"/>
          <w:sz w:val="24"/>
          <w:szCs w:val="24"/>
        </w:rPr>
        <w:t xml:space="preserve">rovide education about the types of educational materials that fall within the scope for NIMAS” </w:t>
      </w:r>
      <w:r w:rsidR="00255A7D" w:rsidRPr="00255A7D">
        <w:rPr>
          <w:rFonts w:cstheme="minorHAnsi"/>
          <w:sz w:val="24"/>
          <w:szCs w:val="24"/>
        </w:rPr>
        <w:t>(</w:t>
      </w:r>
      <w:r w:rsidR="00255A7D">
        <w:rPr>
          <w:rFonts w:cstheme="minorHAnsi"/>
          <w:sz w:val="24"/>
          <w:szCs w:val="24"/>
        </w:rPr>
        <w:t xml:space="preserve">Fisher’s exact test </w:t>
      </w:r>
      <w:r w:rsidR="00255A7D" w:rsidRPr="00255A7D">
        <w:rPr>
          <w:rFonts w:cstheme="minorHAnsi"/>
          <w:i/>
          <w:iCs/>
          <w:sz w:val="24"/>
          <w:szCs w:val="24"/>
        </w:rPr>
        <w:t>p</w:t>
      </w:r>
      <w:r w:rsidR="00255A7D" w:rsidRPr="00255A7D">
        <w:rPr>
          <w:rFonts w:cstheme="minorHAnsi"/>
          <w:sz w:val="24"/>
          <w:szCs w:val="24"/>
        </w:rPr>
        <w:t xml:space="preserve"> &lt; .05</w:t>
      </w:r>
      <w:r w:rsidR="002F2D4C">
        <w:rPr>
          <w:rFonts w:cstheme="minorHAnsi"/>
          <w:sz w:val="24"/>
          <w:szCs w:val="24"/>
        </w:rPr>
        <w:t xml:space="preserve">; </w:t>
      </w:r>
      <w:r w:rsidR="002F2D4C" w:rsidRPr="00255A7D">
        <w:rPr>
          <w:rFonts w:cstheme="minorHAnsi"/>
          <w:sz w:val="24"/>
          <w:szCs w:val="24"/>
        </w:rPr>
        <w:t xml:space="preserve">see Figure </w:t>
      </w:r>
      <w:r w:rsidR="00CB6034">
        <w:rPr>
          <w:rFonts w:cstheme="minorHAnsi"/>
          <w:sz w:val="24"/>
          <w:szCs w:val="24"/>
        </w:rPr>
        <w:t>40</w:t>
      </w:r>
      <w:r w:rsidR="00255A7D" w:rsidRPr="00255A7D">
        <w:rPr>
          <w:rFonts w:cstheme="minorHAnsi"/>
          <w:sz w:val="24"/>
          <w:szCs w:val="24"/>
        </w:rPr>
        <w:t>)</w:t>
      </w:r>
      <w:r w:rsidR="00255A7D" w:rsidRPr="00255A7D">
        <w:rPr>
          <w:rFonts w:ascii="Calibri" w:hAnsi="Calibri" w:cs="Calibri"/>
          <w:sz w:val="24"/>
          <w:szCs w:val="24"/>
        </w:rPr>
        <w:t>, as well as “Trainings with General Education Departments</w:t>
      </w:r>
      <w:r w:rsidR="00255A7D" w:rsidRPr="002C46D1">
        <w:rPr>
          <w:rFonts w:ascii="Calibri" w:hAnsi="Calibri" w:cs="Calibri"/>
          <w:sz w:val="24"/>
          <w:szCs w:val="24"/>
        </w:rPr>
        <w:t xml:space="preserve"> and Special Education Departments to improve collaboration</w:t>
      </w:r>
      <w:r w:rsidR="00255A7D">
        <w:rPr>
          <w:rFonts w:ascii="Calibri" w:hAnsi="Calibri" w:cs="Calibri"/>
          <w:sz w:val="24"/>
          <w:szCs w:val="24"/>
        </w:rPr>
        <w:t xml:space="preserve">” </w:t>
      </w:r>
      <w:r w:rsidR="00255A7D">
        <w:rPr>
          <w:rFonts w:cstheme="minorHAnsi"/>
          <w:sz w:val="24"/>
          <w:szCs w:val="24"/>
        </w:rPr>
        <w:t>(Fisher’s exact test</w:t>
      </w:r>
      <w:r w:rsidR="00255A7D" w:rsidRPr="00255A7D">
        <w:rPr>
          <w:rFonts w:cstheme="minorHAnsi"/>
          <w:sz w:val="24"/>
          <w:szCs w:val="24"/>
        </w:rPr>
        <w:t xml:space="preserve"> </w:t>
      </w:r>
      <w:r w:rsidR="00255A7D" w:rsidRPr="00255A7D">
        <w:rPr>
          <w:rFonts w:cstheme="minorHAnsi"/>
          <w:i/>
          <w:iCs/>
          <w:sz w:val="24"/>
          <w:szCs w:val="24"/>
        </w:rPr>
        <w:t>p</w:t>
      </w:r>
      <w:r w:rsidR="00255A7D" w:rsidRPr="00255A7D">
        <w:rPr>
          <w:rFonts w:cstheme="minorHAnsi"/>
          <w:sz w:val="24"/>
          <w:szCs w:val="24"/>
        </w:rPr>
        <w:t xml:space="preserve"> &lt; .05; see Figure </w:t>
      </w:r>
      <w:r w:rsidR="00CB6034">
        <w:rPr>
          <w:rFonts w:cstheme="minorHAnsi"/>
          <w:sz w:val="24"/>
          <w:szCs w:val="24"/>
        </w:rPr>
        <w:t>41</w:t>
      </w:r>
      <w:r w:rsidR="00255A7D" w:rsidRPr="00255A7D">
        <w:rPr>
          <w:rFonts w:cstheme="minorHAnsi"/>
          <w:sz w:val="24"/>
          <w:szCs w:val="24"/>
        </w:rPr>
        <w:t>)</w:t>
      </w:r>
      <w:r w:rsidR="00255A7D">
        <w:rPr>
          <w:rFonts w:cstheme="minorHAnsi"/>
          <w:sz w:val="24"/>
          <w:szCs w:val="24"/>
        </w:rPr>
        <w:t>.</w:t>
      </w:r>
      <w:r w:rsidR="003B4067">
        <w:rPr>
          <w:rFonts w:cstheme="minorHAnsi"/>
          <w:sz w:val="24"/>
          <w:szCs w:val="24"/>
        </w:rPr>
        <w:t xml:space="preserve"> </w:t>
      </w:r>
      <w:r w:rsidR="00145AA4">
        <w:rPr>
          <w:rFonts w:cstheme="minorHAnsi"/>
          <w:sz w:val="24"/>
          <w:szCs w:val="24"/>
        </w:rPr>
        <w:t xml:space="preserve">In addition, NIMAC Users were more likely to endorse trainings with SEA/LEA procurement staff to </w:t>
      </w:r>
      <w:r w:rsidR="00145AA4">
        <w:rPr>
          <w:rFonts w:ascii="Calibri" w:hAnsi="Calibri" w:cs="Calibri"/>
          <w:sz w:val="24"/>
          <w:szCs w:val="24"/>
        </w:rPr>
        <w:t>“</w:t>
      </w:r>
      <w:r w:rsidR="00145AA4" w:rsidRPr="002C46D1">
        <w:rPr>
          <w:rFonts w:ascii="Calibri" w:hAnsi="Calibri" w:cs="Calibri"/>
          <w:sz w:val="24"/>
          <w:szCs w:val="24"/>
        </w:rPr>
        <w:t xml:space="preserve">increase awareness of the importance of including the NIMAS requirement in procurement </w:t>
      </w:r>
      <w:r w:rsidR="00145AA4" w:rsidRPr="00255A7D">
        <w:rPr>
          <w:rFonts w:ascii="Calibri" w:hAnsi="Calibri" w:cs="Calibri"/>
          <w:sz w:val="24"/>
          <w:szCs w:val="24"/>
        </w:rPr>
        <w:t>contracts”</w:t>
      </w:r>
      <w:r w:rsidR="00145AA4">
        <w:rPr>
          <w:rFonts w:ascii="Calibri" w:hAnsi="Calibri" w:cs="Calibri"/>
          <w:sz w:val="24"/>
          <w:szCs w:val="24"/>
        </w:rPr>
        <w:t xml:space="preserve"> (90%; </w:t>
      </w:r>
      <w:r w:rsidR="00145AA4">
        <w:rPr>
          <w:rFonts w:ascii="Calibri" w:hAnsi="Calibri" w:cs="Calibri"/>
          <w:i/>
          <w:iCs/>
          <w:sz w:val="24"/>
          <w:szCs w:val="24"/>
        </w:rPr>
        <w:t xml:space="preserve">n </w:t>
      </w:r>
      <w:r w:rsidR="00145AA4">
        <w:rPr>
          <w:rFonts w:ascii="Calibri" w:hAnsi="Calibri" w:cs="Calibri"/>
          <w:sz w:val="24"/>
          <w:szCs w:val="24"/>
        </w:rPr>
        <w:t xml:space="preserve">= 29; </w:t>
      </w:r>
      <w:r w:rsidR="00145AA4" w:rsidRPr="00BF74BD">
        <w:rPr>
          <w:rFonts w:cstheme="minorHAnsi"/>
          <w:sz w:val="24"/>
          <w:szCs w:val="24"/>
        </w:rPr>
        <w:sym w:font="Symbol" w:char="F063"/>
      </w:r>
      <w:r w:rsidR="00145AA4" w:rsidRPr="00BF74BD">
        <w:rPr>
          <w:rFonts w:cstheme="minorHAnsi"/>
          <w:sz w:val="24"/>
          <w:szCs w:val="24"/>
          <w:vertAlign w:val="superscript"/>
        </w:rPr>
        <w:t>2</w:t>
      </w:r>
      <w:r w:rsidR="00145AA4" w:rsidRPr="00BF74BD">
        <w:rPr>
          <w:rFonts w:cstheme="minorHAnsi"/>
          <w:sz w:val="24"/>
          <w:szCs w:val="24"/>
        </w:rPr>
        <w:t>(</w:t>
      </w:r>
      <w:r w:rsidR="00145AA4">
        <w:rPr>
          <w:rFonts w:cstheme="minorHAnsi"/>
          <w:sz w:val="24"/>
          <w:szCs w:val="24"/>
        </w:rPr>
        <w:t>1</w:t>
      </w:r>
      <w:r w:rsidR="00145AA4" w:rsidRPr="00BF74BD">
        <w:rPr>
          <w:rFonts w:cstheme="minorHAnsi"/>
          <w:sz w:val="24"/>
          <w:szCs w:val="24"/>
        </w:rPr>
        <w:t xml:space="preserve">) = </w:t>
      </w:r>
      <w:r w:rsidR="00145AA4">
        <w:rPr>
          <w:rFonts w:cstheme="minorHAnsi"/>
          <w:sz w:val="24"/>
          <w:szCs w:val="24"/>
        </w:rPr>
        <w:t>5.47</w:t>
      </w:r>
      <w:r w:rsidR="00145AA4" w:rsidRPr="00BF74BD">
        <w:rPr>
          <w:rFonts w:cstheme="minorHAnsi"/>
          <w:sz w:val="24"/>
          <w:szCs w:val="24"/>
        </w:rPr>
        <w:t xml:space="preserve">, </w:t>
      </w:r>
      <w:r w:rsidR="00145AA4" w:rsidRPr="00BF74BD">
        <w:rPr>
          <w:rFonts w:cstheme="minorHAnsi"/>
          <w:i/>
          <w:iCs/>
          <w:sz w:val="24"/>
          <w:szCs w:val="24"/>
        </w:rPr>
        <w:t>p</w:t>
      </w:r>
      <w:r w:rsidR="00145AA4" w:rsidRPr="00BF74BD">
        <w:rPr>
          <w:rFonts w:cstheme="minorHAnsi"/>
          <w:sz w:val="24"/>
          <w:szCs w:val="24"/>
        </w:rPr>
        <w:t xml:space="preserve"> &lt; .05</w:t>
      </w:r>
      <w:r w:rsidR="00145AA4">
        <w:rPr>
          <w:rFonts w:cstheme="minorHAnsi"/>
          <w:sz w:val="24"/>
          <w:szCs w:val="24"/>
        </w:rPr>
        <w:t xml:space="preserve">), </w:t>
      </w:r>
      <w:r w:rsidR="00145AA4">
        <w:rPr>
          <w:rFonts w:ascii="Calibri" w:hAnsi="Calibri" w:cs="Calibri"/>
          <w:sz w:val="24"/>
          <w:szCs w:val="24"/>
        </w:rPr>
        <w:t>“</w:t>
      </w:r>
      <w:r w:rsidR="00145AA4" w:rsidRPr="002C46D1">
        <w:rPr>
          <w:rFonts w:ascii="Calibri" w:hAnsi="Calibri" w:cs="Calibri"/>
          <w:sz w:val="24"/>
          <w:szCs w:val="24"/>
        </w:rPr>
        <w:t>Trainings with multiple stakeholder groups (e.g., instructional resource centers) about how to include the NIMAS requirement in procurement contracts</w:t>
      </w:r>
      <w:r w:rsidR="00145AA4">
        <w:rPr>
          <w:rFonts w:ascii="Calibri" w:hAnsi="Calibri" w:cs="Calibri"/>
          <w:sz w:val="24"/>
          <w:szCs w:val="24"/>
        </w:rPr>
        <w:t>”</w:t>
      </w:r>
      <w:r w:rsidR="00145AA4" w:rsidRPr="003B4067">
        <w:rPr>
          <w:rFonts w:ascii="Calibri" w:hAnsi="Calibri" w:cs="Calibri"/>
          <w:sz w:val="24"/>
          <w:szCs w:val="24"/>
        </w:rPr>
        <w:t xml:space="preserve"> </w:t>
      </w:r>
      <w:r w:rsidR="00145AA4">
        <w:rPr>
          <w:rFonts w:ascii="Calibri" w:hAnsi="Calibri" w:cs="Calibri"/>
          <w:sz w:val="24"/>
          <w:szCs w:val="24"/>
        </w:rPr>
        <w:t xml:space="preserve">(69%; </w:t>
      </w:r>
      <w:r w:rsidR="00145AA4">
        <w:rPr>
          <w:rFonts w:ascii="Calibri" w:hAnsi="Calibri" w:cs="Calibri"/>
          <w:i/>
          <w:iCs/>
          <w:sz w:val="24"/>
          <w:szCs w:val="24"/>
        </w:rPr>
        <w:t xml:space="preserve">n </w:t>
      </w:r>
      <w:r w:rsidR="00145AA4">
        <w:rPr>
          <w:rFonts w:ascii="Calibri" w:hAnsi="Calibri" w:cs="Calibri"/>
          <w:sz w:val="24"/>
          <w:szCs w:val="24"/>
        </w:rPr>
        <w:t xml:space="preserve">= 29; </w:t>
      </w:r>
      <w:r w:rsidR="00145AA4" w:rsidRPr="00BF74BD">
        <w:rPr>
          <w:rFonts w:cstheme="minorHAnsi"/>
          <w:sz w:val="24"/>
          <w:szCs w:val="24"/>
        </w:rPr>
        <w:sym w:font="Symbol" w:char="F063"/>
      </w:r>
      <w:r w:rsidR="00145AA4" w:rsidRPr="00BF74BD">
        <w:rPr>
          <w:rFonts w:cstheme="minorHAnsi"/>
          <w:sz w:val="24"/>
          <w:szCs w:val="24"/>
          <w:vertAlign w:val="superscript"/>
        </w:rPr>
        <w:t>2</w:t>
      </w:r>
      <w:r w:rsidR="00145AA4" w:rsidRPr="00BF74BD">
        <w:rPr>
          <w:rFonts w:cstheme="minorHAnsi"/>
          <w:sz w:val="24"/>
          <w:szCs w:val="24"/>
        </w:rPr>
        <w:t>(</w:t>
      </w:r>
      <w:r w:rsidR="00145AA4">
        <w:rPr>
          <w:rFonts w:cstheme="minorHAnsi"/>
          <w:sz w:val="24"/>
          <w:szCs w:val="24"/>
        </w:rPr>
        <w:t>1</w:t>
      </w:r>
      <w:r w:rsidR="00145AA4" w:rsidRPr="00BF74BD">
        <w:rPr>
          <w:rFonts w:cstheme="minorHAnsi"/>
          <w:sz w:val="24"/>
          <w:szCs w:val="24"/>
        </w:rPr>
        <w:t xml:space="preserve">) = </w:t>
      </w:r>
      <w:r w:rsidR="00145AA4">
        <w:rPr>
          <w:rFonts w:cstheme="minorHAnsi"/>
          <w:sz w:val="24"/>
          <w:szCs w:val="24"/>
        </w:rPr>
        <w:t>3.98</w:t>
      </w:r>
      <w:r w:rsidR="00145AA4" w:rsidRPr="00BF74BD">
        <w:rPr>
          <w:rFonts w:cstheme="minorHAnsi"/>
          <w:sz w:val="24"/>
          <w:szCs w:val="24"/>
        </w:rPr>
        <w:t xml:space="preserve">, </w:t>
      </w:r>
      <w:r w:rsidR="00145AA4" w:rsidRPr="00BF74BD">
        <w:rPr>
          <w:rFonts w:cstheme="minorHAnsi"/>
          <w:i/>
          <w:iCs/>
          <w:sz w:val="24"/>
          <w:szCs w:val="24"/>
        </w:rPr>
        <w:t>p</w:t>
      </w:r>
      <w:r w:rsidR="00145AA4" w:rsidRPr="00BF74BD">
        <w:rPr>
          <w:rFonts w:cstheme="minorHAnsi"/>
          <w:sz w:val="24"/>
          <w:szCs w:val="24"/>
        </w:rPr>
        <w:t xml:space="preserve"> &lt; .05</w:t>
      </w:r>
      <w:r w:rsidR="00145AA4">
        <w:rPr>
          <w:rFonts w:cstheme="minorHAnsi"/>
          <w:sz w:val="24"/>
          <w:szCs w:val="24"/>
        </w:rPr>
        <w:t xml:space="preserve">), and </w:t>
      </w:r>
      <w:r w:rsidR="00145AA4">
        <w:rPr>
          <w:rFonts w:ascii="Calibri" w:hAnsi="Calibri" w:cs="Calibri"/>
          <w:sz w:val="24"/>
          <w:szCs w:val="24"/>
        </w:rPr>
        <w:t>“</w:t>
      </w:r>
      <w:r w:rsidR="00145AA4" w:rsidRPr="002C46D1">
        <w:rPr>
          <w:rFonts w:ascii="Calibri" w:hAnsi="Calibri" w:cs="Calibri"/>
          <w:sz w:val="24"/>
          <w:szCs w:val="24"/>
        </w:rPr>
        <w:t>Providing educational materials about the NIMAC and the NIMAS requirement that can be incorporated into onboarding materials for new SEA/LEA procurement staff</w:t>
      </w:r>
      <w:r w:rsidR="00145AA4">
        <w:rPr>
          <w:rFonts w:ascii="Calibri" w:hAnsi="Calibri" w:cs="Calibri"/>
          <w:sz w:val="24"/>
          <w:szCs w:val="24"/>
        </w:rPr>
        <w:t xml:space="preserve">” (86%; </w:t>
      </w:r>
      <w:r w:rsidR="00145AA4">
        <w:rPr>
          <w:rFonts w:ascii="Calibri" w:hAnsi="Calibri" w:cs="Calibri"/>
          <w:i/>
          <w:iCs/>
          <w:sz w:val="24"/>
          <w:szCs w:val="24"/>
        </w:rPr>
        <w:t xml:space="preserve">n </w:t>
      </w:r>
      <w:r w:rsidR="00145AA4">
        <w:rPr>
          <w:rFonts w:ascii="Calibri" w:hAnsi="Calibri" w:cs="Calibri"/>
          <w:sz w:val="24"/>
          <w:szCs w:val="24"/>
        </w:rPr>
        <w:t xml:space="preserve">= 29; </w:t>
      </w:r>
      <w:r w:rsidR="00145AA4" w:rsidRPr="00BF74BD">
        <w:rPr>
          <w:rFonts w:cstheme="minorHAnsi"/>
          <w:sz w:val="24"/>
          <w:szCs w:val="24"/>
        </w:rPr>
        <w:sym w:font="Symbol" w:char="F063"/>
      </w:r>
      <w:r w:rsidR="00145AA4" w:rsidRPr="00BF74BD">
        <w:rPr>
          <w:rFonts w:cstheme="minorHAnsi"/>
          <w:sz w:val="24"/>
          <w:szCs w:val="24"/>
          <w:vertAlign w:val="superscript"/>
        </w:rPr>
        <w:t>2</w:t>
      </w:r>
      <w:r w:rsidR="00145AA4" w:rsidRPr="00BF74BD">
        <w:rPr>
          <w:rFonts w:cstheme="minorHAnsi"/>
          <w:sz w:val="24"/>
          <w:szCs w:val="24"/>
        </w:rPr>
        <w:t>(</w:t>
      </w:r>
      <w:r w:rsidR="00145AA4">
        <w:rPr>
          <w:rFonts w:cstheme="minorHAnsi"/>
          <w:sz w:val="24"/>
          <w:szCs w:val="24"/>
        </w:rPr>
        <w:t>1</w:t>
      </w:r>
      <w:r w:rsidR="00145AA4" w:rsidRPr="00BF74BD">
        <w:rPr>
          <w:rFonts w:cstheme="minorHAnsi"/>
          <w:sz w:val="24"/>
          <w:szCs w:val="24"/>
        </w:rPr>
        <w:t xml:space="preserve">) = </w:t>
      </w:r>
      <w:r w:rsidR="00145AA4">
        <w:rPr>
          <w:rFonts w:cstheme="minorHAnsi"/>
          <w:sz w:val="24"/>
          <w:szCs w:val="24"/>
        </w:rPr>
        <w:t>8.81</w:t>
      </w:r>
      <w:r w:rsidR="00145AA4" w:rsidRPr="00BF74BD">
        <w:rPr>
          <w:rFonts w:cstheme="minorHAnsi"/>
          <w:sz w:val="24"/>
          <w:szCs w:val="24"/>
        </w:rPr>
        <w:t xml:space="preserve">, </w:t>
      </w:r>
      <w:r w:rsidR="00145AA4" w:rsidRPr="00BF74BD">
        <w:rPr>
          <w:rFonts w:cstheme="minorHAnsi"/>
          <w:i/>
          <w:iCs/>
          <w:sz w:val="24"/>
          <w:szCs w:val="24"/>
        </w:rPr>
        <w:t>p</w:t>
      </w:r>
      <w:r w:rsidR="00145AA4" w:rsidRPr="00BF74BD">
        <w:rPr>
          <w:rFonts w:cstheme="minorHAnsi"/>
          <w:sz w:val="24"/>
          <w:szCs w:val="24"/>
        </w:rPr>
        <w:t xml:space="preserve"> &lt; .05</w:t>
      </w:r>
      <w:r w:rsidR="00145AA4">
        <w:rPr>
          <w:rFonts w:cstheme="minorHAnsi"/>
          <w:sz w:val="24"/>
          <w:szCs w:val="24"/>
        </w:rPr>
        <w:t xml:space="preserve">) compared to respondents who were not NIMAC Users (68%, 48%, and 56%, respectively; </w:t>
      </w:r>
      <w:r w:rsidR="00145AA4">
        <w:rPr>
          <w:rFonts w:cstheme="minorHAnsi"/>
          <w:i/>
          <w:iCs/>
          <w:sz w:val="24"/>
          <w:szCs w:val="24"/>
        </w:rPr>
        <w:t>n</w:t>
      </w:r>
      <w:r w:rsidR="00145AA4">
        <w:rPr>
          <w:rFonts w:cstheme="minorHAnsi"/>
          <w:sz w:val="24"/>
          <w:szCs w:val="24"/>
        </w:rPr>
        <w:t xml:space="preserve"> = 112). These findings suggest that </w:t>
      </w:r>
      <w:r w:rsidR="00DD7C5B">
        <w:rPr>
          <w:rFonts w:cstheme="minorHAnsi"/>
          <w:sz w:val="24"/>
          <w:szCs w:val="24"/>
        </w:rPr>
        <w:t xml:space="preserve">IMC/IRC staff and NIMAC Users are more likely to recognize the </w:t>
      </w:r>
      <w:r w:rsidR="001B2A18">
        <w:rPr>
          <w:rFonts w:cstheme="minorHAnsi"/>
          <w:sz w:val="24"/>
          <w:szCs w:val="24"/>
        </w:rPr>
        <w:t xml:space="preserve">potential </w:t>
      </w:r>
      <w:r w:rsidR="00DD7C5B">
        <w:rPr>
          <w:rFonts w:cstheme="minorHAnsi"/>
          <w:sz w:val="24"/>
          <w:szCs w:val="24"/>
        </w:rPr>
        <w:t>benefits of additional trainings and educational materials related to the NIMAC</w:t>
      </w:r>
      <w:r w:rsidR="001B2A18">
        <w:rPr>
          <w:rFonts w:cstheme="minorHAnsi"/>
          <w:sz w:val="24"/>
          <w:szCs w:val="24"/>
        </w:rPr>
        <w:t xml:space="preserve"> and NIMAS files. </w:t>
      </w:r>
    </w:p>
    <w:p w14:paraId="0A28031F" w14:textId="77777777" w:rsidR="00255A7D" w:rsidRDefault="00255A7D" w:rsidP="002E4A9D">
      <w:pPr>
        <w:pStyle w:val="Heading3"/>
        <w:rPr>
          <w:rFonts w:cs="Calibri"/>
          <w:smallCaps/>
          <w:color w:val="44546A" w:themeColor="text2"/>
        </w:rPr>
        <w:sectPr w:rsidR="00255A7D" w:rsidSect="001024A1">
          <w:footerReference w:type="default" r:id="rId48"/>
          <w:pgSz w:w="12240" w:h="15840"/>
          <w:pgMar w:top="1440" w:right="1440" w:bottom="1440" w:left="1440" w:header="720" w:footer="720" w:gutter="0"/>
          <w:pgNumType w:start="0"/>
          <w:cols w:space="720"/>
          <w:titlePg/>
          <w:docGrid w:linePitch="360"/>
        </w:sectPr>
      </w:pPr>
    </w:p>
    <w:p w14:paraId="6C35202C" w14:textId="14D155C0" w:rsidR="00255A7D" w:rsidRPr="00B03A7B" w:rsidRDefault="00255A7D" w:rsidP="004946C3">
      <w:pPr>
        <w:pStyle w:val="Heading4"/>
      </w:pPr>
      <w:bookmarkStart w:id="97" w:name="_Toc222904043"/>
      <w:r w:rsidRPr="00B03A7B">
        <w:lastRenderedPageBreak/>
        <w:t xml:space="preserve">Figure </w:t>
      </w:r>
      <w:r w:rsidR="00CB6034">
        <w:t>40</w:t>
      </w:r>
      <w:r w:rsidRPr="00B03A7B">
        <w:t>. Strategies to Help SEAs and LEAs Consistently Include the NIMAS Requirement in Procurement Contracts</w:t>
      </w:r>
      <w:r w:rsidR="00CC2436">
        <w:t xml:space="preserve">: Differences by </w:t>
      </w:r>
      <w:r w:rsidR="00791B4F">
        <w:t>Role</w:t>
      </w:r>
      <w:r w:rsidR="00CC2436">
        <w:t xml:space="preserve"> (Part 1)</w:t>
      </w:r>
      <w:r w:rsidR="00B55C67">
        <w:rPr>
          <w:rFonts w:ascii="ZWAdobeF" w:hAnsi="ZWAdobeF" w:cs="ZWAdobeF"/>
          <w:i w:val="0"/>
          <w:color w:val="auto"/>
          <w:sz w:val="2"/>
          <w:szCs w:val="2"/>
        </w:rPr>
        <w:t>79F</w:t>
      </w:r>
      <w:r w:rsidRPr="00B03A7B">
        <w:rPr>
          <w:rStyle w:val="FootnoteReference"/>
          <w:rFonts w:cs="Calibri"/>
          <w:smallCaps/>
          <w:color w:val="44546A" w:themeColor="text2"/>
        </w:rPr>
        <w:footnoteReference w:id="81"/>
      </w:r>
      <w:bookmarkEnd w:id="97"/>
      <w:r w:rsidRPr="00B03A7B">
        <w:t xml:space="preserve"> </w:t>
      </w:r>
    </w:p>
    <w:p w14:paraId="64373BCB" w14:textId="40DD4285" w:rsidR="00730E86" w:rsidRPr="00730E86" w:rsidRDefault="00B55C67" w:rsidP="00993194">
      <w:pPr>
        <w:spacing w:line="276" w:lineRule="auto"/>
        <w:jc w:val="center"/>
        <w:rPr>
          <w:color w:val="000000" w:themeColor="text1"/>
        </w:rPr>
      </w:pPr>
      <w:r>
        <w:rPr>
          <w:rFonts w:ascii="ZWAdobeF" w:hAnsi="ZWAdobeF" w:cs="ZWAdobeF"/>
          <w:sz w:val="2"/>
          <w:szCs w:val="2"/>
        </w:rPr>
        <w:t>249</w:t>
      </w:r>
      <w:proofErr w:type="gramStart"/>
      <w:r>
        <w:rPr>
          <w:rFonts w:ascii="ZWAdobeF" w:hAnsi="ZWAdobeF" w:cs="ZWAdobeF"/>
          <w:sz w:val="2"/>
          <w:szCs w:val="2"/>
        </w:rPr>
        <w:t>B</w:t>
      </w:r>
      <w:r w:rsidR="00255A7D" w:rsidRPr="0004353F">
        <w:rPr>
          <w:color w:val="000000" w:themeColor="text1"/>
        </w:rPr>
        <w:t>(</w:t>
      </w:r>
      <w:proofErr w:type="gramEnd"/>
      <w:r w:rsidR="00255A7D" w:rsidRPr="0004353F">
        <w:rPr>
          <w:i/>
          <w:iCs/>
          <w:color w:val="000000" w:themeColor="text1"/>
        </w:rPr>
        <w:t>n</w:t>
      </w:r>
      <w:r w:rsidR="00255A7D" w:rsidRPr="0004353F">
        <w:rPr>
          <w:color w:val="000000" w:themeColor="text1"/>
        </w:rPr>
        <w:t xml:space="preserve"> = 141)</w:t>
      </w:r>
    </w:p>
    <w:p w14:paraId="6CDC4FF4" w14:textId="66A7726A" w:rsidR="00F657D0" w:rsidRPr="009A2D28" w:rsidRDefault="00B55C67" w:rsidP="00F657D0">
      <w:pPr>
        <w:spacing w:after="0" w:line="276" w:lineRule="auto"/>
        <w:rPr>
          <w:rFonts w:ascii="Times New Roman" w:hAnsi="Times New Roman" w:cs="Times New Roman"/>
          <w:sz w:val="24"/>
          <w:szCs w:val="24"/>
          <w:highlight w:val="yellow"/>
        </w:rPr>
      </w:pPr>
      <w:r>
        <w:rPr>
          <w:rFonts w:ascii="ZWAdobeF" w:hAnsi="ZWAdobeF" w:cs="ZWAdobeF"/>
          <w:sz w:val="2"/>
          <w:szCs w:val="2"/>
          <w:highlight w:val="yellow"/>
        </w:rPr>
        <w:t>250B</w:t>
      </w:r>
      <w:r w:rsidR="00255A7D" w:rsidRPr="00012B18">
        <w:rPr>
          <w:rFonts w:ascii="Times New Roman" w:hAnsi="Times New Roman" w:cs="Times New Roman"/>
          <w:b/>
          <w:noProof/>
          <w:color w:val="0070C0"/>
        </w:rPr>
        <w:drawing>
          <wp:inline distT="0" distB="0" distL="0" distR="0" wp14:anchorId="3A2FAD8C" wp14:editId="145DE4CE">
            <wp:extent cx="6188710" cy="4144810"/>
            <wp:effectExtent l="0" t="0" r="2540" b="8255"/>
            <wp:docPr id="237611081" name="Chart 3" descr="Figure 40 is a grouped bar chart showing differences by role in strategies to help SEAs and LEAs consistently include the NIMAS requirement in procurement contracts (n = 141). For trainings with SEA or LEA procurement staff to increase awareness of the importance of including the NIMAS requirement, 71% of LEA/ESD, regional, and cooperative staff (n = 68); 70% of school staff (n = 40); 100% of IMR/IRC staff (n = 11); 63% of SEA staff (n = 16); and 83% of AMPs, publishers, and vendors (n = 6) endorsed this strategy. For trainings with SEA or LEA procurement staff to provide education about the types of educational materials that fall within scope for NIMAS, 74% of LEA/ESD, regional, and cooperative staff; 68% of school staff; 100% of IMR/IRC staff; 63% of SEA staff; and 67% of AMPs, publishers, and vendors endorsed this strategy. Asterisks indicate statistically significant differences for IMR/IRC staff for both types of trainings."/>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14:paraId="4C76D7D4" w14:textId="77777777" w:rsidR="00A62E43" w:rsidRDefault="00A62E43" w:rsidP="00F657D0">
      <w:pPr>
        <w:spacing w:after="0" w:line="276" w:lineRule="auto"/>
        <w:rPr>
          <w:rFonts w:cstheme="minorHAnsi"/>
          <w:sz w:val="24"/>
          <w:szCs w:val="24"/>
        </w:rPr>
      </w:pPr>
    </w:p>
    <w:p w14:paraId="38433AA2" w14:textId="77777777" w:rsidR="00576D4C" w:rsidRDefault="00576D4C">
      <w:pPr>
        <w:rPr>
          <w:rFonts w:ascii="Calibri" w:eastAsiaTheme="majorEastAsia" w:hAnsi="Calibri" w:cs="Calibri"/>
          <w:smallCaps/>
          <w:color w:val="44546A" w:themeColor="text2"/>
          <w:sz w:val="24"/>
          <w:szCs w:val="24"/>
        </w:rPr>
      </w:pPr>
      <w:r>
        <w:rPr>
          <w:rFonts w:ascii="Calibri" w:hAnsi="Calibri" w:cs="Calibri"/>
          <w:smallCaps/>
          <w:color w:val="44546A" w:themeColor="text2"/>
        </w:rPr>
        <w:br w:type="page"/>
      </w:r>
    </w:p>
    <w:p w14:paraId="44B5ACCC" w14:textId="3DD3768D" w:rsidR="00CC2436" w:rsidRDefault="00CC2436" w:rsidP="004946C3">
      <w:pPr>
        <w:pStyle w:val="Heading4"/>
      </w:pPr>
      <w:bookmarkStart w:id="98" w:name="_Toc222904044"/>
      <w:r w:rsidRPr="00B03A7B">
        <w:lastRenderedPageBreak/>
        <w:t xml:space="preserve">Figure </w:t>
      </w:r>
      <w:r w:rsidR="00CB6034">
        <w:t>41</w:t>
      </w:r>
      <w:r w:rsidRPr="00B03A7B">
        <w:t>. Strategies to Help SEAs and LEAs Consistently Include the NIMAS Requirement in Procurement Contracts</w:t>
      </w:r>
      <w:r>
        <w:t xml:space="preserve">: Differences by </w:t>
      </w:r>
      <w:r w:rsidR="00791B4F">
        <w:t>Role</w:t>
      </w:r>
      <w:r>
        <w:t xml:space="preserve"> (</w:t>
      </w:r>
      <w:r w:rsidR="00791B4F">
        <w:t>Part</w:t>
      </w:r>
      <w:r>
        <w:t xml:space="preserve"> 2)</w:t>
      </w:r>
      <w:r w:rsidR="00B55C67">
        <w:rPr>
          <w:rFonts w:ascii="ZWAdobeF" w:hAnsi="ZWAdobeF" w:cs="ZWAdobeF"/>
          <w:i w:val="0"/>
          <w:color w:val="auto"/>
          <w:sz w:val="2"/>
          <w:szCs w:val="2"/>
        </w:rPr>
        <w:t>80F</w:t>
      </w:r>
      <w:r w:rsidRPr="00B03A7B">
        <w:rPr>
          <w:rStyle w:val="FootnoteReference"/>
          <w:rFonts w:cs="Calibri"/>
          <w:smallCaps/>
          <w:color w:val="44546A" w:themeColor="text2"/>
        </w:rPr>
        <w:footnoteReference w:id="82"/>
      </w:r>
      <w:bookmarkEnd w:id="98"/>
      <w:r w:rsidRPr="00B03A7B">
        <w:t xml:space="preserve"> </w:t>
      </w:r>
    </w:p>
    <w:p w14:paraId="13940BCB" w14:textId="31536070" w:rsidR="00993194" w:rsidRPr="00993194" w:rsidRDefault="00B55C67" w:rsidP="00993194">
      <w:pPr>
        <w:jc w:val="center"/>
      </w:pPr>
      <w:r>
        <w:rPr>
          <w:rFonts w:ascii="ZWAdobeF" w:hAnsi="ZWAdobeF" w:cs="ZWAdobeF"/>
          <w:sz w:val="2"/>
          <w:szCs w:val="2"/>
        </w:rPr>
        <w:t>251</w:t>
      </w:r>
      <w:proofErr w:type="gramStart"/>
      <w:r>
        <w:rPr>
          <w:rFonts w:ascii="ZWAdobeF" w:hAnsi="ZWAdobeF" w:cs="ZWAdobeF"/>
          <w:sz w:val="2"/>
          <w:szCs w:val="2"/>
        </w:rPr>
        <w:t>B</w:t>
      </w:r>
      <w:r w:rsidR="00993194">
        <w:t>(</w:t>
      </w:r>
      <w:proofErr w:type="gramEnd"/>
      <w:r w:rsidR="00993194">
        <w:rPr>
          <w:i/>
          <w:iCs/>
        </w:rPr>
        <w:t>n</w:t>
      </w:r>
      <w:r w:rsidR="00993194">
        <w:t xml:space="preserve"> = 141)</w:t>
      </w:r>
    </w:p>
    <w:p w14:paraId="0F9B7F3B" w14:textId="4E3FF6DC" w:rsidR="00993194" w:rsidRDefault="00CC2436" w:rsidP="00993194">
      <w:pPr>
        <w:spacing w:after="0" w:line="276" w:lineRule="auto"/>
        <w:rPr>
          <w:color w:val="000000" w:themeColor="text1"/>
        </w:rPr>
      </w:pPr>
      <w:r w:rsidRPr="00012B18">
        <w:rPr>
          <w:rFonts w:ascii="Times New Roman" w:hAnsi="Times New Roman" w:cs="Times New Roman"/>
          <w:b/>
          <w:noProof/>
          <w:color w:val="0070C0"/>
        </w:rPr>
        <w:drawing>
          <wp:anchor distT="0" distB="0" distL="114300" distR="114300" simplePos="0" relativeHeight="251691008" behindDoc="0" locked="0" layoutInCell="1" allowOverlap="1" wp14:anchorId="7C1CDDD5" wp14:editId="62973C0B">
            <wp:simplePos x="0" y="0"/>
            <wp:positionH relativeFrom="column">
              <wp:posOffset>0</wp:posOffset>
            </wp:positionH>
            <wp:positionV relativeFrom="paragraph">
              <wp:posOffset>-96</wp:posOffset>
            </wp:positionV>
            <wp:extent cx="5659120" cy="3108960"/>
            <wp:effectExtent l="0" t="0" r="0" b="0"/>
            <wp:wrapTopAndBottom/>
            <wp:docPr id="128752144" name="Chart 3" descr="Figure 41 is a bar chart showing differences by role in endorsement of trainings with general education departments and special education departments to improve collaboration as a strategy to help SEAs and LEAs consistently include the NIMAS requirement in procurement contracts (n = 141). Sixty-six percent of LEA/ESD, regional, and cooperative staff (n = 68); 70% of school staff (n = 40); 100% of IMR/IRC staff (n = 11); 63% of SEA staff (n = 16); and 50% of AMPs, publishers, and vendors (n = 6) endorsed this strategy. An asterisk indicates a statistically significant difference for IMR/IRC staff."/>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anchor>
        </w:drawing>
      </w:r>
    </w:p>
    <w:p w14:paraId="5DB07E73" w14:textId="77777777" w:rsidR="006920AA" w:rsidRDefault="006920AA" w:rsidP="00993194">
      <w:pPr>
        <w:spacing w:after="0" w:line="276" w:lineRule="auto"/>
        <w:rPr>
          <w:rFonts w:cstheme="minorHAnsi"/>
          <w:sz w:val="24"/>
          <w:szCs w:val="24"/>
        </w:rPr>
      </w:pPr>
    </w:p>
    <w:p w14:paraId="5AF4329C" w14:textId="0BCC227A" w:rsidR="00F657D0" w:rsidRPr="00094582" w:rsidRDefault="00B55C67" w:rsidP="00993194">
      <w:pPr>
        <w:spacing w:after="0" w:line="276" w:lineRule="auto"/>
        <w:rPr>
          <w:rFonts w:cstheme="minorHAnsi"/>
          <w:sz w:val="24"/>
          <w:szCs w:val="24"/>
        </w:rPr>
      </w:pPr>
      <w:r>
        <w:rPr>
          <w:rFonts w:ascii="ZWAdobeF" w:hAnsi="ZWAdobeF" w:cs="ZWAdobeF"/>
          <w:sz w:val="2"/>
          <w:szCs w:val="2"/>
        </w:rPr>
        <w:t>252B</w:t>
      </w:r>
      <w:r w:rsidR="00F657D0" w:rsidRPr="00094582">
        <w:rPr>
          <w:rFonts w:cstheme="minorHAnsi"/>
          <w:sz w:val="24"/>
          <w:szCs w:val="24"/>
        </w:rPr>
        <w:t xml:space="preserve">To supplement quantitative findings, we obtained qualitative responses from interview participants and survey respondents. Interview participants were asked to </w:t>
      </w:r>
      <w:r w:rsidR="00D26A66">
        <w:rPr>
          <w:rFonts w:cstheme="minorHAnsi"/>
          <w:sz w:val="24"/>
          <w:szCs w:val="24"/>
        </w:rPr>
        <w:t>describe</w:t>
      </w:r>
      <w:r w:rsidR="00F657D0" w:rsidRPr="00094582">
        <w:rPr>
          <w:rFonts w:cstheme="minorHAnsi"/>
          <w:sz w:val="24"/>
          <w:szCs w:val="24"/>
        </w:rPr>
        <w:t xml:space="preserve"> practices that could help SEAs and LEAs consistently include the NIMAS requirement in procurement contracts for educational materials. Survey respondents were given the opportunity to </w:t>
      </w:r>
      <w:r w:rsidR="00C97102">
        <w:rPr>
          <w:rFonts w:cstheme="minorHAnsi"/>
          <w:sz w:val="24"/>
          <w:szCs w:val="24"/>
        </w:rPr>
        <w:t xml:space="preserve">suggest other practices and </w:t>
      </w:r>
      <w:r w:rsidR="00F657D0" w:rsidRPr="00094582">
        <w:rPr>
          <w:rFonts w:cstheme="minorHAnsi"/>
          <w:sz w:val="24"/>
          <w:szCs w:val="24"/>
        </w:rPr>
        <w:t xml:space="preserve">to explain their selections. </w:t>
      </w:r>
    </w:p>
    <w:p w14:paraId="654664F5" w14:textId="77777777" w:rsidR="00F657D0" w:rsidRPr="009A2D28" w:rsidRDefault="00F657D0" w:rsidP="00F657D0">
      <w:pPr>
        <w:spacing w:after="0" w:line="276" w:lineRule="auto"/>
        <w:rPr>
          <w:rFonts w:cstheme="minorHAnsi"/>
          <w:sz w:val="24"/>
          <w:szCs w:val="24"/>
          <w:highlight w:val="yellow"/>
        </w:rPr>
      </w:pPr>
    </w:p>
    <w:p w14:paraId="589C067C" w14:textId="640E8FF5" w:rsidR="00F657D0" w:rsidRDefault="00B55C67" w:rsidP="00F657D0">
      <w:pPr>
        <w:spacing w:after="0" w:line="276" w:lineRule="auto"/>
        <w:rPr>
          <w:rFonts w:cstheme="minorHAnsi"/>
          <w:sz w:val="24"/>
          <w:szCs w:val="24"/>
          <w:highlight w:val="yellow"/>
        </w:rPr>
      </w:pPr>
      <w:r>
        <w:rPr>
          <w:rFonts w:ascii="ZWAdobeF" w:hAnsi="ZWAdobeF" w:cs="ZWAdobeF"/>
          <w:sz w:val="2"/>
          <w:szCs w:val="2"/>
        </w:rPr>
        <w:t>253B</w:t>
      </w:r>
      <w:r w:rsidR="00F657D0" w:rsidRPr="00D521B6">
        <w:rPr>
          <w:rFonts w:cstheme="minorHAnsi"/>
          <w:sz w:val="24"/>
          <w:szCs w:val="24"/>
        </w:rPr>
        <w:t xml:space="preserve">Participants’ descriptions of strategies to help SEAs and LEAs consistently include the NIMAS requirement in procurement contracts are presented by theme in Table </w:t>
      </w:r>
      <w:r w:rsidR="00D26A66">
        <w:rPr>
          <w:rFonts w:cstheme="minorHAnsi"/>
          <w:sz w:val="24"/>
          <w:szCs w:val="24"/>
        </w:rPr>
        <w:t>1</w:t>
      </w:r>
      <w:r w:rsidR="006A6885">
        <w:rPr>
          <w:rFonts w:cstheme="minorHAnsi"/>
          <w:sz w:val="24"/>
          <w:szCs w:val="24"/>
        </w:rPr>
        <w:t>7</w:t>
      </w:r>
      <w:r w:rsidR="00F657D0" w:rsidRPr="00D521B6">
        <w:rPr>
          <w:rFonts w:cstheme="minorHAnsi"/>
          <w:sz w:val="24"/>
          <w:szCs w:val="24"/>
        </w:rPr>
        <w:t xml:space="preserve">. Three </w:t>
      </w:r>
      <w:r w:rsidR="00BE6682">
        <w:rPr>
          <w:rFonts w:cstheme="minorHAnsi"/>
          <w:sz w:val="24"/>
          <w:szCs w:val="24"/>
        </w:rPr>
        <w:t xml:space="preserve">strategies </w:t>
      </w:r>
      <w:r w:rsidR="00F657D0" w:rsidRPr="00D521B6">
        <w:rPr>
          <w:rFonts w:cstheme="minorHAnsi"/>
          <w:sz w:val="24"/>
          <w:szCs w:val="24"/>
        </w:rPr>
        <w:t xml:space="preserve">are consistent with </w:t>
      </w:r>
      <w:r w:rsidR="00BE6682">
        <w:rPr>
          <w:rFonts w:cstheme="minorHAnsi"/>
          <w:sz w:val="24"/>
          <w:szCs w:val="24"/>
        </w:rPr>
        <w:t>those</w:t>
      </w:r>
      <w:r w:rsidR="00BE6682" w:rsidRPr="00D521B6">
        <w:rPr>
          <w:rFonts w:cstheme="minorHAnsi"/>
          <w:sz w:val="24"/>
          <w:szCs w:val="24"/>
        </w:rPr>
        <w:t xml:space="preserve"> </w:t>
      </w:r>
      <w:r w:rsidR="00F657D0" w:rsidRPr="00D521B6">
        <w:rPr>
          <w:rFonts w:cstheme="minorHAnsi"/>
          <w:sz w:val="24"/>
          <w:szCs w:val="24"/>
        </w:rPr>
        <w:t>presented in the survey</w:t>
      </w:r>
      <w:r w:rsidR="00BE6682">
        <w:rPr>
          <w:rFonts w:cstheme="minorHAnsi"/>
          <w:sz w:val="24"/>
          <w:szCs w:val="24"/>
        </w:rPr>
        <w:t>, including</w:t>
      </w:r>
      <w:r w:rsidR="00F657D0" w:rsidRPr="00D521B6">
        <w:rPr>
          <w:rFonts w:cstheme="minorHAnsi"/>
          <w:sz w:val="24"/>
          <w:szCs w:val="24"/>
        </w:rPr>
        <w:t xml:space="preserve"> </w:t>
      </w:r>
      <w:r w:rsidR="00BE6682">
        <w:rPr>
          <w:rFonts w:cstheme="minorHAnsi"/>
          <w:sz w:val="24"/>
          <w:szCs w:val="24"/>
        </w:rPr>
        <w:t>t</w:t>
      </w:r>
      <w:r w:rsidR="00F657D0" w:rsidRPr="00D521B6">
        <w:rPr>
          <w:rFonts w:cstheme="minorHAnsi"/>
          <w:sz w:val="24"/>
          <w:szCs w:val="24"/>
        </w:rPr>
        <w:t xml:space="preserve">rainings to increase awareness </w:t>
      </w:r>
      <w:r w:rsidR="00F657D0">
        <w:rPr>
          <w:rFonts w:cstheme="minorHAnsi"/>
          <w:sz w:val="24"/>
          <w:szCs w:val="24"/>
        </w:rPr>
        <w:t xml:space="preserve">(11 excerpts), providing educational materials about NIMAS and the NIMAS requirement (5 excerpts), and creating a designated position to provide guidance and </w:t>
      </w:r>
      <w:r w:rsidR="00F9262A">
        <w:rPr>
          <w:rFonts w:cstheme="minorHAnsi"/>
          <w:sz w:val="24"/>
          <w:szCs w:val="24"/>
        </w:rPr>
        <w:t>TA</w:t>
      </w:r>
      <w:r w:rsidR="00F657D0">
        <w:rPr>
          <w:rFonts w:cstheme="minorHAnsi"/>
          <w:sz w:val="24"/>
          <w:szCs w:val="24"/>
        </w:rPr>
        <w:t xml:space="preserve"> (</w:t>
      </w:r>
      <w:r w:rsidR="00D26A66">
        <w:rPr>
          <w:rFonts w:cstheme="minorHAnsi"/>
          <w:sz w:val="24"/>
          <w:szCs w:val="24"/>
        </w:rPr>
        <w:t xml:space="preserve">5 </w:t>
      </w:r>
      <w:r w:rsidR="00F657D0">
        <w:rPr>
          <w:rFonts w:cstheme="minorHAnsi"/>
          <w:sz w:val="24"/>
          <w:szCs w:val="24"/>
        </w:rPr>
        <w:t xml:space="preserve">excerpts). </w:t>
      </w:r>
      <w:r w:rsidR="00BE6682">
        <w:rPr>
          <w:rFonts w:cstheme="minorHAnsi"/>
          <w:sz w:val="24"/>
          <w:szCs w:val="24"/>
        </w:rPr>
        <w:t>T</w:t>
      </w:r>
      <w:r w:rsidR="00F657D0">
        <w:rPr>
          <w:rFonts w:cstheme="minorHAnsi"/>
          <w:sz w:val="24"/>
          <w:szCs w:val="24"/>
        </w:rPr>
        <w:t>wo themes emerged from the qualitative data</w:t>
      </w:r>
      <w:r w:rsidR="00BE6682">
        <w:rPr>
          <w:rFonts w:cstheme="minorHAnsi"/>
          <w:sz w:val="24"/>
          <w:szCs w:val="24"/>
        </w:rPr>
        <w:t xml:space="preserve"> that were not presented in the survey</w:t>
      </w:r>
      <w:r w:rsidR="00F657D0">
        <w:rPr>
          <w:rFonts w:cstheme="minorHAnsi"/>
          <w:sz w:val="24"/>
          <w:szCs w:val="24"/>
        </w:rPr>
        <w:t xml:space="preserve">: </w:t>
      </w:r>
      <w:r w:rsidR="00BE6682">
        <w:rPr>
          <w:rFonts w:cstheme="minorHAnsi"/>
          <w:sz w:val="24"/>
          <w:szCs w:val="24"/>
        </w:rPr>
        <w:t>C</w:t>
      </w:r>
      <w:r w:rsidR="00F657D0">
        <w:rPr>
          <w:rFonts w:cstheme="minorHAnsi"/>
          <w:sz w:val="24"/>
          <w:szCs w:val="24"/>
        </w:rPr>
        <w:t xml:space="preserve">reating a standardized workflow that includes the NIMAS requirement (9 excerpts) and </w:t>
      </w:r>
      <w:r w:rsidR="00E4490B">
        <w:rPr>
          <w:rFonts w:cstheme="minorHAnsi"/>
          <w:sz w:val="24"/>
          <w:szCs w:val="24"/>
        </w:rPr>
        <w:t>altering or supplementing IDEA</w:t>
      </w:r>
      <w:r w:rsidR="009A5120">
        <w:rPr>
          <w:rFonts w:cstheme="minorHAnsi"/>
          <w:sz w:val="24"/>
          <w:szCs w:val="24"/>
        </w:rPr>
        <w:t xml:space="preserve"> </w:t>
      </w:r>
      <w:r w:rsidR="00E4490B">
        <w:rPr>
          <w:rFonts w:cstheme="minorHAnsi"/>
          <w:sz w:val="24"/>
          <w:szCs w:val="24"/>
        </w:rPr>
        <w:t>2004 to require publishers to upload NIMAS files for all educational materials</w:t>
      </w:r>
      <w:r>
        <w:rPr>
          <w:rFonts w:ascii="ZWAdobeF" w:hAnsi="ZWAdobeF" w:cs="ZWAdobeF"/>
          <w:sz w:val="2"/>
          <w:szCs w:val="2"/>
        </w:rPr>
        <w:t>81F</w:t>
      </w:r>
      <w:r w:rsidR="009A5120">
        <w:rPr>
          <w:rStyle w:val="FootnoteReference"/>
          <w:rFonts w:cstheme="minorHAnsi"/>
          <w:sz w:val="24"/>
          <w:szCs w:val="24"/>
        </w:rPr>
        <w:footnoteReference w:id="83"/>
      </w:r>
      <w:r w:rsidR="00E4490B">
        <w:rPr>
          <w:rFonts w:cstheme="minorHAnsi"/>
          <w:sz w:val="24"/>
          <w:szCs w:val="24"/>
        </w:rPr>
        <w:t xml:space="preserve"> </w:t>
      </w:r>
      <w:r w:rsidR="00F657D0">
        <w:rPr>
          <w:rFonts w:cstheme="minorHAnsi"/>
          <w:sz w:val="24"/>
          <w:szCs w:val="24"/>
        </w:rPr>
        <w:t xml:space="preserve">(6 excerpts). </w:t>
      </w:r>
    </w:p>
    <w:p w14:paraId="5ED66B60" w14:textId="2BF7DF7D" w:rsidR="00F657D0" w:rsidRPr="003B31BE" w:rsidRDefault="00B55C67" w:rsidP="00F657D0">
      <w:pPr>
        <w:spacing w:after="0" w:line="276" w:lineRule="auto"/>
        <w:rPr>
          <w:rFonts w:cstheme="minorHAnsi"/>
          <w:sz w:val="24"/>
          <w:szCs w:val="24"/>
        </w:rPr>
      </w:pPr>
      <w:r>
        <w:rPr>
          <w:rFonts w:ascii="ZWAdobeF" w:hAnsi="ZWAdobeF" w:cs="ZWAdobeF"/>
          <w:sz w:val="2"/>
          <w:szCs w:val="2"/>
        </w:rPr>
        <w:lastRenderedPageBreak/>
        <w:t>254B</w:t>
      </w:r>
      <w:r w:rsidR="00F657D0">
        <w:rPr>
          <w:rFonts w:cstheme="minorHAnsi"/>
          <w:sz w:val="24"/>
          <w:szCs w:val="24"/>
        </w:rPr>
        <w:t>In addition to</w:t>
      </w:r>
      <w:r w:rsidR="00F657D0" w:rsidRPr="003B31BE">
        <w:rPr>
          <w:rFonts w:cstheme="minorHAnsi"/>
          <w:sz w:val="24"/>
          <w:szCs w:val="24"/>
        </w:rPr>
        <w:t xml:space="preserve"> the aforementioned themes, some participants noted that</w:t>
      </w:r>
      <w:r w:rsidR="005C5521">
        <w:rPr>
          <w:rFonts w:cstheme="minorHAnsi"/>
          <w:sz w:val="24"/>
          <w:szCs w:val="24"/>
        </w:rPr>
        <w:t xml:space="preserve"> </w:t>
      </w:r>
      <w:r w:rsidR="00F657D0" w:rsidRPr="003B31BE">
        <w:rPr>
          <w:rFonts w:cstheme="minorHAnsi"/>
          <w:sz w:val="24"/>
          <w:szCs w:val="24"/>
        </w:rPr>
        <w:t xml:space="preserve">a statewide rule in Oregon requires the NIMAS requirement to be included in procurement contracts for instructional materials. </w:t>
      </w:r>
      <w:r w:rsidR="00E331AF">
        <w:rPr>
          <w:rFonts w:cstheme="minorHAnsi"/>
          <w:sz w:val="24"/>
          <w:szCs w:val="24"/>
        </w:rPr>
        <w:t>Although</w:t>
      </w:r>
      <w:r w:rsidR="00F316E2">
        <w:rPr>
          <w:rFonts w:cstheme="minorHAnsi"/>
          <w:sz w:val="24"/>
          <w:szCs w:val="24"/>
        </w:rPr>
        <w:t xml:space="preserve"> they find </w:t>
      </w:r>
      <w:r w:rsidR="00F657D0" w:rsidRPr="003B31BE">
        <w:rPr>
          <w:rFonts w:cstheme="minorHAnsi"/>
          <w:sz w:val="24"/>
          <w:szCs w:val="24"/>
        </w:rPr>
        <w:t xml:space="preserve">this rule helpful, </w:t>
      </w:r>
      <w:r w:rsidR="00F316E2">
        <w:rPr>
          <w:rFonts w:cstheme="minorHAnsi"/>
          <w:sz w:val="24"/>
          <w:szCs w:val="24"/>
        </w:rPr>
        <w:t xml:space="preserve">they </w:t>
      </w:r>
      <w:r w:rsidR="00E331AF">
        <w:rPr>
          <w:rFonts w:cstheme="minorHAnsi"/>
          <w:sz w:val="24"/>
          <w:szCs w:val="24"/>
        </w:rPr>
        <w:t>explained that</w:t>
      </w:r>
      <w:r w:rsidR="00F316E2">
        <w:rPr>
          <w:rFonts w:cstheme="minorHAnsi"/>
          <w:sz w:val="24"/>
          <w:szCs w:val="24"/>
        </w:rPr>
        <w:t xml:space="preserve"> </w:t>
      </w:r>
      <w:r w:rsidR="00E331AF">
        <w:rPr>
          <w:rFonts w:cstheme="minorHAnsi"/>
          <w:sz w:val="24"/>
          <w:szCs w:val="24"/>
        </w:rPr>
        <w:t>it</w:t>
      </w:r>
      <w:r w:rsidR="00E331AF" w:rsidRPr="003B31BE">
        <w:rPr>
          <w:rFonts w:cstheme="minorHAnsi"/>
          <w:sz w:val="24"/>
          <w:szCs w:val="24"/>
        </w:rPr>
        <w:t xml:space="preserve"> </w:t>
      </w:r>
      <w:r w:rsidR="00BA6CBC">
        <w:rPr>
          <w:rFonts w:cstheme="minorHAnsi"/>
          <w:sz w:val="24"/>
          <w:szCs w:val="24"/>
        </w:rPr>
        <w:t>is</w:t>
      </w:r>
      <w:r w:rsidR="00BA6CBC" w:rsidRPr="003B31BE">
        <w:rPr>
          <w:rFonts w:cstheme="minorHAnsi"/>
          <w:sz w:val="24"/>
          <w:szCs w:val="24"/>
        </w:rPr>
        <w:t xml:space="preserve"> </w:t>
      </w:r>
      <w:r w:rsidR="00F657D0" w:rsidRPr="003B31BE">
        <w:rPr>
          <w:rFonts w:cstheme="minorHAnsi"/>
          <w:sz w:val="24"/>
          <w:szCs w:val="24"/>
        </w:rPr>
        <w:t>not always followed</w:t>
      </w:r>
      <w:r w:rsidR="00FE15B7">
        <w:rPr>
          <w:rFonts w:cstheme="minorHAnsi"/>
          <w:sz w:val="24"/>
          <w:szCs w:val="24"/>
        </w:rPr>
        <w:t xml:space="preserve">. </w:t>
      </w:r>
      <w:r w:rsidR="00713384">
        <w:rPr>
          <w:rFonts w:cstheme="minorHAnsi"/>
          <w:sz w:val="24"/>
          <w:szCs w:val="24"/>
        </w:rPr>
        <w:t>Other, less commonly suggested</w:t>
      </w:r>
      <w:r w:rsidR="00F657D0" w:rsidRPr="003B31BE">
        <w:rPr>
          <w:rFonts w:cstheme="minorHAnsi"/>
          <w:sz w:val="24"/>
          <w:szCs w:val="24"/>
        </w:rPr>
        <w:t xml:space="preserve"> strategies included </w:t>
      </w:r>
      <w:r w:rsidR="00FE15B7">
        <w:rPr>
          <w:rFonts w:cstheme="minorHAnsi"/>
          <w:sz w:val="24"/>
          <w:szCs w:val="24"/>
        </w:rPr>
        <w:t xml:space="preserve">coordinating ongoing “training for the people who oversee purchasing” (3 excerpts), </w:t>
      </w:r>
      <w:r w:rsidR="00F657D0" w:rsidRPr="003B31BE">
        <w:rPr>
          <w:rFonts w:cstheme="minorHAnsi"/>
          <w:sz w:val="24"/>
          <w:szCs w:val="24"/>
        </w:rPr>
        <w:t xml:space="preserve">teaching about the NIMAS requirement at “law conferences” to LEA/SEA legal representatives (1 excerpt), having </w:t>
      </w:r>
      <w:r w:rsidR="00F657D0">
        <w:rPr>
          <w:rFonts w:cstheme="minorHAnsi"/>
          <w:sz w:val="24"/>
          <w:szCs w:val="24"/>
        </w:rPr>
        <w:t>“</w:t>
      </w:r>
      <w:r w:rsidR="00F657D0" w:rsidRPr="003B31BE">
        <w:rPr>
          <w:rFonts w:cstheme="minorHAnsi"/>
          <w:sz w:val="24"/>
          <w:szCs w:val="24"/>
        </w:rPr>
        <w:t>third party</w:t>
      </w:r>
      <w:r w:rsidR="00F657D0">
        <w:rPr>
          <w:rFonts w:cstheme="minorHAnsi"/>
          <w:sz w:val="24"/>
          <w:szCs w:val="24"/>
        </w:rPr>
        <w:t>”</w:t>
      </w:r>
      <w:r w:rsidR="00F657D0" w:rsidRPr="003B31BE">
        <w:rPr>
          <w:rFonts w:cstheme="minorHAnsi"/>
          <w:sz w:val="24"/>
          <w:szCs w:val="24"/>
        </w:rPr>
        <w:t xml:space="preserve"> reviews of educational materials during the procurement process to </w:t>
      </w:r>
      <w:r w:rsidR="00713384">
        <w:rPr>
          <w:rFonts w:cstheme="minorHAnsi"/>
          <w:sz w:val="24"/>
          <w:szCs w:val="24"/>
        </w:rPr>
        <w:t>ensure</w:t>
      </w:r>
      <w:r w:rsidR="00F657D0" w:rsidRPr="003B31BE">
        <w:rPr>
          <w:rFonts w:cstheme="minorHAnsi"/>
          <w:sz w:val="24"/>
          <w:szCs w:val="24"/>
        </w:rPr>
        <w:t xml:space="preserve"> accessibility standards are met (1 excerpt),</w:t>
      </w:r>
      <w:r w:rsidR="00F657D0">
        <w:rPr>
          <w:rFonts w:cstheme="minorHAnsi"/>
          <w:sz w:val="24"/>
          <w:szCs w:val="24"/>
        </w:rPr>
        <w:t xml:space="preserve"> further distributing “sample contract language” that includes the NIMAS requirement (1 excerpt), </w:t>
      </w:r>
      <w:r w:rsidR="008D50AB">
        <w:rPr>
          <w:rFonts w:cstheme="minorHAnsi"/>
          <w:sz w:val="24"/>
          <w:szCs w:val="24"/>
        </w:rPr>
        <w:t xml:space="preserve">and </w:t>
      </w:r>
      <w:r w:rsidR="00F657D0">
        <w:rPr>
          <w:rFonts w:cstheme="minorHAnsi"/>
          <w:sz w:val="24"/>
          <w:szCs w:val="24"/>
        </w:rPr>
        <w:t xml:space="preserve">encouraging </w:t>
      </w:r>
      <w:r w:rsidR="00713384">
        <w:rPr>
          <w:rFonts w:cstheme="minorHAnsi"/>
          <w:sz w:val="24"/>
          <w:szCs w:val="24"/>
        </w:rPr>
        <w:t>AT</w:t>
      </w:r>
      <w:r w:rsidR="00F657D0">
        <w:rPr>
          <w:rFonts w:cstheme="minorHAnsi"/>
          <w:sz w:val="24"/>
          <w:szCs w:val="24"/>
        </w:rPr>
        <w:t xml:space="preserve"> specialists to discuss the NIMAS requirement with procurement staff in their regions (1 excerpt)</w:t>
      </w:r>
      <w:r w:rsidR="008D50AB">
        <w:rPr>
          <w:rFonts w:cstheme="minorHAnsi"/>
          <w:sz w:val="24"/>
          <w:szCs w:val="24"/>
        </w:rPr>
        <w:t>.</w:t>
      </w:r>
    </w:p>
    <w:p w14:paraId="1C759DC0" w14:textId="77777777" w:rsidR="00F657D0" w:rsidRPr="009A2D28" w:rsidRDefault="00F657D0" w:rsidP="00F657D0">
      <w:pPr>
        <w:spacing w:after="0" w:line="276" w:lineRule="auto"/>
        <w:rPr>
          <w:rFonts w:ascii="Times New Roman" w:hAnsi="Times New Roman" w:cs="Times New Roman"/>
          <w:sz w:val="24"/>
          <w:szCs w:val="24"/>
          <w:highlight w:val="yellow"/>
        </w:rPr>
      </w:pPr>
    </w:p>
    <w:p w14:paraId="67318718" w14:textId="58112152" w:rsidR="00F657D0" w:rsidRPr="00EE6135" w:rsidRDefault="00F657D0" w:rsidP="004946C3">
      <w:pPr>
        <w:pStyle w:val="Heading4"/>
      </w:pPr>
      <w:bookmarkStart w:id="99" w:name="_Toc222904045"/>
      <w:r w:rsidRPr="00CC3502">
        <w:t xml:space="preserve">Table </w:t>
      </w:r>
      <w:r w:rsidR="00D26A66">
        <w:t>1</w:t>
      </w:r>
      <w:r w:rsidR="006A6885">
        <w:t>7</w:t>
      </w:r>
      <w:r w:rsidRPr="00CC3502">
        <w:t xml:space="preserve">. Qualitative Descriptions of Strategies to Help SEAs and LEAs Consistently Include the NIMAS </w:t>
      </w:r>
      <w:r w:rsidRPr="00EE6135">
        <w:t>Requirement in Procurement Contracts</w:t>
      </w:r>
      <w:bookmarkEnd w:id="99"/>
    </w:p>
    <w:p w14:paraId="72189455" w14:textId="3097006B" w:rsidR="00F657D0" w:rsidRPr="00EE6135" w:rsidRDefault="00B55C67" w:rsidP="00F657D0">
      <w:pPr>
        <w:jc w:val="center"/>
        <w:rPr>
          <w:rFonts w:ascii="Calibri" w:hAnsi="Calibri" w:cs="Calibri"/>
        </w:rPr>
      </w:pPr>
      <w:r>
        <w:rPr>
          <w:rFonts w:ascii="ZWAdobeF" w:hAnsi="ZWAdobeF" w:cs="ZWAdobeF"/>
          <w:sz w:val="2"/>
          <w:szCs w:val="2"/>
        </w:rPr>
        <w:t>255</w:t>
      </w:r>
      <w:proofErr w:type="gramStart"/>
      <w:r>
        <w:rPr>
          <w:rFonts w:ascii="ZWAdobeF" w:hAnsi="ZWAdobeF" w:cs="ZWAdobeF"/>
          <w:sz w:val="2"/>
          <w:szCs w:val="2"/>
        </w:rPr>
        <w:t>B</w:t>
      </w:r>
      <w:r w:rsidR="00F657D0" w:rsidRPr="00EE6135">
        <w:rPr>
          <w:rFonts w:ascii="Calibri" w:hAnsi="Calibri" w:cs="Calibri"/>
        </w:rPr>
        <w:t>(</w:t>
      </w:r>
      <w:proofErr w:type="gramEnd"/>
      <w:r w:rsidR="00F657D0">
        <w:rPr>
          <w:rFonts w:ascii="Calibri" w:hAnsi="Calibri" w:cs="Calibri"/>
        </w:rPr>
        <w:t>34</w:t>
      </w:r>
      <w:r w:rsidR="00F657D0" w:rsidRPr="00EE6135">
        <w:rPr>
          <w:rFonts w:ascii="Calibri" w:hAnsi="Calibri" w:cs="Calibri"/>
        </w:rPr>
        <w:t xml:space="preserve"> excerpts)</w:t>
      </w:r>
    </w:p>
    <w:tbl>
      <w:tblPr>
        <w:tblStyle w:val="GridTable4"/>
        <w:tblW w:w="9355" w:type="dxa"/>
        <w:tblLook w:val="04A0" w:firstRow="1" w:lastRow="0" w:firstColumn="1" w:lastColumn="0" w:noHBand="0" w:noVBand="1"/>
        <w:tblCaption w:val="Table 16. Qualitative Descriptions of Strategies to Help SEAs and LEAs Consistently Include the NIMAS Requirement in Procurement Contracts"/>
      </w:tblPr>
      <w:tblGrid>
        <w:gridCol w:w="2335"/>
        <w:gridCol w:w="7020"/>
      </w:tblGrid>
      <w:tr w:rsidR="00F657D0" w:rsidRPr="00CD254C" w14:paraId="4E4164C6" w14:textId="77777777" w:rsidTr="003A1FE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335" w:type="dxa"/>
            <w:shd w:val="clear" w:color="auto" w:fill="44546A" w:themeFill="text2"/>
            <w:vAlign w:val="center"/>
          </w:tcPr>
          <w:p w14:paraId="33FF814F" w14:textId="31336539" w:rsidR="00F657D0" w:rsidRPr="00CC3502" w:rsidRDefault="00F657D0" w:rsidP="002A215C">
            <w:pPr>
              <w:jc w:val="center"/>
              <w:rPr>
                <w:rFonts w:cstheme="minorHAnsi"/>
              </w:rPr>
            </w:pPr>
            <w:bookmarkStart w:id="100" w:name="_Hlk215950064"/>
            <w:r>
              <w:rPr>
                <w:rFonts w:cstheme="minorHAnsi"/>
              </w:rPr>
              <w:t>Strategies to Help SEAs and LEAs Consistently Include NIMAS Requirement in Procurement Contracts</w:t>
            </w:r>
          </w:p>
        </w:tc>
        <w:tc>
          <w:tcPr>
            <w:tcW w:w="7020" w:type="dxa"/>
            <w:shd w:val="clear" w:color="auto" w:fill="44546A" w:themeFill="text2"/>
            <w:vAlign w:val="center"/>
          </w:tcPr>
          <w:p w14:paraId="6C10740F" w14:textId="77777777" w:rsidR="00F657D0" w:rsidRPr="00CC3502" w:rsidRDefault="00F657D0" w:rsidP="002A215C">
            <w:pPr>
              <w:jc w:val="center"/>
              <w:cnfStyle w:val="100000000000" w:firstRow="1" w:lastRow="0" w:firstColumn="0" w:lastColumn="0" w:oddVBand="0" w:evenVBand="0" w:oddHBand="0" w:evenHBand="0" w:firstRowFirstColumn="0" w:firstRowLastColumn="0" w:lastRowFirstColumn="0" w:lastRowLastColumn="0"/>
              <w:rPr>
                <w:rFonts w:cstheme="minorHAnsi"/>
              </w:rPr>
            </w:pPr>
            <w:r w:rsidRPr="00CC3502">
              <w:rPr>
                <w:rFonts w:cstheme="minorHAnsi"/>
              </w:rPr>
              <w:t>Representative Quotations</w:t>
            </w:r>
          </w:p>
        </w:tc>
      </w:tr>
      <w:tr w:rsidR="00F657D0" w:rsidRPr="00CD254C" w14:paraId="77F92CAE" w14:textId="77777777" w:rsidTr="00955D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3DC3ED8D" w14:textId="1289D417" w:rsidR="00F657D0" w:rsidRDefault="00F657D0" w:rsidP="00822CE8">
            <w:pPr>
              <w:rPr>
                <w:rFonts w:ascii="Calibri" w:hAnsi="Calibri" w:cs="Calibri"/>
                <w:color w:val="000000"/>
              </w:rPr>
            </w:pPr>
            <w:r>
              <w:rPr>
                <w:rFonts w:ascii="Calibri" w:hAnsi="Calibri" w:cs="Calibri"/>
                <w:color w:val="000000"/>
              </w:rPr>
              <w:t>Trainings to increase awareness</w:t>
            </w:r>
            <w:r w:rsidR="00822CE8">
              <w:rPr>
                <w:rFonts w:ascii="Calibri" w:hAnsi="Calibri" w:cs="Calibri"/>
                <w:color w:val="000000"/>
              </w:rPr>
              <w:t xml:space="preserve"> </w:t>
            </w:r>
            <w:r>
              <w:rPr>
                <w:rFonts w:ascii="Calibri" w:hAnsi="Calibri" w:cs="Calibri"/>
                <w:color w:val="000000"/>
              </w:rPr>
              <w:t>(11)</w:t>
            </w:r>
          </w:p>
        </w:tc>
        <w:tc>
          <w:tcPr>
            <w:tcW w:w="7020" w:type="dxa"/>
            <w:shd w:val="clear" w:color="auto" w:fill="D9E2F3"/>
          </w:tcPr>
          <w:p w14:paraId="207D0A19" w14:textId="45475A3C" w:rsidR="00F657D0" w:rsidRDefault="00F657D0" w:rsidP="00822CE8">
            <w:pPr>
              <w:cnfStyle w:val="000000100000" w:firstRow="0" w:lastRow="0" w:firstColumn="0" w:lastColumn="0" w:oddVBand="0" w:evenVBand="0" w:oddHBand="1" w:evenHBand="0" w:firstRowFirstColumn="0" w:firstRowLastColumn="0" w:lastRowFirstColumn="0" w:lastRowLastColumn="0"/>
            </w:pPr>
            <w:r>
              <w:t>S</w:t>
            </w:r>
            <w:r w:rsidRPr="006B337B">
              <w:t xml:space="preserve">omething we </w:t>
            </w:r>
            <w:r>
              <w:t>can do is</w:t>
            </w:r>
            <w:r w:rsidRPr="006B337B">
              <w:t xml:space="preserve"> to let people know </w:t>
            </w:r>
            <w:r w:rsidR="00D73240">
              <w:t>to a</w:t>
            </w:r>
            <w:r w:rsidRPr="006B337B">
              <w:t>dd th</w:t>
            </w:r>
            <w:r w:rsidR="00D73240">
              <w:t xml:space="preserve">e </w:t>
            </w:r>
            <w:r>
              <w:t>NIMAS requirement, and th</w:t>
            </w:r>
            <w:r w:rsidR="00D73240">
              <w:t>at</w:t>
            </w:r>
            <w:r>
              <w:t xml:space="preserve"> publishers</w:t>
            </w:r>
            <w:r w:rsidRPr="006B337B">
              <w:t xml:space="preserve"> have to give </w:t>
            </w:r>
            <w:r>
              <w:t>the NIMAS file</w:t>
            </w:r>
            <w:r w:rsidRPr="006B337B">
              <w:t xml:space="preserve"> to you if you request it, as long as it's in the contract</w:t>
            </w:r>
            <w:r w:rsidR="00D73240">
              <w:t>.</w:t>
            </w:r>
            <w:r w:rsidRPr="006B337B">
              <w:t xml:space="preserve"> I think getting that information out there</w:t>
            </w:r>
            <w:r w:rsidR="00D73240">
              <w:t xml:space="preserve"> and</w:t>
            </w:r>
            <w:r w:rsidRPr="006B337B">
              <w:t xml:space="preserve"> letting SPED </w:t>
            </w:r>
            <w:r>
              <w:t>D</w:t>
            </w:r>
            <w:r w:rsidRPr="006B337B">
              <w:t xml:space="preserve">irectors or </w:t>
            </w:r>
            <w:r>
              <w:t>C</w:t>
            </w:r>
            <w:r w:rsidRPr="006B337B">
              <w:t xml:space="preserve">urriculum </w:t>
            </w:r>
            <w:r>
              <w:t>S</w:t>
            </w:r>
            <w:r w:rsidRPr="006B337B">
              <w:t xml:space="preserve">pecialists at ESCs know </w:t>
            </w:r>
            <w:r w:rsidR="00D73240">
              <w:t>it’s</w:t>
            </w:r>
            <w:r w:rsidRPr="006B337B">
              <w:t xml:space="preserve"> an option.</w:t>
            </w:r>
            <w:r>
              <w:t xml:space="preserve"> (OH)</w:t>
            </w:r>
          </w:p>
        </w:tc>
      </w:tr>
      <w:tr w:rsidR="00F657D0" w:rsidRPr="00CD254C" w14:paraId="11F43BB0" w14:textId="77777777" w:rsidTr="003A1FE4">
        <w:tc>
          <w:tcPr>
            <w:cnfStyle w:val="001000000000" w:firstRow="0" w:lastRow="0" w:firstColumn="1" w:lastColumn="0" w:oddVBand="0" w:evenVBand="0" w:oddHBand="0" w:evenHBand="0" w:firstRowFirstColumn="0" w:firstRowLastColumn="0" w:lastRowFirstColumn="0" w:lastRowLastColumn="0"/>
            <w:tcW w:w="2335" w:type="dxa"/>
            <w:vAlign w:val="bottom"/>
          </w:tcPr>
          <w:p w14:paraId="2D3419FB" w14:textId="77777777" w:rsidR="00F657D0" w:rsidRDefault="00F657D0" w:rsidP="002A215C">
            <w:pPr>
              <w:rPr>
                <w:rFonts w:cstheme="minorHAnsi"/>
              </w:rPr>
            </w:pPr>
          </w:p>
        </w:tc>
        <w:tc>
          <w:tcPr>
            <w:tcW w:w="7020" w:type="dxa"/>
          </w:tcPr>
          <w:p w14:paraId="42D574F2" w14:textId="2D3FD70B" w:rsidR="00F657D0" w:rsidRPr="004529EC" w:rsidRDefault="00F657D0" w:rsidP="002A215C">
            <w:pPr>
              <w:cnfStyle w:val="000000000000" w:firstRow="0" w:lastRow="0" w:firstColumn="0" w:lastColumn="0" w:oddVBand="0" w:evenVBand="0" w:oddHBand="0" w:evenHBand="0" w:firstRowFirstColumn="0" w:firstRowLastColumn="0" w:lastRowFirstColumn="0" w:lastRowLastColumn="0"/>
            </w:pPr>
            <w:r w:rsidRPr="00D93F8D">
              <w:t xml:space="preserve">Even training for </w:t>
            </w:r>
            <w:r>
              <w:t>curriculum teams</w:t>
            </w:r>
            <w:r w:rsidRPr="00D93F8D">
              <w:t xml:space="preserve"> would be interesting. I'm not sure that any of them have any background in special education or understand any of the rationale as to what or who would use </w:t>
            </w:r>
            <w:r w:rsidR="00D73240">
              <w:t xml:space="preserve">accessible materials. </w:t>
            </w:r>
            <w:r w:rsidRPr="00D93F8D">
              <w:t xml:space="preserve">When people think about large print and braille, </w:t>
            </w:r>
            <w:r w:rsidR="00D73240">
              <w:t>they often say</w:t>
            </w:r>
            <w:r w:rsidRPr="00D93F8D">
              <w:t xml:space="preserve">, </w:t>
            </w:r>
            <w:r>
              <w:t>“O</w:t>
            </w:r>
            <w:r w:rsidRPr="00D93F8D">
              <w:t>h, I don't have any kids who use braille, so I don't need accessible formats.</w:t>
            </w:r>
            <w:r>
              <w:t>”</w:t>
            </w:r>
            <w:r w:rsidRPr="00D93F8D">
              <w:t xml:space="preserve"> And I'm thinking </w:t>
            </w:r>
            <w:r w:rsidR="00D73240">
              <w:t>that</w:t>
            </w:r>
            <w:r w:rsidRPr="00D93F8D">
              <w:t xml:space="preserve"> there's </w:t>
            </w:r>
            <w:r>
              <w:t>other accessible formats,</w:t>
            </w:r>
            <w:r w:rsidRPr="00D93F8D">
              <w:t xml:space="preserve"> not just braille. </w:t>
            </w:r>
            <w:r w:rsidR="00D73240">
              <w:t xml:space="preserve">So, </w:t>
            </w:r>
            <w:r w:rsidRPr="00D93F8D">
              <w:t>I think th</w:t>
            </w:r>
            <w:r w:rsidR="00D73240">
              <w:t>e</w:t>
            </w:r>
            <w:r w:rsidRPr="00D93F8D">
              <w:t xml:space="preserve"> idea of a print disability that is not necessarily a kiddo who is blind is very unknown to people. I think that they can't make that connection</w:t>
            </w:r>
            <w:r w:rsidR="00D73240">
              <w:t>. A</w:t>
            </w:r>
            <w:r w:rsidRPr="00D93F8D">
              <w:t>wareness and exposure could help.</w:t>
            </w:r>
            <w:r>
              <w:t xml:space="preserve"> (OH)</w:t>
            </w:r>
          </w:p>
        </w:tc>
      </w:tr>
      <w:tr w:rsidR="00F657D0" w:rsidRPr="00CD254C" w14:paraId="65CE7795" w14:textId="77777777" w:rsidTr="00955D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26EE7F61" w14:textId="77777777" w:rsidR="00F657D0" w:rsidRDefault="00F657D0" w:rsidP="002A215C">
            <w:pPr>
              <w:rPr>
                <w:rFonts w:cstheme="minorHAnsi"/>
              </w:rPr>
            </w:pPr>
          </w:p>
        </w:tc>
        <w:tc>
          <w:tcPr>
            <w:tcW w:w="7020" w:type="dxa"/>
            <w:shd w:val="clear" w:color="auto" w:fill="D9E2F3"/>
          </w:tcPr>
          <w:p w14:paraId="26996543" w14:textId="22230F5A" w:rsidR="00F657D0" w:rsidRPr="002C4953" w:rsidRDefault="00F657D0" w:rsidP="002A215C">
            <w:pPr>
              <w:cnfStyle w:val="000000100000" w:firstRow="0" w:lastRow="0" w:firstColumn="0" w:lastColumn="0" w:oddVBand="0" w:evenVBand="0" w:oddHBand="1" w:evenHBand="0" w:firstRowFirstColumn="0" w:firstRowLastColumn="0" w:lastRowFirstColumn="0" w:lastRowLastColumn="0"/>
            </w:pPr>
            <w:r w:rsidRPr="0099265C">
              <w:t xml:space="preserve">I think </w:t>
            </w:r>
            <w:r w:rsidR="00FC07F0">
              <w:t xml:space="preserve">the </w:t>
            </w:r>
            <w:r w:rsidRPr="0099265C">
              <w:t>key to much of it is training, training, training, training and helping people to understand</w:t>
            </w:r>
            <w:r w:rsidR="00FC07F0">
              <w:t>.</w:t>
            </w:r>
            <w:r>
              <w:t xml:space="preserve"> I</w:t>
            </w:r>
            <w:r w:rsidRPr="0099265C">
              <w:t>t's not the step-by-step on what to do. We're talking about big picture stuf</w:t>
            </w:r>
            <w:r>
              <w:t>f</w:t>
            </w:r>
            <w:r w:rsidR="00FC07F0">
              <w:t>. W</w:t>
            </w:r>
            <w:r w:rsidRPr="0099265C">
              <w:t>hat does that mean in the classroom?</w:t>
            </w:r>
            <w:r>
              <w:t xml:space="preserve"> (OR)</w:t>
            </w:r>
          </w:p>
        </w:tc>
      </w:tr>
      <w:tr w:rsidR="00F657D0" w:rsidRPr="00CD254C" w14:paraId="3DEC5568" w14:textId="77777777" w:rsidTr="003A1FE4">
        <w:tc>
          <w:tcPr>
            <w:cnfStyle w:val="001000000000" w:firstRow="0" w:lastRow="0" w:firstColumn="1" w:lastColumn="0" w:oddVBand="0" w:evenVBand="0" w:oddHBand="0" w:evenHBand="0" w:firstRowFirstColumn="0" w:firstRowLastColumn="0" w:lastRowFirstColumn="0" w:lastRowLastColumn="0"/>
            <w:tcW w:w="2335" w:type="dxa"/>
            <w:vAlign w:val="bottom"/>
          </w:tcPr>
          <w:p w14:paraId="3CCE6A78" w14:textId="77777777" w:rsidR="00F657D0" w:rsidRDefault="00F657D0" w:rsidP="002A215C">
            <w:pPr>
              <w:rPr>
                <w:rFonts w:cstheme="minorHAnsi"/>
              </w:rPr>
            </w:pPr>
          </w:p>
        </w:tc>
        <w:tc>
          <w:tcPr>
            <w:tcW w:w="7020" w:type="dxa"/>
          </w:tcPr>
          <w:p w14:paraId="55D7412E" w14:textId="74AC0856" w:rsidR="00F657D0" w:rsidRPr="009631A0" w:rsidRDefault="00F657D0" w:rsidP="002A215C">
            <w:pPr>
              <w:cnfStyle w:val="000000000000" w:firstRow="0" w:lastRow="0" w:firstColumn="0" w:lastColumn="0" w:oddVBand="0" w:evenVBand="0" w:oddHBand="0" w:evenHBand="0" w:firstRowFirstColumn="0" w:firstRowLastColumn="0" w:lastRowFirstColumn="0" w:lastRowLastColumn="0"/>
            </w:pPr>
            <w:r w:rsidRPr="00D93F8D">
              <w:t>It's got to be talked about</w:t>
            </w:r>
            <w:r w:rsidR="004670C1">
              <w:t xml:space="preserve">. </w:t>
            </w:r>
            <w:r>
              <w:t>Procurement staff and other stakeholder</w:t>
            </w:r>
            <w:r w:rsidR="004670C1">
              <w:t>s</w:t>
            </w:r>
            <w:r w:rsidRPr="00D93F8D">
              <w:t xml:space="preserve"> need to be educated or </w:t>
            </w:r>
            <w:proofErr w:type="gramStart"/>
            <w:r w:rsidRPr="00D93F8D">
              <w:t>educate</w:t>
            </w:r>
            <w:proofErr w:type="gramEnd"/>
            <w:r w:rsidRPr="00D93F8D">
              <w:t xml:space="preserve"> themselves. </w:t>
            </w:r>
            <w:r>
              <w:t>(UT)</w:t>
            </w:r>
          </w:p>
        </w:tc>
      </w:tr>
      <w:tr w:rsidR="00F657D0" w:rsidRPr="00CD254C" w14:paraId="36167CBA" w14:textId="77777777" w:rsidTr="00955D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2E954C80" w14:textId="36134415" w:rsidR="00F657D0" w:rsidRDefault="00F657D0" w:rsidP="002A215C">
            <w:pPr>
              <w:rPr>
                <w:rFonts w:cstheme="minorHAnsi"/>
              </w:rPr>
            </w:pPr>
            <w:r>
              <w:rPr>
                <w:rFonts w:cstheme="minorHAnsi"/>
              </w:rPr>
              <w:t>Standardized workflow that includes NIMAS requirement (9)</w:t>
            </w:r>
          </w:p>
        </w:tc>
        <w:tc>
          <w:tcPr>
            <w:tcW w:w="7020" w:type="dxa"/>
            <w:shd w:val="clear" w:color="auto" w:fill="D9E2F3"/>
          </w:tcPr>
          <w:p w14:paraId="30A49C8C" w14:textId="5073407B" w:rsidR="00F657D0" w:rsidRPr="009631A0" w:rsidRDefault="00F657D0" w:rsidP="002A215C">
            <w:pPr>
              <w:cnfStyle w:val="000000100000" w:firstRow="0" w:lastRow="0" w:firstColumn="0" w:lastColumn="0" w:oddVBand="0" w:evenVBand="0" w:oddHBand="1" w:evenHBand="0" w:firstRowFirstColumn="0" w:firstRowLastColumn="0" w:lastRowFirstColumn="0" w:lastRowLastColumn="0"/>
            </w:pPr>
            <w:r w:rsidRPr="00AD5A83">
              <w:t xml:space="preserve">I'm thinking about state of Ohio, and I know we cannot dictate curriculum to any district. They choose that for themselves, but I assume the state could do a standardized form for curriculum that includes </w:t>
            </w:r>
            <w:r w:rsidR="00AB267B">
              <w:t xml:space="preserve">the </w:t>
            </w:r>
            <w:r>
              <w:t xml:space="preserve">NIMAS </w:t>
            </w:r>
            <w:r w:rsidRPr="00AD5A83">
              <w:t xml:space="preserve">requirement. </w:t>
            </w:r>
            <w:r>
              <w:t>(OH)</w:t>
            </w:r>
          </w:p>
        </w:tc>
      </w:tr>
      <w:tr w:rsidR="00F657D0" w:rsidRPr="00CD254C" w14:paraId="41E5FC5A" w14:textId="77777777" w:rsidTr="003A1FE4">
        <w:tc>
          <w:tcPr>
            <w:cnfStyle w:val="001000000000" w:firstRow="0" w:lastRow="0" w:firstColumn="1" w:lastColumn="0" w:oddVBand="0" w:evenVBand="0" w:oddHBand="0" w:evenHBand="0" w:firstRowFirstColumn="0" w:firstRowLastColumn="0" w:lastRowFirstColumn="0" w:lastRowLastColumn="0"/>
            <w:tcW w:w="2335" w:type="dxa"/>
          </w:tcPr>
          <w:p w14:paraId="17BBCB8E" w14:textId="77777777" w:rsidR="00F657D0" w:rsidRDefault="00F657D0" w:rsidP="002A215C">
            <w:pPr>
              <w:rPr>
                <w:rFonts w:cstheme="minorHAnsi"/>
              </w:rPr>
            </w:pPr>
          </w:p>
        </w:tc>
        <w:tc>
          <w:tcPr>
            <w:tcW w:w="7020" w:type="dxa"/>
          </w:tcPr>
          <w:p w14:paraId="1A7CD437" w14:textId="7019F03E" w:rsidR="00F657D0" w:rsidRPr="009631A0" w:rsidRDefault="00F657D0" w:rsidP="002A215C">
            <w:pPr>
              <w:cnfStyle w:val="000000000000" w:firstRow="0" w:lastRow="0" w:firstColumn="0" w:lastColumn="0" w:oddVBand="0" w:evenVBand="0" w:oddHBand="0" w:evenHBand="0" w:firstRowFirstColumn="0" w:firstRowLastColumn="0" w:lastRowFirstColumn="0" w:lastRowLastColumn="0"/>
            </w:pPr>
            <w:r w:rsidRPr="00AD5A83">
              <w:t>My experience with contracts and purchase agreements is that districts tend to use a boiler plate approach</w:t>
            </w:r>
            <w:r w:rsidR="00CB6988">
              <w:t>. It may help if</w:t>
            </w:r>
            <w:r w:rsidRPr="00AD5A83">
              <w:t xml:space="preserve"> there's a boiler plate that includes th</w:t>
            </w:r>
            <w:r w:rsidR="00CB6988">
              <w:t xml:space="preserve">e </w:t>
            </w:r>
            <w:r>
              <w:t>NIMAS requirement</w:t>
            </w:r>
            <w:r w:rsidRPr="00AD5A83">
              <w:t xml:space="preserve"> language in the contract</w:t>
            </w:r>
            <w:r w:rsidR="00CB6988">
              <w:t xml:space="preserve">. </w:t>
            </w:r>
            <w:r>
              <w:t>T</w:t>
            </w:r>
            <w:r w:rsidRPr="00AD5A83">
              <w:t>he people who are doing procurement don't have this high on their list. So just making sure that it gets into the contract is the most important thing</w:t>
            </w:r>
            <w:r w:rsidR="00CB6988">
              <w:t>: have</w:t>
            </w:r>
            <w:r w:rsidRPr="00AD5A83">
              <w:t xml:space="preserve"> examples or help</w:t>
            </w:r>
            <w:r>
              <w:t xml:space="preserve"> </w:t>
            </w:r>
            <w:r w:rsidRPr="00AD5A83">
              <w:t xml:space="preserve">districts </w:t>
            </w:r>
            <w:proofErr w:type="gramStart"/>
            <w:r w:rsidRPr="00AD5A83">
              <w:t>put it</w:t>
            </w:r>
            <w:proofErr w:type="gramEnd"/>
            <w:r w:rsidRPr="00AD5A83">
              <w:t xml:space="preserve"> into their agreements. </w:t>
            </w:r>
            <w:r>
              <w:t>(OR)</w:t>
            </w:r>
          </w:p>
        </w:tc>
      </w:tr>
      <w:tr w:rsidR="00F657D0" w:rsidRPr="00CD254C" w14:paraId="424A418A" w14:textId="77777777" w:rsidTr="00955D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2F0ECF47" w14:textId="77777777" w:rsidR="00F657D0" w:rsidRDefault="00F657D0" w:rsidP="00822CE8">
            <w:pPr>
              <w:rPr>
                <w:rFonts w:cstheme="minorHAnsi"/>
              </w:rPr>
            </w:pPr>
          </w:p>
        </w:tc>
        <w:tc>
          <w:tcPr>
            <w:tcW w:w="7020" w:type="dxa"/>
            <w:shd w:val="clear" w:color="auto" w:fill="D9E2F3"/>
          </w:tcPr>
          <w:p w14:paraId="6632B4AD" w14:textId="0F7B3B60" w:rsidR="00F657D0" w:rsidRPr="009631A0" w:rsidRDefault="00F657D0" w:rsidP="002A215C">
            <w:pPr>
              <w:cnfStyle w:val="000000100000" w:firstRow="0" w:lastRow="0" w:firstColumn="0" w:lastColumn="0" w:oddVBand="0" w:evenVBand="0" w:oddHBand="1" w:evenHBand="0" w:firstRowFirstColumn="0" w:firstRowLastColumn="0" w:lastRowFirstColumn="0" w:lastRowLastColumn="0"/>
            </w:pPr>
            <w:r>
              <w:t>T</w:t>
            </w:r>
            <w:r w:rsidRPr="00AD5A83">
              <w:t xml:space="preserve">he last year and a half, I got this great idea to combine the list in </w:t>
            </w:r>
            <w:r>
              <w:t>MIDAS [a list of vetted instructional materials</w:t>
            </w:r>
            <w:r w:rsidR="00C76507">
              <w:t>]</w:t>
            </w:r>
            <w:r>
              <w:t xml:space="preserve"> </w:t>
            </w:r>
            <w:r w:rsidRPr="00AD5A83">
              <w:t>with our RFP</w:t>
            </w:r>
            <w:r>
              <w:t xml:space="preserve"> </w:t>
            </w:r>
            <w:r w:rsidR="00B91F3C">
              <w:t>p</w:t>
            </w:r>
            <w:r w:rsidRPr="00AD5A83">
              <w:t>rocess. And so</w:t>
            </w:r>
            <w:r w:rsidR="00B91F3C">
              <w:t>,</w:t>
            </w:r>
            <w:r w:rsidRPr="00AD5A83">
              <w:t xml:space="preserve"> I worked through financing at the state office</w:t>
            </w:r>
            <w:r w:rsidR="00B91F3C">
              <w:t xml:space="preserve">, and </w:t>
            </w:r>
            <w:r w:rsidRPr="00AD5A83">
              <w:t xml:space="preserve">any materials we reviewed for the RFP process would have in the contract the </w:t>
            </w:r>
            <w:r>
              <w:t>NIMAS</w:t>
            </w:r>
            <w:r w:rsidRPr="00AD5A83">
              <w:t xml:space="preserve"> section. </w:t>
            </w:r>
            <w:r w:rsidR="00B91F3C">
              <w:t>I</w:t>
            </w:r>
            <w:r w:rsidRPr="00AD5A83">
              <w:t>t's all one contract</w:t>
            </w:r>
            <w:r w:rsidR="00B91F3C">
              <w:t xml:space="preserve"> </w:t>
            </w:r>
            <w:r w:rsidR="00C76507" w:rsidRPr="00AD5A83">
              <w:t>so</w:t>
            </w:r>
            <w:r w:rsidRPr="00AD5A83">
              <w:t xml:space="preserve"> anything that is actually listed in our </w:t>
            </w:r>
            <w:r>
              <w:t>MIDAS</w:t>
            </w:r>
            <w:r w:rsidRPr="00AD5A83">
              <w:t xml:space="preserve"> program, which houses everything that's been reviewed for purchasing</w:t>
            </w:r>
            <w:r>
              <w:t xml:space="preserve">, </w:t>
            </w:r>
            <w:r w:rsidRPr="00AD5A83">
              <w:t xml:space="preserve">should have files in </w:t>
            </w:r>
            <w:r w:rsidR="00B91F3C">
              <w:t xml:space="preserve">the </w:t>
            </w:r>
            <w:r>
              <w:t>NIMAC,</w:t>
            </w:r>
            <w:r w:rsidRPr="00AD5A83">
              <w:t xml:space="preserve"> and all of those materials should be good to go.</w:t>
            </w:r>
            <w:r>
              <w:t xml:space="preserve"> (UT)</w:t>
            </w:r>
          </w:p>
        </w:tc>
      </w:tr>
      <w:tr w:rsidR="00F657D0" w:rsidRPr="00CD254C" w14:paraId="6FF51EE1" w14:textId="77777777" w:rsidTr="003A1FE4">
        <w:tc>
          <w:tcPr>
            <w:cnfStyle w:val="001000000000" w:firstRow="0" w:lastRow="0" w:firstColumn="1" w:lastColumn="0" w:oddVBand="0" w:evenVBand="0" w:oddHBand="0" w:evenHBand="0" w:firstRowFirstColumn="0" w:firstRowLastColumn="0" w:lastRowFirstColumn="0" w:lastRowLastColumn="0"/>
            <w:tcW w:w="2335" w:type="dxa"/>
          </w:tcPr>
          <w:p w14:paraId="35C12C2A" w14:textId="77777777" w:rsidR="00F657D0" w:rsidRDefault="00F657D0" w:rsidP="002A215C">
            <w:pPr>
              <w:rPr>
                <w:rFonts w:cstheme="minorHAnsi"/>
              </w:rPr>
            </w:pPr>
          </w:p>
        </w:tc>
        <w:tc>
          <w:tcPr>
            <w:tcW w:w="7020" w:type="dxa"/>
          </w:tcPr>
          <w:p w14:paraId="4EC829B7" w14:textId="757AF41A" w:rsidR="00F657D0" w:rsidRPr="009631A0" w:rsidRDefault="00F657D0" w:rsidP="002A215C">
            <w:pPr>
              <w:cnfStyle w:val="000000000000" w:firstRow="0" w:lastRow="0" w:firstColumn="0" w:lastColumn="0" w:oddVBand="0" w:evenVBand="0" w:oddHBand="0" w:evenHBand="0" w:firstRowFirstColumn="0" w:firstRowLastColumn="0" w:lastRowFirstColumn="0" w:lastRowLastColumn="0"/>
            </w:pPr>
            <w:r>
              <w:t>I</w:t>
            </w:r>
            <w:r w:rsidRPr="00AD5A83">
              <w:t>t should almost be a part of th</w:t>
            </w:r>
            <w:r w:rsidR="00B91F3C">
              <w:t>e</w:t>
            </w:r>
            <w:r w:rsidRPr="00AD5A83">
              <w:t xml:space="preserve"> process when the </w:t>
            </w:r>
            <w:r w:rsidR="00B91F3C">
              <w:t>C</w:t>
            </w:r>
            <w:r w:rsidRPr="00AD5A83">
              <w:t xml:space="preserve">urriculum </w:t>
            </w:r>
            <w:r w:rsidR="00B91F3C">
              <w:t>D</w:t>
            </w:r>
            <w:r w:rsidRPr="00AD5A83">
              <w:t xml:space="preserve">irectors or </w:t>
            </w:r>
            <w:r w:rsidR="00B91F3C">
              <w:t>D</w:t>
            </w:r>
            <w:r w:rsidRPr="00AD5A83">
              <w:t>irector</w:t>
            </w:r>
            <w:r w:rsidR="00B91F3C">
              <w:t xml:space="preserve">s </w:t>
            </w:r>
            <w:r>
              <w:t>of</w:t>
            </w:r>
            <w:r w:rsidRPr="00AD5A83">
              <w:t xml:space="preserve"> </w:t>
            </w:r>
            <w:r w:rsidR="00B91F3C">
              <w:t>I</w:t>
            </w:r>
            <w:r w:rsidRPr="00AD5A83">
              <w:t xml:space="preserve">nstruction are going through a curriculum adoption process and </w:t>
            </w:r>
            <w:r w:rsidR="00B91F3C">
              <w:t>are</w:t>
            </w:r>
            <w:r w:rsidRPr="00AD5A83">
              <w:t xml:space="preserve"> looking at different questions for adoption</w:t>
            </w:r>
            <w:r w:rsidR="00B91F3C">
              <w:t>,</w:t>
            </w:r>
            <w:r w:rsidRPr="00AD5A83">
              <w:t xml:space="preserve"> it should be a part of that whole process.</w:t>
            </w:r>
            <w:r>
              <w:t xml:space="preserve"> (IA)</w:t>
            </w:r>
          </w:p>
        </w:tc>
      </w:tr>
      <w:tr w:rsidR="00F657D0" w:rsidRPr="00CD254C" w14:paraId="78E9228A" w14:textId="77777777" w:rsidTr="00955D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29AE8FEE" w14:textId="77777777" w:rsidR="00F657D0" w:rsidRDefault="00F657D0" w:rsidP="002A215C">
            <w:pPr>
              <w:rPr>
                <w:rFonts w:cstheme="minorHAnsi"/>
              </w:rPr>
            </w:pPr>
          </w:p>
        </w:tc>
        <w:tc>
          <w:tcPr>
            <w:tcW w:w="7020" w:type="dxa"/>
            <w:shd w:val="clear" w:color="auto" w:fill="D9E2F3"/>
          </w:tcPr>
          <w:p w14:paraId="28D47069" w14:textId="77777777" w:rsidR="00F657D0" w:rsidRPr="009631A0" w:rsidRDefault="00F657D0" w:rsidP="002A215C">
            <w:pPr>
              <w:cnfStyle w:val="000000100000" w:firstRow="0" w:lastRow="0" w:firstColumn="0" w:lastColumn="0" w:oddVBand="0" w:evenVBand="0" w:oddHBand="1" w:evenHBand="0" w:firstRowFirstColumn="0" w:firstRowLastColumn="0" w:lastRowFirstColumn="0" w:lastRowLastColumn="0"/>
            </w:pPr>
            <w:r w:rsidRPr="00AD5A83">
              <w:t>Just make it part of the workflow! Even if you provide training, if it's hard to do it, it won't get done reliably.</w:t>
            </w:r>
            <w:r>
              <w:t xml:space="preserve"> (ID)</w:t>
            </w:r>
          </w:p>
        </w:tc>
      </w:tr>
      <w:tr w:rsidR="00F657D0" w:rsidRPr="00CD254C" w14:paraId="581F297C" w14:textId="77777777" w:rsidTr="003A1FE4">
        <w:tc>
          <w:tcPr>
            <w:cnfStyle w:val="001000000000" w:firstRow="0" w:lastRow="0" w:firstColumn="1" w:lastColumn="0" w:oddVBand="0" w:evenVBand="0" w:oddHBand="0" w:evenHBand="0" w:firstRowFirstColumn="0" w:firstRowLastColumn="0" w:lastRowFirstColumn="0" w:lastRowLastColumn="0"/>
            <w:tcW w:w="2335" w:type="dxa"/>
          </w:tcPr>
          <w:p w14:paraId="22DF0364" w14:textId="7C37DBE2" w:rsidR="00F657D0" w:rsidRDefault="00E4490B" w:rsidP="002A215C">
            <w:pPr>
              <w:rPr>
                <w:rFonts w:cstheme="minorHAnsi"/>
              </w:rPr>
            </w:pPr>
            <w:r w:rsidRPr="005C5B16">
              <w:rPr>
                <w:rFonts w:cstheme="minorHAnsi"/>
              </w:rPr>
              <w:t>Altering or supplementing IDEA 2004 to require publishers to upload NIMAS files for all educational materials</w:t>
            </w:r>
            <w:r w:rsidRPr="00E4490B" w:rsidDel="00E4490B">
              <w:rPr>
                <w:rFonts w:cstheme="minorHAnsi"/>
              </w:rPr>
              <w:t xml:space="preserve"> </w:t>
            </w:r>
            <w:r w:rsidR="00F657D0">
              <w:rPr>
                <w:rFonts w:cstheme="minorHAnsi"/>
              </w:rPr>
              <w:t>(6)</w:t>
            </w:r>
          </w:p>
        </w:tc>
        <w:tc>
          <w:tcPr>
            <w:tcW w:w="7020" w:type="dxa"/>
          </w:tcPr>
          <w:p w14:paraId="6091E586" w14:textId="2D07B118" w:rsidR="00F657D0" w:rsidRPr="009631A0" w:rsidRDefault="00F657D0" w:rsidP="002A215C">
            <w:pPr>
              <w:cnfStyle w:val="000000000000" w:firstRow="0" w:lastRow="0" w:firstColumn="0" w:lastColumn="0" w:oddVBand="0" w:evenVBand="0" w:oddHBand="0" w:evenHBand="0" w:firstRowFirstColumn="0" w:firstRowLastColumn="0" w:lastRowFirstColumn="0" w:lastRowLastColumn="0"/>
            </w:pPr>
            <w:r>
              <w:t xml:space="preserve">I would like it to be </w:t>
            </w:r>
            <w:r w:rsidRPr="00800909">
              <w:t xml:space="preserve">written in law that the publisher has to </w:t>
            </w:r>
            <w:r>
              <w:t>submit the NIMAS file</w:t>
            </w:r>
            <w:r w:rsidRPr="00800909">
              <w:t xml:space="preserve"> regardless of who's purchasing th</w:t>
            </w:r>
            <w:r w:rsidR="00B91F3C">
              <w:t>e</w:t>
            </w:r>
            <w:r w:rsidRPr="00800909">
              <w:t xml:space="preserve"> book and who</w:t>
            </w:r>
            <w:r w:rsidR="00B91F3C">
              <w:t>’s</w:t>
            </w:r>
            <w:r w:rsidRPr="00800909">
              <w:t xml:space="preserve"> creating th</w:t>
            </w:r>
            <w:r w:rsidR="00B91F3C">
              <w:t xml:space="preserve">e </w:t>
            </w:r>
            <w:r w:rsidRPr="00800909">
              <w:t>contract</w:t>
            </w:r>
            <w:r w:rsidR="00B91F3C">
              <w:t>. It should be part of law t</w:t>
            </w:r>
            <w:r w:rsidRPr="00800909">
              <w:t>hat as a publisher, if you're publishing a book, you have to submit this file.</w:t>
            </w:r>
            <w:r>
              <w:t xml:space="preserve"> (OH)</w:t>
            </w:r>
          </w:p>
        </w:tc>
      </w:tr>
      <w:tr w:rsidR="00F657D0" w:rsidRPr="00CD254C" w14:paraId="4CAD6C2A" w14:textId="77777777" w:rsidTr="00955D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3E8751CA" w14:textId="77777777" w:rsidR="00F657D0" w:rsidRDefault="00F657D0" w:rsidP="002A215C">
            <w:pPr>
              <w:rPr>
                <w:rFonts w:cstheme="minorHAnsi"/>
              </w:rPr>
            </w:pPr>
          </w:p>
        </w:tc>
        <w:tc>
          <w:tcPr>
            <w:tcW w:w="7020" w:type="dxa"/>
            <w:shd w:val="clear" w:color="auto" w:fill="D9E2F3"/>
          </w:tcPr>
          <w:p w14:paraId="685980C1" w14:textId="6D8B8E7C" w:rsidR="00F657D0" w:rsidRPr="009631A0" w:rsidRDefault="00F657D0" w:rsidP="002A215C">
            <w:pPr>
              <w:cnfStyle w:val="000000100000" w:firstRow="0" w:lastRow="0" w:firstColumn="0" w:lastColumn="0" w:oddVBand="0" w:evenVBand="0" w:oddHBand="1" w:evenHBand="0" w:firstRowFirstColumn="0" w:firstRowLastColumn="0" w:lastRowFirstColumn="0" w:lastRowLastColumn="0"/>
            </w:pPr>
            <w:r>
              <w:t>I</w:t>
            </w:r>
            <w:r w:rsidRPr="00800909">
              <w:t>f we made th</w:t>
            </w:r>
            <w:r w:rsidR="00B91F3C">
              <w:t>e</w:t>
            </w:r>
            <w:r w:rsidRPr="00800909">
              <w:t xml:space="preserve"> procurement process part of federal law, then it would be across all states</w:t>
            </w:r>
            <w:r w:rsidR="00B91F3C">
              <w:t>,</w:t>
            </w:r>
            <w:r w:rsidRPr="00800909">
              <w:t xml:space="preserve"> and it wouldn't matter which state a student was in</w:t>
            </w:r>
            <w:r>
              <w:t>. (OH)</w:t>
            </w:r>
          </w:p>
        </w:tc>
      </w:tr>
      <w:tr w:rsidR="00F657D0" w:rsidRPr="00CD254C" w14:paraId="5E5A00C6" w14:textId="77777777" w:rsidTr="003A1FE4">
        <w:tc>
          <w:tcPr>
            <w:cnfStyle w:val="001000000000" w:firstRow="0" w:lastRow="0" w:firstColumn="1" w:lastColumn="0" w:oddVBand="0" w:evenVBand="0" w:oddHBand="0" w:evenHBand="0" w:firstRowFirstColumn="0" w:firstRowLastColumn="0" w:lastRowFirstColumn="0" w:lastRowLastColumn="0"/>
            <w:tcW w:w="2335" w:type="dxa"/>
          </w:tcPr>
          <w:p w14:paraId="341B715B" w14:textId="77777777" w:rsidR="00F657D0" w:rsidRDefault="00F657D0" w:rsidP="002A215C">
            <w:pPr>
              <w:rPr>
                <w:rFonts w:cstheme="minorHAnsi"/>
              </w:rPr>
            </w:pPr>
          </w:p>
        </w:tc>
        <w:tc>
          <w:tcPr>
            <w:tcW w:w="7020" w:type="dxa"/>
          </w:tcPr>
          <w:p w14:paraId="1BD891B1" w14:textId="78B24F83" w:rsidR="00F657D0" w:rsidRPr="009631A0" w:rsidRDefault="00F657D0" w:rsidP="002A215C">
            <w:pPr>
              <w:cnfStyle w:val="000000000000" w:firstRow="0" w:lastRow="0" w:firstColumn="0" w:lastColumn="0" w:oddVBand="0" w:evenVBand="0" w:oddHBand="0" w:evenHBand="0" w:firstRowFirstColumn="0" w:firstRowLastColumn="0" w:lastRowFirstColumn="0" w:lastRowLastColumn="0"/>
            </w:pPr>
            <w:r>
              <w:t>I</w:t>
            </w:r>
            <w:r w:rsidRPr="00800909">
              <w:t>f any</w:t>
            </w:r>
            <w:r w:rsidR="00B91F3C">
              <w:t xml:space="preserve"> materials</w:t>
            </w:r>
            <w:r w:rsidRPr="00800909">
              <w:t xml:space="preserve"> sold to district had to have </w:t>
            </w:r>
            <w:r>
              <w:t>the NIMAS requirement</w:t>
            </w:r>
            <w:r w:rsidRPr="00800909">
              <w:t xml:space="preserve"> without having </w:t>
            </w:r>
            <w:r w:rsidR="00B91F3C">
              <w:t>i</w:t>
            </w:r>
            <w:r w:rsidRPr="00800909">
              <w:t>ndividual agreements, then that would go far to make it not an extra thing.</w:t>
            </w:r>
            <w:r>
              <w:t xml:space="preserve"> (OR)</w:t>
            </w:r>
          </w:p>
        </w:tc>
      </w:tr>
      <w:tr w:rsidR="00F657D0" w:rsidRPr="00CD254C" w14:paraId="6CAFEBD8" w14:textId="77777777" w:rsidTr="00955D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3DDCA517" w14:textId="3798F13C" w:rsidR="00F657D0" w:rsidRDefault="00F657D0" w:rsidP="002A215C">
            <w:pPr>
              <w:rPr>
                <w:rFonts w:cstheme="minorHAnsi"/>
              </w:rPr>
            </w:pPr>
            <w:r>
              <w:rPr>
                <w:rFonts w:ascii="Calibri" w:hAnsi="Calibri" w:cs="Calibri"/>
                <w:color w:val="000000"/>
              </w:rPr>
              <w:t>Providing educational materials about NIMAS and NIMAS requirement (5)</w:t>
            </w:r>
          </w:p>
        </w:tc>
        <w:tc>
          <w:tcPr>
            <w:tcW w:w="7020" w:type="dxa"/>
            <w:shd w:val="clear" w:color="auto" w:fill="D9E2F3"/>
          </w:tcPr>
          <w:p w14:paraId="54B6322E" w14:textId="66342D5B" w:rsidR="00F657D0" w:rsidRPr="009631A0" w:rsidRDefault="00F657D0" w:rsidP="002A215C">
            <w:pPr>
              <w:cnfStyle w:val="000000100000" w:firstRow="0" w:lastRow="0" w:firstColumn="0" w:lastColumn="0" w:oddVBand="0" w:evenVBand="0" w:oddHBand="1" w:evenHBand="0" w:firstRowFirstColumn="0" w:firstRowLastColumn="0" w:lastRowFirstColumn="0" w:lastRowLastColumn="0"/>
            </w:pPr>
            <w:r w:rsidRPr="00D93F8D">
              <w:t>Having information that is universally available</w:t>
            </w:r>
            <w:r w:rsidR="00A54FCB">
              <w:t xml:space="preserve"> and</w:t>
            </w:r>
            <w:r w:rsidRPr="00D93F8D">
              <w:t xml:space="preserve"> can be shared is important along with targeted training</w:t>
            </w:r>
            <w:r w:rsidR="00A54FCB">
              <w:t>.</w:t>
            </w:r>
            <w:r>
              <w:t xml:space="preserve"> (OH)</w:t>
            </w:r>
          </w:p>
        </w:tc>
      </w:tr>
      <w:tr w:rsidR="00F657D0" w:rsidRPr="00CD254C" w14:paraId="3CA57705" w14:textId="77777777" w:rsidTr="003A1FE4">
        <w:tc>
          <w:tcPr>
            <w:cnfStyle w:val="001000000000" w:firstRow="0" w:lastRow="0" w:firstColumn="1" w:lastColumn="0" w:oddVBand="0" w:evenVBand="0" w:oddHBand="0" w:evenHBand="0" w:firstRowFirstColumn="0" w:firstRowLastColumn="0" w:lastRowFirstColumn="0" w:lastRowLastColumn="0"/>
            <w:tcW w:w="2335" w:type="dxa"/>
            <w:vAlign w:val="bottom"/>
          </w:tcPr>
          <w:p w14:paraId="33F7B535" w14:textId="77777777" w:rsidR="00F657D0" w:rsidRDefault="00F657D0" w:rsidP="002A215C">
            <w:pPr>
              <w:rPr>
                <w:rFonts w:ascii="Calibri" w:hAnsi="Calibri" w:cs="Calibri"/>
                <w:color w:val="000000"/>
              </w:rPr>
            </w:pPr>
          </w:p>
        </w:tc>
        <w:tc>
          <w:tcPr>
            <w:tcW w:w="7020" w:type="dxa"/>
          </w:tcPr>
          <w:p w14:paraId="40EF6FEC" w14:textId="7ABCEB2D" w:rsidR="00F657D0" w:rsidRPr="00D93F8D" w:rsidRDefault="00F657D0" w:rsidP="002A215C">
            <w:pPr>
              <w:cnfStyle w:val="000000000000" w:firstRow="0" w:lastRow="0" w:firstColumn="0" w:lastColumn="0" w:oddVBand="0" w:evenVBand="0" w:oddHBand="0" w:evenHBand="0" w:firstRowFirstColumn="0" w:firstRowLastColumn="0" w:lastRowFirstColumn="0" w:lastRowLastColumn="0"/>
            </w:pPr>
            <w:r w:rsidRPr="00D93F8D">
              <w:t>Until today</w:t>
            </w:r>
            <w:r w:rsidR="00A54FCB">
              <w:t>,</w:t>
            </w:r>
            <w:r w:rsidRPr="00D93F8D">
              <w:t xml:space="preserve"> I had never heard of NIMAS so I am assuming more materials letting educators know what is available and how it can help.</w:t>
            </w:r>
            <w:r>
              <w:t xml:space="preserve"> (OR)</w:t>
            </w:r>
          </w:p>
        </w:tc>
      </w:tr>
      <w:tr w:rsidR="00F657D0" w:rsidRPr="00CD254C" w14:paraId="1807038D" w14:textId="77777777" w:rsidTr="00955D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vAlign w:val="bottom"/>
          </w:tcPr>
          <w:p w14:paraId="32D3BCD4" w14:textId="77777777" w:rsidR="00F657D0" w:rsidRDefault="00F657D0" w:rsidP="002A215C">
            <w:pPr>
              <w:rPr>
                <w:rFonts w:ascii="Calibri" w:hAnsi="Calibri" w:cs="Calibri"/>
                <w:color w:val="000000"/>
              </w:rPr>
            </w:pPr>
          </w:p>
        </w:tc>
        <w:tc>
          <w:tcPr>
            <w:tcW w:w="7020" w:type="dxa"/>
            <w:shd w:val="clear" w:color="auto" w:fill="D9E2F3"/>
          </w:tcPr>
          <w:p w14:paraId="7FFFEBD3" w14:textId="77777777" w:rsidR="00F657D0" w:rsidRPr="00D93F8D" w:rsidRDefault="00F657D0" w:rsidP="002A215C">
            <w:pPr>
              <w:cnfStyle w:val="000000100000" w:firstRow="0" w:lastRow="0" w:firstColumn="0" w:lastColumn="0" w:oddVBand="0" w:evenVBand="0" w:oddHBand="1" w:evenHBand="0" w:firstRowFirstColumn="0" w:firstRowLastColumn="0" w:lastRowFirstColumn="0" w:lastRowLastColumn="0"/>
            </w:pPr>
            <w:r w:rsidRPr="00D93F8D">
              <w:t xml:space="preserve">I think education is always a good thing as we cannot assume that administration or those accountable for </w:t>
            </w:r>
            <w:r>
              <w:t>NIMAS</w:t>
            </w:r>
            <w:r w:rsidRPr="00D93F8D">
              <w:t>/</w:t>
            </w:r>
            <w:r>
              <w:t>NIMAC</w:t>
            </w:r>
            <w:r w:rsidRPr="00D93F8D">
              <w:t xml:space="preserve"> know their job. Educational materials are a good start but there needs to be follow-through on implementation and standard practice.</w:t>
            </w:r>
            <w:r>
              <w:t xml:space="preserve"> (DE)</w:t>
            </w:r>
          </w:p>
        </w:tc>
      </w:tr>
      <w:tr w:rsidR="00F657D0" w:rsidRPr="00CD254C" w14:paraId="2D12822E" w14:textId="77777777" w:rsidTr="003A1FE4">
        <w:tc>
          <w:tcPr>
            <w:cnfStyle w:val="001000000000" w:firstRow="0" w:lastRow="0" w:firstColumn="1" w:lastColumn="0" w:oddVBand="0" w:evenVBand="0" w:oddHBand="0" w:evenHBand="0" w:firstRowFirstColumn="0" w:firstRowLastColumn="0" w:lastRowFirstColumn="0" w:lastRowLastColumn="0"/>
            <w:tcW w:w="2335" w:type="dxa"/>
            <w:vAlign w:val="bottom"/>
          </w:tcPr>
          <w:p w14:paraId="6020027A" w14:textId="2638BC1B" w:rsidR="00F657D0" w:rsidRDefault="00F657D0" w:rsidP="002A215C">
            <w:pPr>
              <w:rPr>
                <w:rFonts w:cstheme="minorHAnsi"/>
              </w:rPr>
            </w:pPr>
            <w:r>
              <w:rPr>
                <w:rFonts w:ascii="Calibri" w:hAnsi="Calibri" w:cs="Calibri"/>
                <w:color w:val="000000"/>
              </w:rPr>
              <w:lastRenderedPageBreak/>
              <w:t xml:space="preserve">Creating designated positions to provide guidance and </w:t>
            </w:r>
            <w:r w:rsidR="00F9262A">
              <w:rPr>
                <w:rFonts w:ascii="Calibri" w:hAnsi="Calibri" w:cs="Calibri"/>
                <w:color w:val="000000"/>
              </w:rPr>
              <w:t>TA</w:t>
            </w:r>
            <w:r>
              <w:rPr>
                <w:rFonts w:ascii="Calibri" w:hAnsi="Calibri" w:cs="Calibri"/>
                <w:color w:val="000000"/>
              </w:rPr>
              <w:t xml:space="preserve"> (5)</w:t>
            </w:r>
          </w:p>
        </w:tc>
        <w:tc>
          <w:tcPr>
            <w:tcW w:w="7020" w:type="dxa"/>
          </w:tcPr>
          <w:p w14:paraId="470BDC62" w14:textId="44A92D08" w:rsidR="00F657D0" w:rsidRPr="009631A0" w:rsidRDefault="00F657D0" w:rsidP="002A215C">
            <w:pPr>
              <w:cnfStyle w:val="000000000000" w:firstRow="0" w:lastRow="0" w:firstColumn="0" w:lastColumn="0" w:oddVBand="0" w:evenVBand="0" w:oddHBand="0" w:evenHBand="0" w:firstRowFirstColumn="0" w:firstRowLastColumn="0" w:lastRowFirstColumn="0" w:lastRowLastColumn="0"/>
            </w:pPr>
            <w:r w:rsidRPr="006B337B">
              <w:t>Increased education of the role and importance of NIMAS, along with a liaison t</w:t>
            </w:r>
            <w:r w:rsidR="00846A3F">
              <w:t xml:space="preserve">o </w:t>
            </w:r>
            <w:proofErr w:type="gramStart"/>
            <w:r w:rsidRPr="006B337B">
              <w:t>provide assistance</w:t>
            </w:r>
            <w:proofErr w:type="gramEnd"/>
            <w:r w:rsidR="00A54FCB">
              <w:t>,</w:t>
            </w:r>
            <w:r w:rsidRPr="006B337B">
              <w:t xml:space="preserve"> would be beneficial.</w:t>
            </w:r>
            <w:r>
              <w:t xml:space="preserve"> (OH)</w:t>
            </w:r>
          </w:p>
        </w:tc>
      </w:tr>
      <w:tr w:rsidR="00F657D0" w:rsidRPr="00CD254C" w14:paraId="6C1A1146" w14:textId="77777777" w:rsidTr="00955D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3A18EBBD" w14:textId="77777777" w:rsidR="00F657D0" w:rsidRDefault="00F657D0" w:rsidP="002A215C">
            <w:pPr>
              <w:rPr>
                <w:rFonts w:cstheme="minorHAnsi"/>
              </w:rPr>
            </w:pPr>
          </w:p>
        </w:tc>
        <w:tc>
          <w:tcPr>
            <w:tcW w:w="7020" w:type="dxa"/>
            <w:shd w:val="clear" w:color="auto" w:fill="D9E2F3"/>
          </w:tcPr>
          <w:p w14:paraId="69188102" w14:textId="77777777" w:rsidR="00F657D0" w:rsidRPr="009631A0" w:rsidRDefault="00F657D0" w:rsidP="002A215C">
            <w:pPr>
              <w:cnfStyle w:val="000000100000" w:firstRow="0" w:lastRow="0" w:firstColumn="0" w:lastColumn="0" w:oddVBand="0" w:evenVBand="0" w:oddHBand="1" w:evenHBand="0" w:firstRowFirstColumn="0" w:firstRowLastColumn="0" w:lastRowFirstColumn="0" w:lastRowLastColumn="0"/>
            </w:pPr>
            <w:r w:rsidRPr="00D93F8D">
              <w:t>An outreach effort that includes a dedicated position to focus primarily on the development and marketing of these materials could be of great benefit.</w:t>
            </w:r>
            <w:r>
              <w:t xml:space="preserve"> (OH)</w:t>
            </w:r>
          </w:p>
        </w:tc>
      </w:tr>
      <w:tr w:rsidR="00F657D0" w:rsidRPr="00CD254C" w14:paraId="5D8BCA68" w14:textId="77777777" w:rsidTr="003A1FE4">
        <w:tc>
          <w:tcPr>
            <w:cnfStyle w:val="001000000000" w:firstRow="0" w:lastRow="0" w:firstColumn="1" w:lastColumn="0" w:oddVBand="0" w:evenVBand="0" w:oddHBand="0" w:evenHBand="0" w:firstRowFirstColumn="0" w:firstRowLastColumn="0" w:lastRowFirstColumn="0" w:lastRowLastColumn="0"/>
            <w:tcW w:w="2335" w:type="dxa"/>
          </w:tcPr>
          <w:p w14:paraId="3F15ABAE" w14:textId="77777777" w:rsidR="00F657D0" w:rsidRDefault="00F657D0" w:rsidP="002A215C">
            <w:pPr>
              <w:rPr>
                <w:rFonts w:cstheme="minorHAnsi"/>
              </w:rPr>
            </w:pPr>
          </w:p>
        </w:tc>
        <w:tc>
          <w:tcPr>
            <w:tcW w:w="7020" w:type="dxa"/>
          </w:tcPr>
          <w:p w14:paraId="3D6818CA" w14:textId="77777777" w:rsidR="00F657D0" w:rsidRPr="00B03E48" w:rsidRDefault="00F657D0" w:rsidP="002A215C">
            <w:pPr>
              <w:cnfStyle w:val="000000000000" w:firstRow="0" w:lastRow="0" w:firstColumn="0" w:lastColumn="0" w:oddVBand="0" w:evenVBand="0" w:oddHBand="0" w:evenHBand="0" w:firstRowFirstColumn="0" w:firstRowLastColumn="0" w:lastRowFirstColumn="0" w:lastRowLastColumn="0"/>
            </w:pPr>
            <w:r w:rsidRPr="00E03F8D">
              <w:t>The inclusion of NIMAS requirements in procurement contracts for educational materials highlights the need for training and technical assistance across a wider, systemwide audience to support systemic change.</w:t>
            </w:r>
            <w:r>
              <w:t xml:space="preserve"> (HI)</w:t>
            </w:r>
          </w:p>
        </w:tc>
      </w:tr>
      <w:tr w:rsidR="00F657D0" w:rsidRPr="00CD254C" w14:paraId="460E650A" w14:textId="77777777" w:rsidTr="00955D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5" w:type="dxa"/>
            <w:shd w:val="clear" w:color="auto" w:fill="D9E2F3"/>
          </w:tcPr>
          <w:p w14:paraId="56E0ED7E" w14:textId="77777777" w:rsidR="00F657D0" w:rsidRDefault="00F657D0" w:rsidP="002A215C">
            <w:pPr>
              <w:rPr>
                <w:rFonts w:cstheme="minorHAnsi"/>
              </w:rPr>
            </w:pPr>
          </w:p>
        </w:tc>
        <w:tc>
          <w:tcPr>
            <w:tcW w:w="7020" w:type="dxa"/>
            <w:shd w:val="clear" w:color="auto" w:fill="D9E2F3"/>
          </w:tcPr>
          <w:p w14:paraId="0E03E254" w14:textId="1E25D4E2" w:rsidR="00F657D0" w:rsidRPr="009631A0" w:rsidRDefault="00F657D0" w:rsidP="002A215C">
            <w:pPr>
              <w:cnfStyle w:val="000000100000" w:firstRow="0" w:lastRow="0" w:firstColumn="0" w:lastColumn="0" w:oddVBand="0" w:evenVBand="0" w:oddHBand="1" w:evenHBand="0" w:firstRowFirstColumn="0" w:firstRowLastColumn="0" w:lastRowFirstColumn="0" w:lastRowLastColumn="0"/>
            </w:pPr>
            <w:r w:rsidRPr="00B03E48">
              <w:t xml:space="preserve">Ongoing technical assistance and resources </w:t>
            </w:r>
            <w:r w:rsidR="00A54FCB">
              <w:t xml:space="preserve">that increase </w:t>
            </w:r>
            <w:r w:rsidRPr="00B03E48">
              <w:t xml:space="preserve">understanding of the </w:t>
            </w:r>
            <w:r w:rsidR="00A54FCB">
              <w:t>‘why’ and</w:t>
            </w:r>
            <w:r>
              <w:t xml:space="preserve"> </w:t>
            </w:r>
            <w:r w:rsidRPr="00B03E48">
              <w:t>of impact</w:t>
            </w:r>
            <w:r>
              <w:t>. (NC)</w:t>
            </w:r>
          </w:p>
        </w:tc>
      </w:tr>
      <w:tr w:rsidR="00F657D0" w:rsidRPr="00CD254C" w14:paraId="731A0266" w14:textId="77777777" w:rsidTr="003A1FE4">
        <w:tc>
          <w:tcPr>
            <w:cnfStyle w:val="001000000000" w:firstRow="0" w:lastRow="0" w:firstColumn="1" w:lastColumn="0" w:oddVBand="0" w:evenVBand="0" w:oddHBand="0" w:evenHBand="0" w:firstRowFirstColumn="0" w:firstRowLastColumn="0" w:lastRowFirstColumn="0" w:lastRowLastColumn="0"/>
            <w:tcW w:w="2335" w:type="dxa"/>
          </w:tcPr>
          <w:p w14:paraId="31471723" w14:textId="77777777" w:rsidR="00F657D0" w:rsidRDefault="00F657D0" w:rsidP="002A215C">
            <w:pPr>
              <w:rPr>
                <w:rFonts w:cstheme="minorHAnsi"/>
              </w:rPr>
            </w:pPr>
          </w:p>
        </w:tc>
        <w:tc>
          <w:tcPr>
            <w:tcW w:w="7020" w:type="dxa"/>
          </w:tcPr>
          <w:p w14:paraId="0F4F5FC7" w14:textId="77777777" w:rsidR="00F657D0" w:rsidRPr="009631A0" w:rsidRDefault="00F657D0" w:rsidP="002A215C">
            <w:pPr>
              <w:cnfStyle w:val="000000000000" w:firstRow="0" w:lastRow="0" w:firstColumn="0" w:lastColumn="0" w:oddVBand="0" w:evenVBand="0" w:oddHBand="0" w:evenHBand="0" w:firstRowFirstColumn="0" w:firstRowLastColumn="0" w:lastRowFirstColumn="0" w:lastRowLastColumn="0"/>
            </w:pPr>
            <w:r w:rsidRPr="00B03E48">
              <w:t>We could definitely use a person to do training and field questions.</w:t>
            </w:r>
            <w:r>
              <w:t xml:space="preserve"> (VA)</w:t>
            </w:r>
          </w:p>
        </w:tc>
      </w:tr>
      <w:bookmarkEnd w:id="100"/>
    </w:tbl>
    <w:p w14:paraId="47DAEA3B" w14:textId="77777777" w:rsidR="00F657D0" w:rsidRDefault="00F657D0" w:rsidP="00F657D0">
      <w:pPr>
        <w:rPr>
          <w:rFonts w:ascii="Calibri" w:hAnsi="Calibri" w:cs="Calibri"/>
          <w:sz w:val="24"/>
          <w:szCs w:val="24"/>
        </w:rPr>
      </w:pPr>
    </w:p>
    <w:p w14:paraId="4B9A6A9B" w14:textId="77777777" w:rsidR="000F4A26" w:rsidRDefault="000F4A26" w:rsidP="006C1846">
      <w:pPr>
        <w:pStyle w:val="Heading3"/>
        <w:rPr>
          <w:rFonts w:ascii="Times New Roman" w:hAnsi="Times New Roman" w:cs="Times New Roman"/>
          <w:smallCaps/>
          <w:color w:val="538135" w:themeColor="accent6" w:themeShade="BF"/>
        </w:rPr>
        <w:sectPr w:rsidR="000F4A26" w:rsidSect="00D47BE7">
          <w:pgSz w:w="12240" w:h="15840"/>
          <w:pgMar w:top="1440" w:right="1440" w:bottom="1440" w:left="1440" w:header="720" w:footer="720" w:gutter="0"/>
          <w:cols w:space="720"/>
          <w:titlePg/>
          <w:docGrid w:linePitch="360"/>
        </w:sectPr>
      </w:pPr>
    </w:p>
    <w:p w14:paraId="699D573D" w14:textId="09C96928" w:rsidR="00E52FD0" w:rsidRPr="00E52FD0" w:rsidRDefault="00E52FD0" w:rsidP="00E52FD0">
      <w:pPr>
        <w:pStyle w:val="Heading2"/>
      </w:pPr>
      <w:bookmarkStart w:id="101" w:name="_Toc222904046"/>
      <w:r>
        <w:lastRenderedPageBreak/>
        <w:t>Conclusion</w:t>
      </w:r>
      <w:bookmarkEnd w:id="101"/>
    </w:p>
    <w:p w14:paraId="57CD2567" w14:textId="77777777" w:rsidR="005D2C42" w:rsidRPr="005919AC" w:rsidRDefault="005D2C42" w:rsidP="005D2C42">
      <w:pPr>
        <w:spacing w:after="0" w:line="240" w:lineRule="auto"/>
        <w:jc w:val="center"/>
        <w:rPr>
          <w:rFonts w:ascii="Calibri" w:hAnsi="Calibri" w:cs="Calibri"/>
          <w:sz w:val="24"/>
          <w:szCs w:val="24"/>
        </w:rPr>
      </w:pPr>
    </w:p>
    <w:p w14:paraId="205BA9BB" w14:textId="5568CD40" w:rsidR="002C6DE3" w:rsidRDefault="00B55C67" w:rsidP="005E4CC7">
      <w:pPr>
        <w:spacing w:before="240" w:after="0" w:line="276" w:lineRule="auto"/>
        <w:rPr>
          <w:rFonts w:ascii="Calibri" w:hAnsi="Calibri" w:cs="Calibri"/>
          <w:sz w:val="24"/>
          <w:szCs w:val="24"/>
        </w:rPr>
      </w:pPr>
      <w:r>
        <w:rPr>
          <w:rFonts w:ascii="ZWAdobeF" w:hAnsi="ZWAdobeF" w:cs="ZWAdobeF"/>
          <w:sz w:val="2"/>
          <w:szCs w:val="2"/>
        </w:rPr>
        <w:t>256B</w:t>
      </w:r>
      <w:r w:rsidR="00612209" w:rsidRPr="005919AC">
        <w:rPr>
          <w:rFonts w:ascii="Calibri" w:hAnsi="Calibri" w:cs="Calibri"/>
          <w:sz w:val="24"/>
          <w:szCs w:val="24"/>
        </w:rPr>
        <w:t xml:space="preserve">The objective of the </w:t>
      </w:r>
      <w:r w:rsidR="00612209">
        <w:rPr>
          <w:rFonts w:ascii="Calibri" w:hAnsi="Calibri" w:cs="Calibri"/>
          <w:sz w:val="24"/>
          <w:szCs w:val="24"/>
        </w:rPr>
        <w:t>case study</w:t>
      </w:r>
      <w:r w:rsidR="00612209" w:rsidRPr="005919AC">
        <w:rPr>
          <w:rFonts w:ascii="Calibri" w:hAnsi="Calibri" w:cs="Calibri"/>
          <w:sz w:val="24"/>
          <w:szCs w:val="24"/>
        </w:rPr>
        <w:t xml:space="preserve"> was to address t</w:t>
      </w:r>
      <w:r w:rsidR="00612209">
        <w:rPr>
          <w:rFonts w:ascii="Calibri" w:hAnsi="Calibri" w:cs="Calibri"/>
          <w:sz w:val="24"/>
          <w:szCs w:val="24"/>
        </w:rPr>
        <w:t xml:space="preserve">wo </w:t>
      </w:r>
      <w:r w:rsidR="00612209" w:rsidRPr="005919AC">
        <w:rPr>
          <w:rFonts w:ascii="Calibri" w:hAnsi="Calibri" w:cs="Calibri"/>
          <w:sz w:val="24"/>
          <w:szCs w:val="24"/>
        </w:rPr>
        <w:t>key questions</w:t>
      </w:r>
      <w:r w:rsidR="00612209">
        <w:rPr>
          <w:rFonts w:ascii="Calibri" w:hAnsi="Calibri" w:cs="Calibri"/>
          <w:sz w:val="24"/>
          <w:szCs w:val="24"/>
        </w:rPr>
        <w:t xml:space="preserve"> and associated sub-questions.</w:t>
      </w:r>
      <w:r w:rsidR="00612209" w:rsidRPr="005919AC">
        <w:rPr>
          <w:rFonts w:ascii="Calibri" w:hAnsi="Calibri" w:cs="Calibri"/>
          <w:sz w:val="24"/>
          <w:szCs w:val="24"/>
        </w:rPr>
        <w:t xml:space="preserve"> These are listed below</w:t>
      </w:r>
      <w:r w:rsidR="00E9777F">
        <w:rPr>
          <w:rFonts w:ascii="Calibri" w:hAnsi="Calibri" w:cs="Calibri"/>
          <w:sz w:val="24"/>
          <w:szCs w:val="24"/>
        </w:rPr>
        <w:t>,</w:t>
      </w:r>
      <w:r w:rsidR="00612209" w:rsidRPr="005919AC">
        <w:rPr>
          <w:rFonts w:ascii="Calibri" w:hAnsi="Calibri" w:cs="Calibri"/>
          <w:sz w:val="24"/>
          <w:szCs w:val="24"/>
        </w:rPr>
        <w:t xml:space="preserve"> along with the respective quantitative and qualitative findings that inform them.</w:t>
      </w:r>
      <w:r w:rsidR="00612209">
        <w:rPr>
          <w:rFonts w:ascii="Calibri" w:hAnsi="Calibri" w:cs="Calibri"/>
          <w:sz w:val="24"/>
          <w:szCs w:val="24"/>
        </w:rPr>
        <w:t xml:space="preserve"> Overall, data from the survey and interviews suggest a complex set of factors that facilitate timely delivery of accessible formats for students with visual impairments and print disabilities</w:t>
      </w:r>
      <w:r w:rsidR="00A10639">
        <w:rPr>
          <w:rFonts w:ascii="Calibri" w:hAnsi="Calibri" w:cs="Calibri"/>
          <w:sz w:val="24"/>
          <w:szCs w:val="24"/>
        </w:rPr>
        <w:t>.</w:t>
      </w:r>
      <w:bookmarkStart w:id="102" w:name="_Hlk89791364"/>
    </w:p>
    <w:p w14:paraId="46186643" w14:textId="77777777" w:rsidR="001550B4" w:rsidRPr="005919AC" w:rsidRDefault="001550B4" w:rsidP="00177D73">
      <w:pPr>
        <w:spacing w:after="0" w:line="276" w:lineRule="auto"/>
        <w:rPr>
          <w:rFonts w:ascii="Calibri" w:hAnsi="Calibri" w:cs="Calibri"/>
          <w:sz w:val="24"/>
          <w:szCs w:val="24"/>
        </w:rPr>
      </w:pPr>
    </w:p>
    <w:p w14:paraId="778B2D78" w14:textId="1D18A46E" w:rsidR="002C6DE3" w:rsidRPr="005919AC" w:rsidRDefault="00B55C67" w:rsidP="00177D73">
      <w:pPr>
        <w:spacing w:line="276" w:lineRule="auto"/>
        <w:rPr>
          <w:rFonts w:ascii="Calibri" w:hAnsi="Calibri" w:cs="Calibri"/>
          <w:b/>
          <w:bCs/>
          <w:sz w:val="24"/>
          <w:szCs w:val="24"/>
        </w:rPr>
      </w:pPr>
      <w:bookmarkStart w:id="103" w:name="_Hlk89790534"/>
      <w:r>
        <w:rPr>
          <w:rFonts w:ascii="ZWAdobeF" w:hAnsi="ZWAdobeF" w:cs="ZWAdobeF"/>
          <w:bCs/>
          <w:iCs/>
          <w:sz w:val="2"/>
          <w:szCs w:val="2"/>
        </w:rPr>
        <w:t>257B</w:t>
      </w:r>
      <w:r w:rsidR="00D07792">
        <w:rPr>
          <w:rFonts w:ascii="Calibri" w:hAnsi="Calibri" w:cs="Calibri"/>
          <w:b/>
          <w:bCs/>
          <w:i/>
          <w:iCs/>
          <w:sz w:val="24"/>
          <w:szCs w:val="24"/>
        </w:rPr>
        <w:t xml:space="preserve">Question 1: </w:t>
      </w:r>
      <w:r w:rsidR="00D07792" w:rsidRPr="00D07792">
        <w:rPr>
          <w:rFonts w:ascii="Calibri" w:hAnsi="Calibri" w:cs="Calibri"/>
          <w:b/>
          <w:bCs/>
          <w:i/>
          <w:iCs/>
          <w:sz w:val="24"/>
          <w:szCs w:val="24"/>
        </w:rPr>
        <w:t>What are the positive benefits to timely delivery of newly created accessible instructional materials when NIMAS files for the materials are already in the NIMAC system?</w:t>
      </w:r>
      <w:r w:rsidR="002C6DE3" w:rsidRPr="005919AC">
        <w:rPr>
          <w:rFonts w:ascii="Calibri" w:hAnsi="Calibri" w:cs="Calibri"/>
          <w:b/>
          <w:bCs/>
          <w:i/>
          <w:iCs/>
          <w:sz w:val="24"/>
          <w:szCs w:val="24"/>
        </w:rPr>
        <w:t xml:space="preserve"> </w:t>
      </w:r>
    </w:p>
    <w:bookmarkEnd w:id="103"/>
    <w:p w14:paraId="5BB3B5D7" w14:textId="4A543F99" w:rsidR="00B41496" w:rsidRDefault="00B55C67" w:rsidP="00177D73">
      <w:pPr>
        <w:spacing w:line="276" w:lineRule="auto"/>
        <w:rPr>
          <w:rFonts w:ascii="Calibri" w:hAnsi="Calibri" w:cs="Calibri"/>
          <w:sz w:val="24"/>
          <w:szCs w:val="24"/>
        </w:rPr>
      </w:pPr>
      <w:r>
        <w:rPr>
          <w:rFonts w:ascii="ZWAdobeF" w:hAnsi="ZWAdobeF" w:cs="ZWAdobeF"/>
          <w:sz w:val="2"/>
          <w:szCs w:val="2"/>
        </w:rPr>
        <w:t>258B</w:t>
      </w:r>
      <w:r w:rsidR="00B41496">
        <w:rPr>
          <w:rFonts w:ascii="Calibri" w:hAnsi="Calibri" w:cs="Calibri"/>
          <w:sz w:val="24"/>
          <w:szCs w:val="24"/>
        </w:rPr>
        <w:t xml:space="preserve">For this case study, timely delivery was defined as students who need accessible formats receiving them at the same time as </w:t>
      </w:r>
      <w:r w:rsidR="003045FC">
        <w:rPr>
          <w:rFonts w:ascii="Calibri" w:hAnsi="Calibri" w:cs="Calibri"/>
          <w:sz w:val="24"/>
          <w:szCs w:val="24"/>
        </w:rPr>
        <w:t>when their peers receive educational materials. Over two-thirds of survey respondents endorsed all benefits to timely delivery that were presented on the survey</w:t>
      </w:r>
      <w:r w:rsidR="005C0CD7">
        <w:rPr>
          <w:rFonts w:ascii="Calibri" w:hAnsi="Calibri" w:cs="Calibri"/>
          <w:sz w:val="24"/>
          <w:szCs w:val="24"/>
        </w:rPr>
        <w:t>. Benefits of timely delivery, ranked from most to least frequently endorsed</w:t>
      </w:r>
      <w:r w:rsidR="003045FC">
        <w:rPr>
          <w:rFonts w:ascii="Calibri" w:hAnsi="Calibri" w:cs="Calibri"/>
          <w:sz w:val="24"/>
          <w:szCs w:val="24"/>
        </w:rPr>
        <w:t>,</w:t>
      </w:r>
      <w:r w:rsidR="005C0CD7">
        <w:rPr>
          <w:rFonts w:ascii="Calibri" w:hAnsi="Calibri" w:cs="Calibri"/>
          <w:sz w:val="24"/>
          <w:szCs w:val="24"/>
        </w:rPr>
        <w:t xml:space="preserve"> include equitable access to instructional materials, independence, active learning, psychological well-being, academic achievement, ownership of learning, reduced stigma, and positive relationships among students </w:t>
      </w:r>
      <w:proofErr w:type="gramStart"/>
      <w:r w:rsidR="005C0CD7">
        <w:rPr>
          <w:rFonts w:ascii="Calibri" w:hAnsi="Calibri" w:cs="Calibri"/>
          <w:sz w:val="24"/>
          <w:szCs w:val="24"/>
        </w:rPr>
        <w:t>with print</w:t>
      </w:r>
      <w:proofErr w:type="gramEnd"/>
      <w:r w:rsidR="005C0CD7">
        <w:rPr>
          <w:rFonts w:ascii="Calibri" w:hAnsi="Calibri" w:cs="Calibri"/>
          <w:sz w:val="24"/>
          <w:szCs w:val="24"/>
        </w:rPr>
        <w:t xml:space="preserve"> disabilities and their peers. </w:t>
      </w:r>
      <w:r w:rsidR="00491932">
        <w:rPr>
          <w:rFonts w:ascii="Calibri" w:hAnsi="Calibri" w:cs="Calibri"/>
          <w:sz w:val="24"/>
          <w:szCs w:val="24"/>
        </w:rPr>
        <w:t>Through qualitative feedback, p</w:t>
      </w:r>
      <w:r w:rsidR="003045FC">
        <w:rPr>
          <w:rFonts w:ascii="Calibri" w:hAnsi="Calibri" w:cs="Calibri"/>
          <w:sz w:val="24"/>
          <w:szCs w:val="24"/>
        </w:rPr>
        <w:t xml:space="preserve">articipants </w:t>
      </w:r>
      <w:r w:rsidR="00491932">
        <w:rPr>
          <w:rFonts w:ascii="Calibri" w:hAnsi="Calibri" w:cs="Calibri"/>
          <w:sz w:val="24"/>
          <w:szCs w:val="24"/>
        </w:rPr>
        <w:t>suggested</w:t>
      </w:r>
      <w:r w:rsidR="003045FC">
        <w:rPr>
          <w:rFonts w:ascii="Calibri" w:hAnsi="Calibri" w:cs="Calibri"/>
          <w:sz w:val="24"/>
          <w:szCs w:val="24"/>
        </w:rPr>
        <w:t xml:space="preserve"> two additional benefits: timely delivery meets legal requirements and supports teacher effectiveness. Although there were a few small differences across states and professional roles, the participants </w:t>
      </w:r>
      <w:r w:rsidR="003A302F">
        <w:rPr>
          <w:rFonts w:ascii="Calibri" w:hAnsi="Calibri" w:cs="Calibri"/>
          <w:sz w:val="24"/>
          <w:szCs w:val="24"/>
        </w:rPr>
        <w:t>overwhelmingly</w:t>
      </w:r>
      <w:r w:rsidR="00282BA0">
        <w:rPr>
          <w:rFonts w:ascii="Calibri" w:hAnsi="Calibri" w:cs="Calibri"/>
          <w:sz w:val="24"/>
          <w:szCs w:val="24"/>
        </w:rPr>
        <w:t xml:space="preserve"> recognized </w:t>
      </w:r>
      <w:r w:rsidR="003A302F">
        <w:rPr>
          <w:rFonts w:ascii="Calibri" w:hAnsi="Calibri" w:cs="Calibri"/>
          <w:sz w:val="24"/>
          <w:szCs w:val="24"/>
        </w:rPr>
        <w:t>many</w:t>
      </w:r>
      <w:r w:rsidR="00282BA0">
        <w:rPr>
          <w:rFonts w:ascii="Calibri" w:hAnsi="Calibri" w:cs="Calibri"/>
          <w:sz w:val="24"/>
          <w:szCs w:val="24"/>
        </w:rPr>
        <w:t xml:space="preserve"> positive benefits of</w:t>
      </w:r>
      <w:r w:rsidR="003045FC">
        <w:rPr>
          <w:rFonts w:ascii="Calibri" w:hAnsi="Calibri" w:cs="Calibri"/>
          <w:sz w:val="24"/>
          <w:szCs w:val="24"/>
        </w:rPr>
        <w:t xml:space="preserve"> </w:t>
      </w:r>
      <w:r w:rsidR="00282BA0">
        <w:rPr>
          <w:rFonts w:ascii="Calibri" w:hAnsi="Calibri" w:cs="Calibri"/>
          <w:sz w:val="24"/>
          <w:szCs w:val="24"/>
        </w:rPr>
        <w:t xml:space="preserve">timely delivery. </w:t>
      </w:r>
    </w:p>
    <w:p w14:paraId="111E7C9F" w14:textId="6D1B45DE" w:rsidR="002C6DE3" w:rsidRDefault="00B55C67" w:rsidP="00177D73">
      <w:pPr>
        <w:spacing w:line="276" w:lineRule="auto"/>
        <w:rPr>
          <w:rFonts w:ascii="Calibri" w:hAnsi="Calibri" w:cs="Calibri"/>
          <w:b/>
          <w:bCs/>
          <w:i/>
          <w:iCs/>
          <w:sz w:val="24"/>
          <w:szCs w:val="24"/>
        </w:rPr>
      </w:pPr>
      <w:bookmarkStart w:id="104" w:name="_Hlk89790668"/>
      <w:r>
        <w:rPr>
          <w:rFonts w:ascii="ZWAdobeF" w:hAnsi="ZWAdobeF" w:cs="ZWAdobeF"/>
          <w:bCs/>
          <w:iCs/>
          <w:sz w:val="2"/>
          <w:szCs w:val="2"/>
        </w:rPr>
        <w:t>259B</w:t>
      </w:r>
      <w:r w:rsidR="00D07792">
        <w:rPr>
          <w:rFonts w:ascii="Calibri" w:hAnsi="Calibri" w:cs="Calibri"/>
          <w:b/>
          <w:bCs/>
          <w:i/>
          <w:iCs/>
          <w:sz w:val="24"/>
          <w:szCs w:val="24"/>
        </w:rPr>
        <w:t xml:space="preserve">Sub-question 1a: </w:t>
      </w:r>
      <w:r w:rsidR="00D07792" w:rsidRPr="00D07792">
        <w:rPr>
          <w:rFonts w:ascii="Calibri" w:hAnsi="Calibri" w:cs="Calibri"/>
          <w:b/>
          <w:bCs/>
          <w:i/>
          <w:iCs/>
          <w:sz w:val="24"/>
          <w:szCs w:val="24"/>
        </w:rPr>
        <w:t>What is the timeline for delivery of newly created accessible instructional materials when 1) NIMAS files for materials are already in the NIMAC system, 2) NIMAS files are not in the NIMAC system and materials are added to the Watchlist, and 3) materials are not within scope for NIMAS</w:t>
      </w:r>
      <w:r w:rsidR="002C6DE3" w:rsidRPr="005919AC">
        <w:rPr>
          <w:rFonts w:ascii="Calibri" w:hAnsi="Calibri" w:cs="Calibri"/>
          <w:b/>
          <w:bCs/>
          <w:i/>
          <w:iCs/>
          <w:sz w:val="24"/>
          <w:szCs w:val="24"/>
        </w:rPr>
        <w:t>?</w:t>
      </w:r>
    </w:p>
    <w:p w14:paraId="15FFC4DC" w14:textId="334B5C28" w:rsidR="000A55AA" w:rsidRDefault="00B55C67" w:rsidP="00177D73">
      <w:pPr>
        <w:spacing w:line="276" w:lineRule="auto"/>
        <w:rPr>
          <w:rFonts w:ascii="Calibri" w:hAnsi="Calibri" w:cs="Calibri"/>
          <w:sz w:val="24"/>
          <w:szCs w:val="24"/>
        </w:rPr>
      </w:pPr>
      <w:r>
        <w:rPr>
          <w:rFonts w:ascii="ZWAdobeF" w:hAnsi="ZWAdobeF" w:cs="ZWAdobeF"/>
          <w:sz w:val="2"/>
          <w:szCs w:val="2"/>
        </w:rPr>
        <w:t>260B</w:t>
      </w:r>
      <w:r w:rsidR="006066AE">
        <w:rPr>
          <w:rFonts w:ascii="Calibri" w:hAnsi="Calibri" w:cs="Calibri"/>
          <w:sz w:val="24"/>
          <w:szCs w:val="24"/>
        </w:rPr>
        <w:t xml:space="preserve">Participants reported that timelines for delivery of accessible formats </w:t>
      </w:r>
      <w:r w:rsidR="003A302F">
        <w:rPr>
          <w:rFonts w:ascii="Calibri" w:hAnsi="Calibri" w:cs="Calibri"/>
          <w:sz w:val="24"/>
          <w:szCs w:val="24"/>
        </w:rPr>
        <w:t>are</w:t>
      </w:r>
      <w:r w:rsidR="006066AE">
        <w:rPr>
          <w:rFonts w:ascii="Calibri" w:hAnsi="Calibri" w:cs="Calibri"/>
          <w:sz w:val="24"/>
          <w:szCs w:val="24"/>
        </w:rPr>
        <w:t xml:space="preserve"> shortest when NIMAS files are in the NIMAC system. </w:t>
      </w:r>
      <w:r w:rsidR="000019E6">
        <w:rPr>
          <w:rFonts w:ascii="Calibri" w:hAnsi="Calibri" w:cs="Calibri"/>
          <w:sz w:val="24"/>
          <w:szCs w:val="24"/>
        </w:rPr>
        <w:t xml:space="preserve">The median timelines for delivery when NIMAS files are in the NIMAC system ranged from two months (braille for STEM materials) to less than two weeks (accessible digital text materials). These timelines were shorter than the median timelines for delivery when materials are added to the NIMAC Watchlist, which ranged from nearly three-and-a-half months (braille for STEM materials) to approximately 3 weeks (accessible digital text materials). </w:t>
      </w:r>
      <w:r w:rsidR="00543BAF">
        <w:rPr>
          <w:rFonts w:ascii="Calibri" w:hAnsi="Calibri" w:cs="Calibri"/>
          <w:sz w:val="24"/>
          <w:szCs w:val="24"/>
        </w:rPr>
        <w:t>R</w:t>
      </w:r>
      <w:r w:rsidR="006066AE">
        <w:rPr>
          <w:rFonts w:ascii="Calibri" w:hAnsi="Calibri" w:cs="Calibri"/>
          <w:sz w:val="24"/>
          <w:szCs w:val="24"/>
        </w:rPr>
        <w:t xml:space="preserve">espondents </w:t>
      </w:r>
      <w:r w:rsidR="009F1DCF">
        <w:rPr>
          <w:rFonts w:ascii="Calibri" w:hAnsi="Calibri" w:cs="Calibri"/>
          <w:sz w:val="24"/>
          <w:szCs w:val="24"/>
        </w:rPr>
        <w:t xml:space="preserve">expressed difficulty </w:t>
      </w:r>
      <w:r w:rsidR="003A302F">
        <w:rPr>
          <w:rFonts w:ascii="Calibri" w:hAnsi="Calibri" w:cs="Calibri"/>
          <w:sz w:val="24"/>
          <w:szCs w:val="24"/>
        </w:rPr>
        <w:t>specifying</w:t>
      </w:r>
      <w:r w:rsidR="009F1DCF">
        <w:rPr>
          <w:rFonts w:ascii="Calibri" w:hAnsi="Calibri" w:cs="Calibri"/>
          <w:sz w:val="24"/>
          <w:szCs w:val="24"/>
        </w:rPr>
        <w:t xml:space="preserve"> delivery timelines because </w:t>
      </w:r>
      <w:r w:rsidR="00543BAF">
        <w:rPr>
          <w:rFonts w:ascii="Calibri" w:hAnsi="Calibri" w:cs="Calibri"/>
          <w:sz w:val="24"/>
          <w:szCs w:val="24"/>
        </w:rPr>
        <w:t xml:space="preserve">of the breadth and complexity of materials and the </w:t>
      </w:r>
      <w:r w:rsidR="00B64D7C">
        <w:rPr>
          <w:rFonts w:ascii="Calibri" w:hAnsi="Calibri" w:cs="Calibri"/>
          <w:sz w:val="24"/>
          <w:szCs w:val="24"/>
        </w:rPr>
        <w:t>variability in timelines</w:t>
      </w:r>
      <w:r w:rsidR="009F1DCF">
        <w:rPr>
          <w:rFonts w:ascii="Calibri" w:hAnsi="Calibri" w:cs="Calibri"/>
          <w:sz w:val="24"/>
          <w:szCs w:val="24"/>
        </w:rPr>
        <w:t xml:space="preserve"> based on </w:t>
      </w:r>
      <w:r w:rsidR="003A302F">
        <w:rPr>
          <w:rFonts w:ascii="Calibri" w:hAnsi="Calibri" w:cs="Calibri"/>
          <w:sz w:val="24"/>
          <w:szCs w:val="24"/>
        </w:rPr>
        <w:t xml:space="preserve">the specific </w:t>
      </w:r>
      <w:r w:rsidR="009F1DCF">
        <w:rPr>
          <w:rFonts w:ascii="Calibri" w:hAnsi="Calibri" w:cs="Calibri"/>
          <w:sz w:val="24"/>
          <w:szCs w:val="24"/>
        </w:rPr>
        <w:t xml:space="preserve">characteristics of </w:t>
      </w:r>
      <w:r w:rsidR="003A302F">
        <w:rPr>
          <w:rFonts w:ascii="Calibri" w:hAnsi="Calibri" w:cs="Calibri"/>
          <w:sz w:val="24"/>
          <w:szCs w:val="24"/>
        </w:rPr>
        <w:t>each</w:t>
      </w:r>
      <w:r w:rsidR="009F1DCF">
        <w:rPr>
          <w:rFonts w:ascii="Calibri" w:hAnsi="Calibri" w:cs="Calibri"/>
          <w:sz w:val="24"/>
          <w:szCs w:val="24"/>
        </w:rPr>
        <w:t xml:space="preserve"> educational material. </w:t>
      </w:r>
      <w:r w:rsidR="006066AE">
        <w:rPr>
          <w:rFonts w:ascii="Calibri" w:hAnsi="Calibri" w:cs="Calibri"/>
          <w:sz w:val="24"/>
          <w:szCs w:val="24"/>
        </w:rPr>
        <w:t xml:space="preserve"> </w:t>
      </w:r>
    </w:p>
    <w:p w14:paraId="1E2D8588" w14:textId="2EA60CF2" w:rsidR="000019E6" w:rsidRDefault="00B55C67" w:rsidP="00177D73">
      <w:pPr>
        <w:spacing w:line="276" w:lineRule="auto"/>
        <w:rPr>
          <w:rFonts w:ascii="Calibri" w:hAnsi="Calibri" w:cs="Calibri"/>
          <w:sz w:val="24"/>
          <w:szCs w:val="24"/>
        </w:rPr>
      </w:pPr>
      <w:r>
        <w:rPr>
          <w:rFonts w:ascii="ZWAdobeF" w:hAnsi="ZWAdobeF" w:cs="ZWAdobeF"/>
          <w:sz w:val="2"/>
          <w:szCs w:val="2"/>
        </w:rPr>
        <w:lastRenderedPageBreak/>
        <w:t>261B</w:t>
      </w:r>
      <w:r w:rsidR="000A55AA">
        <w:rPr>
          <w:rFonts w:ascii="Calibri" w:hAnsi="Calibri" w:cs="Calibri"/>
          <w:sz w:val="24"/>
          <w:szCs w:val="24"/>
        </w:rPr>
        <w:t>The</w:t>
      </w:r>
      <w:r w:rsidR="000019E6">
        <w:rPr>
          <w:rFonts w:ascii="Calibri" w:hAnsi="Calibri" w:cs="Calibri"/>
          <w:sz w:val="24"/>
          <w:szCs w:val="24"/>
        </w:rPr>
        <w:t xml:space="preserve"> timelines </w:t>
      </w:r>
      <w:r w:rsidR="000A55AA">
        <w:rPr>
          <w:rFonts w:ascii="Calibri" w:hAnsi="Calibri" w:cs="Calibri"/>
          <w:sz w:val="24"/>
          <w:szCs w:val="24"/>
        </w:rPr>
        <w:t xml:space="preserve">reported by case study participants </w:t>
      </w:r>
      <w:r w:rsidR="00E1600E">
        <w:rPr>
          <w:rFonts w:ascii="Calibri" w:hAnsi="Calibri" w:cs="Calibri"/>
          <w:sz w:val="24"/>
          <w:szCs w:val="24"/>
        </w:rPr>
        <w:t>were</w:t>
      </w:r>
      <w:r w:rsidR="000019E6">
        <w:rPr>
          <w:rFonts w:ascii="Calibri" w:hAnsi="Calibri" w:cs="Calibri"/>
          <w:sz w:val="24"/>
          <w:szCs w:val="24"/>
        </w:rPr>
        <w:t xml:space="preserve"> consistent with NIMAC’s internal tracking data from three recent calendar years (2021-2023), indicating that it takes a median of 34-38 days for NIMAS files to be </w:t>
      </w:r>
      <w:r w:rsidR="00452F39">
        <w:rPr>
          <w:rFonts w:ascii="Calibri" w:hAnsi="Calibri" w:cs="Calibri"/>
          <w:sz w:val="24"/>
          <w:szCs w:val="24"/>
        </w:rPr>
        <w:t xml:space="preserve">acquired from publishers, </w:t>
      </w:r>
      <w:r w:rsidR="000019E6">
        <w:rPr>
          <w:rFonts w:ascii="Calibri" w:hAnsi="Calibri" w:cs="Calibri"/>
          <w:sz w:val="24"/>
          <w:szCs w:val="24"/>
        </w:rPr>
        <w:t>certified</w:t>
      </w:r>
      <w:r w:rsidR="00452F39">
        <w:rPr>
          <w:rFonts w:ascii="Calibri" w:hAnsi="Calibri" w:cs="Calibri"/>
          <w:sz w:val="24"/>
          <w:szCs w:val="24"/>
        </w:rPr>
        <w:t>,</w:t>
      </w:r>
      <w:r w:rsidR="000019E6">
        <w:rPr>
          <w:rFonts w:ascii="Calibri" w:hAnsi="Calibri" w:cs="Calibri"/>
          <w:sz w:val="24"/>
          <w:szCs w:val="24"/>
        </w:rPr>
        <w:t xml:space="preserve"> and accessible in the NIMAC system after they are submitted to the NIMAC Watchlist. </w:t>
      </w:r>
    </w:p>
    <w:p w14:paraId="0F5289B8" w14:textId="659C0CDB" w:rsidR="00282BA0" w:rsidRPr="00282BA0" w:rsidRDefault="00B55C67" w:rsidP="00177D73">
      <w:pPr>
        <w:spacing w:line="276" w:lineRule="auto"/>
        <w:rPr>
          <w:rFonts w:ascii="Calibri" w:hAnsi="Calibri" w:cs="Calibri"/>
          <w:sz w:val="24"/>
          <w:szCs w:val="24"/>
        </w:rPr>
      </w:pPr>
      <w:r>
        <w:rPr>
          <w:rFonts w:ascii="ZWAdobeF" w:hAnsi="ZWAdobeF" w:cs="ZWAdobeF"/>
          <w:sz w:val="2"/>
          <w:szCs w:val="2"/>
        </w:rPr>
        <w:t>262B</w:t>
      </w:r>
      <w:r w:rsidR="000A55AA">
        <w:rPr>
          <w:rFonts w:ascii="Calibri" w:hAnsi="Calibri" w:cs="Calibri"/>
          <w:sz w:val="24"/>
          <w:szCs w:val="24"/>
        </w:rPr>
        <w:t>Overall satisfaction with timeline</w:t>
      </w:r>
      <w:r w:rsidR="009F1DCF">
        <w:rPr>
          <w:rFonts w:ascii="Calibri" w:hAnsi="Calibri" w:cs="Calibri"/>
          <w:sz w:val="24"/>
          <w:szCs w:val="24"/>
        </w:rPr>
        <w:t>s</w:t>
      </w:r>
      <w:r w:rsidR="000A55AA">
        <w:rPr>
          <w:rFonts w:ascii="Calibri" w:hAnsi="Calibri" w:cs="Calibri"/>
          <w:sz w:val="24"/>
          <w:szCs w:val="24"/>
        </w:rPr>
        <w:t xml:space="preserve"> for delivery of accessible formats was relatively low, with respondents reporting their lowest satisfaction when accessible formats are not within scope for NIMAS and their highest satisfaction when NIMAS files are already in the NIMAC system. </w:t>
      </w:r>
      <w:r w:rsidR="00254963">
        <w:rPr>
          <w:rFonts w:ascii="Calibri" w:hAnsi="Calibri" w:cs="Calibri"/>
          <w:sz w:val="24"/>
          <w:szCs w:val="24"/>
        </w:rPr>
        <w:t xml:space="preserve">Indeed, nearly all NIMAC Users (94%) agreed that “NIMAS files help facilitate the timely delivery of accessible formats.” </w:t>
      </w:r>
      <w:r w:rsidR="000A55AA">
        <w:rPr>
          <w:rFonts w:ascii="Calibri" w:hAnsi="Calibri" w:cs="Calibri"/>
          <w:sz w:val="24"/>
          <w:szCs w:val="24"/>
        </w:rPr>
        <w:t xml:space="preserve">Qualitative feedback enhanced the quantitative data, with multiple participants describing how timelines for delivery are improved when NIMAC files are available in the NIMAC system. </w:t>
      </w:r>
    </w:p>
    <w:bookmarkEnd w:id="104"/>
    <w:p w14:paraId="655D7888" w14:textId="3F9581A9" w:rsidR="002C6DE3" w:rsidRPr="005919AC" w:rsidRDefault="00B55C67" w:rsidP="00177D73">
      <w:pPr>
        <w:spacing w:line="276" w:lineRule="auto"/>
        <w:rPr>
          <w:rFonts w:ascii="Calibri" w:hAnsi="Calibri" w:cs="Calibri"/>
          <w:b/>
          <w:bCs/>
          <w:i/>
          <w:iCs/>
          <w:sz w:val="24"/>
          <w:szCs w:val="24"/>
        </w:rPr>
      </w:pPr>
      <w:r>
        <w:rPr>
          <w:rFonts w:ascii="ZWAdobeF" w:hAnsi="ZWAdobeF" w:cs="ZWAdobeF"/>
          <w:bCs/>
          <w:iCs/>
          <w:sz w:val="2"/>
          <w:szCs w:val="2"/>
        </w:rPr>
        <w:t>263B</w:t>
      </w:r>
      <w:r w:rsidR="00D07792">
        <w:rPr>
          <w:rFonts w:ascii="Calibri" w:hAnsi="Calibri" w:cs="Calibri"/>
          <w:b/>
          <w:bCs/>
          <w:i/>
          <w:iCs/>
          <w:sz w:val="24"/>
          <w:szCs w:val="24"/>
        </w:rPr>
        <w:t xml:space="preserve">Sub-question 1b: </w:t>
      </w:r>
      <w:r w:rsidR="00D07792" w:rsidRPr="00D07792">
        <w:rPr>
          <w:rFonts w:ascii="Calibri" w:hAnsi="Calibri" w:cs="Calibri"/>
          <w:b/>
          <w:bCs/>
          <w:i/>
          <w:iCs/>
          <w:sz w:val="24"/>
          <w:szCs w:val="24"/>
        </w:rPr>
        <w:t>What impacts the timely delivery and use of accessible instructional materials best formatted to meet students’ needs, as specified in their IEP?</w:t>
      </w:r>
      <w:r w:rsidR="00B15D22">
        <w:rPr>
          <w:rFonts w:ascii="Calibri" w:hAnsi="Calibri" w:cs="Calibri"/>
          <w:b/>
          <w:bCs/>
          <w:i/>
          <w:iCs/>
          <w:sz w:val="24"/>
          <w:szCs w:val="24"/>
        </w:rPr>
        <w:t xml:space="preserve"> </w:t>
      </w:r>
    </w:p>
    <w:p w14:paraId="4F424F21" w14:textId="4CD26C67" w:rsidR="009F1DCF" w:rsidRDefault="00B55C67" w:rsidP="00177D73">
      <w:pPr>
        <w:spacing w:line="276" w:lineRule="auto"/>
        <w:rPr>
          <w:rFonts w:ascii="Calibri" w:hAnsi="Calibri" w:cs="Calibri"/>
          <w:sz w:val="24"/>
          <w:szCs w:val="24"/>
        </w:rPr>
      </w:pPr>
      <w:r>
        <w:rPr>
          <w:rFonts w:ascii="ZWAdobeF" w:hAnsi="ZWAdobeF" w:cs="ZWAdobeF"/>
          <w:sz w:val="2"/>
          <w:szCs w:val="2"/>
        </w:rPr>
        <w:t>264B</w:t>
      </w:r>
      <w:r w:rsidR="009F1DCF">
        <w:rPr>
          <w:rFonts w:ascii="Calibri" w:hAnsi="Calibri" w:cs="Calibri"/>
          <w:sz w:val="24"/>
          <w:szCs w:val="24"/>
        </w:rPr>
        <w:t xml:space="preserve">Participants consistently reported that students with visual impairments and print disabilities use accessible formats that are less than ideal based on their IEPs, </w:t>
      </w:r>
      <w:r w:rsidR="009C28EF">
        <w:rPr>
          <w:rFonts w:ascii="Calibri" w:hAnsi="Calibri" w:cs="Calibri"/>
          <w:sz w:val="24"/>
          <w:szCs w:val="24"/>
        </w:rPr>
        <w:t xml:space="preserve">as well as use </w:t>
      </w:r>
      <w:r w:rsidR="009F1DCF">
        <w:rPr>
          <w:rFonts w:ascii="Calibri" w:hAnsi="Calibri" w:cs="Calibri"/>
          <w:sz w:val="24"/>
          <w:szCs w:val="24"/>
        </w:rPr>
        <w:t>different curricula from their peers, on a regular basis</w:t>
      </w:r>
      <w:r w:rsidR="00295B41">
        <w:rPr>
          <w:rFonts w:ascii="Calibri" w:hAnsi="Calibri" w:cs="Calibri"/>
          <w:sz w:val="24"/>
          <w:szCs w:val="24"/>
        </w:rPr>
        <w:t xml:space="preserve">. For example, </w:t>
      </w:r>
      <w:r w:rsidR="009F1DCF">
        <w:rPr>
          <w:rFonts w:ascii="Calibri" w:hAnsi="Calibri" w:cs="Calibri"/>
          <w:sz w:val="24"/>
          <w:szCs w:val="24"/>
        </w:rPr>
        <w:t>over half of survey respondents reported that students use accessible formats that are less than ideal “often” or “always.</w:t>
      </w:r>
      <w:r w:rsidR="00295B41">
        <w:rPr>
          <w:rFonts w:ascii="Calibri" w:hAnsi="Calibri" w:cs="Calibri"/>
          <w:sz w:val="24"/>
          <w:szCs w:val="24"/>
        </w:rPr>
        <w:t>”</w:t>
      </w:r>
      <w:r w:rsidR="009F1DCF">
        <w:rPr>
          <w:rFonts w:ascii="Calibri" w:hAnsi="Calibri" w:cs="Calibri"/>
          <w:sz w:val="24"/>
          <w:szCs w:val="24"/>
        </w:rPr>
        <w:t xml:space="preserve"> Participants noted associated negative impacts, including decreased academic achievement, increased teacher stress and responsibility, and mental health consequences for students. Given these findings, it is not surprising that nearly two-thirds of survey respondents were not satisfied with the ability of students to access and use accessible formats. </w:t>
      </w:r>
    </w:p>
    <w:p w14:paraId="2E26ADD9" w14:textId="1329FCC2" w:rsidR="009F1DCF" w:rsidRDefault="00B55C67" w:rsidP="00177D73">
      <w:pPr>
        <w:spacing w:line="276" w:lineRule="auto"/>
        <w:rPr>
          <w:rFonts w:ascii="Calibri" w:hAnsi="Calibri" w:cs="Calibri"/>
          <w:sz w:val="24"/>
          <w:szCs w:val="24"/>
        </w:rPr>
      </w:pPr>
      <w:r>
        <w:rPr>
          <w:rFonts w:ascii="ZWAdobeF" w:hAnsi="ZWAdobeF" w:cs="ZWAdobeF"/>
          <w:sz w:val="2"/>
          <w:szCs w:val="2"/>
        </w:rPr>
        <w:t>265B</w:t>
      </w:r>
      <w:r w:rsidR="009C28EF">
        <w:rPr>
          <w:rFonts w:ascii="Calibri" w:hAnsi="Calibri" w:cs="Calibri"/>
          <w:sz w:val="24"/>
          <w:szCs w:val="24"/>
        </w:rPr>
        <w:t xml:space="preserve">Nearly one-half to two-thirds of survey respondents </w:t>
      </w:r>
      <w:r w:rsidR="009F1DCF">
        <w:rPr>
          <w:rFonts w:ascii="Calibri" w:hAnsi="Calibri" w:cs="Calibri"/>
          <w:sz w:val="24"/>
          <w:szCs w:val="24"/>
        </w:rPr>
        <w:t xml:space="preserve">endorsed a range of factors that negatively impact use of accessible formats, including lack of instructional support, pressure on teachers to use the most readily-available and least expensive format, lack of AT, </w:t>
      </w:r>
      <w:r w:rsidR="00295B41">
        <w:rPr>
          <w:rFonts w:ascii="Calibri" w:hAnsi="Calibri" w:cs="Calibri"/>
          <w:sz w:val="24"/>
          <w:szCs w:val="24"/>
        </w:rPr>
        <w:t xml:space="preserve">the </w:t>
      </w:r>
      <w:r w:rsidR="009F1DCF">
        <w:rPr>
          <w:rFonts w:ascii="Calibri" w:hAnsi="Calibri" w:cs="Calibri"/>
          <w:sz w:val="24"/>
          <w:szCs w:val="24"/>
        </w:rPr>
        <w:t xml:space="preserve">cumbersome nature of some accessible formats, the use of “backup” materials as students wait for appropriate accessible formats, and students’ lack of </w:t>
      </w:r>
      <w:r w:rsidR="00295B41">
        <w:rPr>
          <w:rFonts w:ascii="Calibri" w:hAnsi="Calibri" w:cs="Calibri"/>
          <w:sz w:val="24"/>
          <w:szCs w:val="24"/>
        </w:rPr>
        <w:t>familiarity with some formats</w:t>
      </w:r>
      <w:r w:rsidR="009F1DCF">
        <w:rPr>
          <w:rFonts w:ascii="Calibri" w:hAnsi="Calibri" w:cs="Calibri"/>
          <w:sz w:val="24"/>
          <w:szCs w:val="24"/>
        </w:rPr>
        <w:t xml:space="preserve">. </w:t>
      </w:r>
      <w:r w:rsidR="009C28EF">
        <w:rPr>
          <w:rFonts w:ascii="Calibri" w:hAnsi="Calibri" w:cs="Calibri"/>
          <w:sz w:val="24"/>
          <w:szCs w:val="24"/>
        </w:rPr>
        <w:t xml:space="preserve">Qualitative feedback from </w:t>
      </w:r>
      <w:r w:rsidR="009F1DCF">
        <w:rPr>
          <w:rFonts w:ascii="Calibri" w:hAnsi="Calibri" w:cs="Calibri"/>
          <w:sz w:val="24"/>
          <w:szCs w:val="24"/>
        </w:rPr>
        <w:t xml:space="preserve">participants also noted challenges associated with AT, materials that claim to be accessible are not actually accessible, and student preferences that are not respected. </w:t>
      </w:r>
      <w:r w:rsidR="00B64D7C">
        <w:rPr>
          <w:rFonts w:ascii="Calibri" w:hAnsi="Calibri" w:cs="Calibri"/>
          <w:sz w:val="24"/>
          <w:szCs w:val="24"/>
        </w:rPr>
        <w:t xml:space="preserve">There were some statistically significant differences between states, </w:t>
      </w:r>
      <w:r w:rsidR="009F1DCF">
        <w:rPr>
          <w:rFonts w:ascii="Calibri" w:hAnsi="Calibri" w:cs="Calibri"/>
          <w:sz w:val="24"/>
          <w:szCs w:val="24"/>
        </w:rPr>
        <w:t xml:space="preserve">indicating that the structures and systems that facilitate the use of accessible formats (e.g., systems that facilitate AT and instructional support) likely differ across states. </w:t>
      </w:r>
    </w:p>
    <w:p w14:paraId="17EEA8D5" w14:textId="1E613B3B" w:rsidR="0075318D" w:rsidRDefault="00B55C67" w:rsidP="00177D73">
      <w:pPr>
        <w:spacing w:line="276" w:lineRule="auto"/>
        <w:rPr>
          <w:rFonts w:ascii="Calibri" w:hAnsi="Calibri" w:cs="Calibri"/>
          <w:b/>
          <w:bCs/>
          <w:i/>
          <w:iCs/>
          <w:sz w:val="24"/>
          <w:szCs w:val="24"/>
        </w:rPr>
      </w:pPr>
      <w:r>
        <w:rPr>
          <w:rFonts w:ascii="ZWAdobeF" w:hAnsi="ZWAdobeF" w:cs="ZWAdobeF"/>
          <w:bCs/>
          <w:iCs/>
          <w:sz w:val="2"/>
          <w:szCs w:val="2"/>
        </w:rPr>
        <w:t>266B</w:t>
      </w:r>
      <w:r w:rsidR="0075318D">
        <w:rPr>
          <w:rFonts w:ascii="Calibri" w:hAnsi="Calibri" w:cs="Calibri"/>
          <w:b/>
          <w:bCs/>
          <w:i/>
          <w:iCs/>
          <w:sz w:val="24"/>
          <w:szCs w:val="24"/>
        </w:rPr>
        <w:t xml:space="preserve">Question 2: </w:t>
      </w:r>
      <w:r w:rsidR="0075318D" w:rsidRPr="0075318D">
        <w:rPr>
          <w:rFonts w:ascii="Calibri" w:hAnsi="Calibri" w:cs="Calibri"/>
          <w:b/>
          <w:bCs/>
          <w:i/>
          <w:iCs/>
          <w:sz w:val="24"/>
          <w:szCs w:val="24"/>
        </w:rPr>
        <w:t>What practices, including procurement contracts, facilitate the timely delivery of accessible instructional materials?</w:t>
      </w:r>
    </w:p>
    <w:p w14:paraId="6C1749F4" w14:textId="69EC03F8" w:rsidR="00E11D2B" w:rsidRDefault="00B55C67" w:rsidP="00177D73">
      <w:pPr>
        <w:spacing w:line="276" w:lineRule="auto"/>
        <w:rPr>
          <w:rFonts w:ascii="Calibri" w:hAnsi="Calibri" w:cs="Calibri"/>
          <w:sz w:val="24"/>
          <w:szCs w:val="24"/>
        </w:rPr>
      </w:pPr>
      <w:r>
        <w:rPr>
          <w:rFonts w:ascii="ZWAdobeF" w:hAnsi="ZWAdobeF" w:cs="ZWAdobeF"/>
          <w:sz w:val="2"/>
          <w:szCs w:val="2"/>
        </w:rPr>
        <w:t>267B</w:t>
      </w:r>
      <w:r w:rsidR="009F1DCF">
        <w:rPr>
          <w:rFonts w:ascii="Calibri" w:hAnsi="Calibri" w:cs="Calibri"/>
          <w:sz w:val="24"/>
          <w:szCs w:val="24"/>
        </w:rPr>
        <w:t xml:space="preserve">Participants </w:t>
      </w:r>
      <w:r w:rsidR="005D3FE6">
        <w:rPr>
          <w:rFonts w:ascii="Calibri" w:hAnsi="Calibri" w:cs="Calibri"/>
          <w:sz w:val="24"/>
          <w:szCs w:val="24"/>
        </w:rPr>
        <w:t>indicated</w:t>
      </w:r>
      <w:r w:rsidR="009F1DCF">
        <w:rPr>
          <w:rFonts w:ascii="Calibri" w:hAnsi="Calibri" w:cs="Calibri"/>
          <w:sz w:val="24"/>
          <w:szCs w:val="24"/>
        </w:rPr>
        <w:t xml:space="preserve"> </w:t>
      </w:r>
      <w:r w:rsidR="00A908FD">
        <w:rPr>
          <w:rFonts w:ascii="Calibri" w:hAnsi="Calibri" w:cs="Calibri"/>
          <w:sz w:val="24"/>
          <w:szCs w:val="24"/>
        </w:rPr>
        <w:t>many</w:t>
      </w:r>
      <w:r w:rsidR="009F1DCF">
        <w:rPr>
          <w:rFonts w:ascii="Calibri" w:hAnsi="Calibri" w:cs="Calibri"/>
          <w:sz w:val="24"/>
          <w:szCs w:val="24"/>
        </w:rPr>
        <w:t xml:space="preserve"> </w:t>
      </w:r>
      <w:r w:rsidR="00CB4B61">
        <w:rPr>
          <w:rFonts w:ascii="Calibri" w:hAnsi="Calibri" w:cs="Calibri"/>
          <w:sz w:val="24"/>
          <w:szCs w:val="24"/>
        </w:rPr>
        <w:t xml:space="preserve">factors </w:t>
      </w:r>
      <w:r w:rsidR="009F1DCF">
        <w:rPr>
          <w:rFonts w:ascii="Calibri" w:hAnsi="Calibri" w:cs="Calibri"/>
          <w:sz w:val="24"/>
          <w:szCs w:val="24"/>
        </w:rPr>
        <w:t xml:space="preserve">that facilitate timely delivery, organized into </w:t>
      </w:r>
      <w:r w:rsidR="00254963">
        <w:rPr>
          <w:rFonts w:ascii="Calibri" w:hAnsi="Calibri" w:cs="Calibri"/>
          <w:sz w:val="24"/>
          <w:szCs w:val="24"/>
        </w:rPr>
        <w:t>three</w:t>
      </w:r>
      <w:r w:rsidR="009F1DCF">
        <w:rPr>
          <w:rFonts w:ascii="Calibri" w:hAnsi="Calibri" w:cs="Calibri"/>
          <w:sz w:val="24"/>
          <w:szCs w:val="24"/>
        </w:rPr>
        <w:t xml:space="preserve"> domains: </w:t>
      </w:r>
      <w:r w:rsidR="00CB4B61">
        <w:rPr>
          <w:rFonts w:ascii="Calibri" w:hAnsi="Calibri" w:cs="Calibri"/>
          <w:sz w:val="24"/>
          <w:szCs w:val="24"/>
        </w:rPr>
        <w:t xml:space="preserve">production practices, </w:t>
      </w:r>
      <w:r w:rsidR="00A908FD">
        <w:rPr>
          <w:rFonts w:ascii="Calibri" w:hAnsi="Calibri" w:cs="Calibri"/>
          <w:sz w:val="24"/>
          <w:szCs w:val="24"/>
        </w:rPr>
        <w:t xml:space="preserve">practices at the </w:t>
      </w:r>
      <w:r w:rsidR="00254963">
        <w:rPr>
          <w:rFonts w:ascii="Calibri" w:hAnsi="Calibri" w:cs="Calibri"/>
          <w:sz w:val="24"/>
          <w:szCs w:val="24"/>
        </w:rPr>
        <w:t>state, regional, district, and school</w:t>
      </w:r>
      <w:r w:rsidR="00A908FD">
        <w:rPr>
          <w:rFonts w:ascii="Calibri" w:hAnsi="Calibri" w:cs="Calibri"/>
          <w:sz w:val="24"/>
          <w:szCs w:val="24"/>
        </w:rPr>
        <w:t xml:space="preserve"> </w:t>
      </w:r>
      <w:r w:rsidR="00254963">
        <w:rPr>
          <w:rFonts w:ascii="Calibri" w:hAnsi="Calibri" w:cs="Calibri"/>
          <w:sz w:val="24"/>
          <w:szCs w:val="24"/>
        </w:rPr>
        <w:t>level</w:t>
      </w:r>
      <w:r w:rsidR="00710E94">
        <w:rPr>
          <w:rFonts w:ascii="Calibri" w:hAnsi="Calibri" w:cs="Calibri"/>
          <w:sz w:val="24"/>
          <w:szCs w:val="24"/>
        </w:rPr>
        <w:t xml:space="preserve">, and </w:t>
      </w:r>
      <w:r w:rsidR="00CB4B61">
        <w:rPr>
          <w:rFonts w:ascii="Calibri" w:hAnsi="Calibri" w:cs="Calibri"/>
          <w:sz w:val="24"/>
          <w:szCs w:val="24"/>
        </w:rPr>
        <w:t xml:space="preserve">NIMAC </w:t>
      </w:r>
      <w:r w:rsidR="00CB4B61">
        <w:rPr>
          <w:rFonts w:ascii="Calibri" w:hAnsi="Calibri" w:cs="Calibri"/>
          <w:sz w:val="24"/>
          <w:szCs w:val="24"/>
        </w:rPr>
        <w:lastRenderedPageBreak/>
        <w:t>practices</w:t>
      </w:r>
      <w:r w:rsidR="009F1DCF">
        <w:rPr>
          <w:rFonts w:ascii="Calibri" w:hAnsi="Calibri" w:cs="Calibri"/>
          <w:sz w:val="24"/>
          <w:szCs w:val="24"/>
        </w:rPr>
        <w:t xml:space="preserve">. </w:t>
      </w:r>
      <w:r w:rsidR="00CB4B61">
        <w:rPr>
          <w:rFonts w:ascii="Calibri" w:hAnsi="Calibri" w:cs="Calibri"/>
          <w:sz w:val="24"/>
          <w:szCs w:val="24"/>
        </w:rPr>
        <w:t xml:space="preserve">Regarding production practices, for example, nearly three-quarters of survey respondents indicated the facilitation of timely delivery when accessible formats are already available at a central location in </w:t>
      </w:r>
      <w:r w:rsidR="00CE12EF">
        <w:rPr>
          <w:rFonts w:ascii="Calibri" w:hAnsi="Calibri" w:cs="Calibri"/>
          <w:sz w:val="24"/>
          <w:szCs w:val="24"/>
        </w:rPr>
        <w:t>a</w:t>
      </w:r>
      <w:r w:rsidR="00CB4B61">
        <w:rPr>
          <w:rFonts w:ascii="Calibri" w:hAnsi="Calibri" w:cs="Calibri"/>
          <w:sz w:val="24"/>
          <w:szCs w:val="24"/>
        </w:rPr>
        <w:t xml:space="preserve"> state or district. Qualitative feedback from participants illuminated two additional facilitators: local resources for accessible media production (e.g., local braille transcribers) and a streamlined production system. </w:t>
      </w:r>
    </w:p>
    <w:p w14:paraId="7FC763D8" w14:textId="096B06AE" w:rsidR="00175DBA" w:rsidRDefault="00B55C67" w:rsidP="00177D73">
      <w:pPr>
        <w:spacing w:line="276" w:lineRule="auto"/>
        <w:rPr>
          <w:rFonts w:ascii="Calibri" w:hAnsi="Calibri" w:cs="Calibri"/>
          <w:sz w:val="24"/>
          <w:szCs w:val="24"/>
        </w:rPr>
      </w:pPr>
      <w:r>
        <w:rPr>
          <w:rFonts w:ascii="ZWAdobeF" w:hAnsi="ZWAdobeF" w:cs="ZWAdobeF"/>
          <w:sz w:val="2"/>
          <w:szCs w:val="2"/>
        </w:rPr>
        <w:t>268B</w:t>
      </w:r>
      <w:r w:rsidR="00537838">
        <w:rPr>
          <w:rFonts w:ascii="Calibri" w:hAnsi="Calibri" w:cs="Calibri"/>
          <w:sz w:val="24"/>
          <w:szCs w:val="24"/>
        </w:rPr>
        <w:t>With regard to</w:t>
      </w:r>
      <w:r w:rsidR="00E11D2B">
        <w:rPr>
          <w:rFonts w:ascii="Calibri" w:hAnsi="Calibri" w:cs="Calibri"/>
          <w:sz w:val="24"/>
          <w:szCs w:val="24"/>
        </w:rPr>
        <w:t xml:space="preserve"> practices at the state, regional, district, and school level, </w:t>
      </w:r>
      <w:r w:rsidR="00CB4B61">
        <w:rPr>
          <w:rFonts w:ascii="Calibri" w:hAnsi="Calibri" w:cs="Calibri"/>
          <w:sz w:val="24"/>
          <w:szCs w:val="24"/>
        </w:rPr>
        <w:t xml:space="preserve">over three-quarters of survey respondents indicated the facilitation of timely delivery when requests for first-time production of accessible formats are made well in advance of when they are needed. Two-thirds of respondents endorsed a centralized workflow within </w:t>
      </w:r>
      <w:proofErr w:type="gramStart"/>
      <w:r w:rsidR="00CB4B61">
        <w:rPr>
          <w:rFonts w:ascii="Calibri" w:hAnsi="Calibri" w:cs="Calibri"/>
          <w:sz w:val="24"/>
          <w:szCs w:val="24"/>
        </w:rPr>
        <w:t>a SEA</w:t>
      </w:r>
      <w:proofErr w:type="gramEnd"/>
      <w:r w:rsidR="00CB4B61">
        <w:rPr>
          <w:rFonts w:ascii="Calibri" w:hAnsi="Calibri" w:cs="Calibri"/>
          <w:sz w:val="24"/>
          <w:szCs w:val="24"/>
        </w:rPr>
        <w:t xml:space="preserve">, LEA, or Regional District system to process requests. </w:t>
      </w:r>
    </w:p>
    <w:p w14:paraId="1BD5DDE9" w14:textId="6EDF5920" w:rsidR="00175DBA" w:rsidRDefault="00B55C67" w:rsidP="00177D73">
      <w:pPr>
        <w:spacing w:line="276" w:lineRule="auto"/>
        <w:rPr>
          <w:rFonts w:ascii="Calibri" w:hAnsi="Calibri" w:cs="Calibri"/>
          <w:sz w:val="24"/>
          <w:szCs w:val="24"/>
        </w:rPr>
      </w:pPr>
      <w:r>
        <w:rPr>
          <w:rFonts w:ascii="ZWAdobeF" w:hAnsi="ZWAdobeF" w:cs="ZWAdobeF"/>
          <w:sz w:val="2"/>
          <w:szCs w:val="2"/>
        </w:rPr>
        <w:t>269B</w:t>
      </w:r>
      <w:r w:rsidR="00175DBA">
        <w:rPr>
          <w:rFonts w:ascii="Calibri" w:hAnsi="Calibri" w:cs="Calibri"/>
          <w:sz w:val="24"/>
          <w:szCs w:val="24"/>
        </w:rPr>
        <w:t xml:space="preserve">Participant feedback regarding the NIMAC was consistently positive. The vast majority of NIMAC Users (91%) agreed that “The NIMAC Watchlist request system is a valuable service for serving students when NIMAS files have not been received by the publisher.” Over two-thirds of NIMAC Users and publishers also indicated that timely delivery is facilitated by NIMAC staff who provide effective and timely </w:t>
      </w:r>
      <w:r w:rsidR="00F9262A">
        <w:rPr>
          <w:rFonts w:ascii="Calibri" w:hAnsi="Calibri" w:cs="Calibri"/>
          <w:sz w:val="24"/>
          <w:szCs w:val="24"/>
        </w:rPr>
        <w:t>TA.</w:t>
      </w:r>
    </w:p>
    <w:p w14:paraId="38C025E1" w14:textId="570ED3C7" w:rsidR="00537838" w:rsidRDefault="00B55C67" w:rsidP="00177D73">
      <w:pPr>
        <w:spacing w:line="276" w:lineRule="auto"/>
        <w:rPr>
          <w:rFonts w:ascii="Calibri" w:hAnsi="Calibri" w:cs="Calibri"/>
          <w:sz w:val="24"/>
          <w:szCs w:val="24"/>
        </w:rPr>
      </w:pPr>
      <w:r>
        <w:rPr>
          <w:rFonts w:ascii="ZWAdobeF" w:hAnsi="ZWAdobeF" w:cs="ZWAdobeF"/>
          <w:sz w:val="2"/>
          <w:szCs w:val="2"/>
        </w:rPr>
        <w:t>270B</w:t>
      </w:r>
      <w:r w:rsidR="00044B83">
        <w:rPr>
          <w:rFonts w:ascii="Calibri" w:hAnsi="Calibri" w:cs="Calibri"/>
          <w:sz w:val="24"/>
          <w:szCs w:val="24"/>
        </w:rPr>
        <w:t>P</w:t>
      </w:r>
      <w:r w:rsidR="00E11D2B">
        <w:rPr>
          <w:rFonts w:ascii="Calibri" w:hAnsi="Calibri" w:cs="Calibri"/>
          <w:sz w:val="24"/>
          <w:szCs w:val="24"/>
        </w:rPr>
        <w:t>articipants frequently discussed the importance of effective communication among relevant stakeholders</w:t>
      </w:r>
      <w:r w:rsidR="00175DBA">
        <w:rPr>
          <w:rFonts w:ascii="Calibri" w:hAnsi="Calibri" w:cs="Calibri"/>
          <w:sz w:val="24"/>
          <w:szCs w:val="24"/>
        </w:rPr>
        <w:t>. In fact, this qualitative feedback surfaced in discussions about each of the three domains related to timely delivery</w:t>
      </w:r>
      <w:r w:rsidR="00537838">
        <w:rPr>
          <w:rFonts w:ascii="Calibri" w:hAnsi="Calibri" w:cs="Calibri"/>
          <w:sz w:val="24"/>
          <w:szCs w:val="24"/>
        </w:rPr>
        <w:t xml:space="preserve"> </w:t>
      </w:r>
      <w:r w:rsidR="00E2358C">
        <w:rPr>
          <w:rFonts w:ascii="Calibri" w:hAnsi="Calibri" w:cs="Calibri"/>
          <w:sz w:val="24"/>
          <w:szCs w:val="24"/>
        </w:rPr>
        <w:t xml:space="preserve">(e.g., knowledge of accessible formats that are available at a central location for immediate distribution, </w:t>
      </w:r>
      <w:r w:rsidR="00537838">
        <w:rPr>
          <w:rFonts w:ascii="Calibri" w:hAnsi="Calibri" w:cs="Calibri"/>
          <w:sz w:val="24"/>
          <w:szCs w:val="24"/>
        </w:rPr>
        <w:t xml:space="preserve">NIMAC staff responding quickly to </w:t>
      </w:r>
      <w:r w:rsidR="00E2358C">
        <w:rPr>
          <w:rFonts w:ascii="Calibri" w:hAnsi="Calibri" w:cs="Calibri"/>
          <w:sz w:val="24"/>
          <w:szCs w:val="24"/>
        </w:rPr>
        <w:t>requests for assistance</w:t>
      </w:r>
      <w:r w:rsidR="00537838">
        <w:rPr>
          <w:rFonts w:ascii="Calibri" w:hAnsi="Calibri" w:cs="Calibri"/>
          <w:sz w:val="24"/>
          <w:szCs w:val="24"/>
        </w:rPr>
        <w:t>, communication between TVIs</w:t>
      </w:r>
      <w:r w:rsidR="00E2358C">
        <w:rPr>
          <w:rFonts w:ascii="Calibri" w:hAnsi="Calibri" w:cs="Calibri"/>
          <w:sz w:val="24"/>
          <w:szCs w:val="24"/>
        </w:rPr>
        <w:t xml:space="preserve"> and AMPs</w:t>
      </w:r>
      <w:r w:rsidR="00537838">
        <w:rPr>
          <w:rFonts w:ascii="Calibri" w:hAnsi="Calibri" w:cs="Calibri"/>
          <w:sz w:val="24"/>
          <w:szCs w:val="24"/>
        </w:rPr>
        <w:t xml:space="preserve"> about</w:t>
      </w:r>
      <w:r w:rsidR="00E2358C">
        <w:rPr>
          <w:rFonts w:ascii="Calibri" w:hAnsi="Calibri" w:cs="Calibri"/>
          <w:sz w:val="24"/>
          <w:szCs w:val="24"/>
        </w:rPr>
        <w:t xml:space="preserve"> accessible formats that </w:t>
      </w:r>
      <w:r w:rsidR="00710E94">
        <w:rPr>
          <w:rFonts w:ascii="Calibri" w:hAnsi="Calibri" w:cs="Calibri"/>
          <w:sz w:val="24"/>
          <w:szCs w:val="24"/>
        </w:rPr>
        <w:t>students will need</w:t>
      </w:r>
      <w:r w:rsidR="00E2358C">
        <w:rPr>
          <w:rFonts w:ascii="Calibri" w:hAnsi="Calibri" w:cs="Calibri"/>
          <w:sz w:val="24"/>
          <w:szCs w:val="24"/>
        </w:rPr>
        <w:t xml:space="preserve"> in the future</w:t>
      </w:r>
      <w:r w:rsidR="00710E94">
        <w:rPr>
          <w:rFonts w:ascii="Calibri" w:hAnsi="Calibri" w:cs="Calibri"/>
          <w:sz w:val="24"/>
          <w:szCs w:val="24"/>
        </w:rPr>
        <w:t>, a centralized workflow for processing requests for accessible formats</w:t>
      </w:r>
      <w:r w:rsidR="00E2358C">
        <w:rPr>
          <w:rFonts w:ascii="Calibri" w:hAnsi="Calibri" w:cs="Calibri"/>
          <w:sz w:val="24"/>
          <w:szCs w:val="24"/>
        </w:rPr>
        <w:t xml:space="preserve">). </w:t>
      </w:r>
    </w:p>
    <w:p w14:paraId="4D6BBF8E" w14:textId="7165522F" w:rsidR="009F1DCF" w:rsidRDefault="00B55C67" w:rsidP="00177D73">
      <w:pPr>
        <w:spacing w:line="276" w:lineRule="auto"/>
        <w:rPr>
          <w:rFonts w:ascii="Calibri" w:hAnsi="Calibri" w:cs="Calibri"/>
          <w:sz w:val="24"/>
          <w:szCs w:val="24"/>
        </w:rPr>
      </w:pPr>
      <w:r>
        <w:rPr>
          <w:rFonts w:ascii="ZWAdobeF" w:hAnsi="ZWAdobeF" w:cs="ZWAdobeF"/>
          <w:sz w:val="2"/>
          <w:szCs w:val="2"/>
        </w:rPr>
        <w:t>271B</w:t>
      </w:r>
      <w:r w:rsidR="00E11D2B">
        <w:rPr>
          <w:rFonts w:ascii="Calibri" w:hAnsi="Calibri" w:cs="Calibri"/>
          <w:sz w:val="24"/>
          <w:szCs w:val="24"/>
        </w:rPr>
        <w:t xml:space="preserve">Across the </w:t>
      </w:r>
      <w:r w:rsidR="005A6BF2">
        <w:rPr>
          <w:rFonts w:ascii="Calibri" w:hAnsi="Calibri" w:cs="Calibri"/>
          <w:sz w:val="24"/>
          <w:szCs w:val="24"/>
        </w:rPr>
        <w:t xml:space="preserve">three </w:t>
      </w:r>
      <w:r w:rsidR="00E11D2B">
        <w:rPr>
          <w:rFonts w:ascii="Calibri" w:hAnsi="Calibri" w:cs="Calibri"/>
          <w:sz w:val="24"/>
          <w:szCs w:val="24"/>
        </w:rPr>
        <w:t>domains, there</w:t>
      </w:r>
      <w:r w:rsidR="009F1DCF">
        <w:rPr>
          <w:rFonts w:ascii="Calibri" w:hAnsi="Calibri" w:cs="Calibri"/>
          <w:sz w:val="24"/>
          <w:szCs w:val="24"/>
        </w:rPr>
        <w:t xml:space="preserve"> were statistically significant differences by location and respondent role </w:t>
      </w:r>
      <w:r w:rsidR="004F7040">
        <w:rPr>
          <w:rFonts w:ascii="Calibri" w:hAnsi="Calibri" w:cs="Calibri"/>
          <w:sz w:val="24"/>
          <w:szCs w:val="24"/>
        </w:rPr>
        <w:t xml:space="preserve">pertaining to </w:t>
      </w:r>
      <w:r w:rsidR="00E11D2B">
        <w:rPr>
          <w:rFonts w:ascii="Calibri" w:hAnsi="Calibri" w:cs="Calibri"/>
          <w:sz w:val="24"/>
          <w:szCs w:val="24"/>
        </w:rPr>
        <w:t xml:space="preserve">the </w:t>
      </w:r>
      <w:r w:rsidR="004F7040">
        <w:rPr>
          <w:rFonts w:ascii="Calibri" w:hAnsi="Calibri" w:cs="Calibri"/>
          <w:sz w:val="24"/>
          <w:szCs w:val="24"/>
        </w:rPr>
        <w:t>Louis Database of Accessible Materials</w:t>
      </w:r>
      <w:r w:rsidR="005A6BF2">
        <w:rPr>
          <w:rFonts w:ascii="Calibri" w:hAnsi="Calibri" w:cs="Calibri"/>
          <w:sz w:val="24"/>
          <w:szCs w:val="24"/>
        </w:rPr>
        <w:t xml:space="preserve"> and systems and </w:t>
      </w:r>
      <w:r w:rsidR="00254963">
        <w:rPr>
          <w:rFonts w:ascii="Calibri" w:hAnsi="Calibri" w:cs="Calibri"/>
          <w:sz w:val="24"/>
          <w:szCs w:val="24"/>
        </w:rPr>
        <w:t>processes that support AMPs.</w:t>
      </w:r>
      <w:r w:rsidR="00153018">
        <w:rPr>
          <w:rFonts w:ascii="Calibri" w:hAnsi="Calibri" w:cs="Calibri"/>
          <w:sz w:val="24"/>
          <w:szCs w:val="24"/>
        </w:rPr>
        <w:t xml:space="preserve"> </w:t>
      </w:r>
      <w:r w:rsidR="00A9470C">
        <w:rPr>
          <w:rFonts w:ascii="Calibri" w:hAnsi="Calibri" w:cs="Calibri"/>
          <w:sz w:val="24"/>
          <w:szCs w:val="24"/>
        </w:rPr>
        <w:t>D</w:t>
      </w:r>
      <w:r w:rsidR="00153018">
        <w:rPr>
          <w:rFonts w:ascii="Calibri" w:hAnsi="Calibri" w:cs="Calibri"/>
          <w:sz w:val="24"/>
          <w:szCs w:val="24"/>
        </w:rPr>
        <w:t>ifferences by respondent role are expected given that only a subset of roles are directly involved in searching for accessible formats or working directly with AMPs.</w:t>
      </w:r>
      <w:r w:rsidR="00254963">
        <w:rPr>
          <w:rFonts w:ascii="Calibri" w:hAnsi="Calibri" w:cs="Calibri"/>
          <w:sz w:val="24"/>
          <w:szCs w:val="24"/>
        </w:rPr>
        <w:t xml:space="preserve"> </w:t>
      </w:r>
      <w:r w:rsidR="00A9470C">
        <w:rPr>
          <w:rFonts w:ascii="Calibri" w:hAnsi="Calibri" w:cs="Calibri"/>
          <w:sz w:val="24"/>
          <w:szCs w:val="24"/>
        </w:rPr>
        <w:t>D</w:t>
      </w:r>
      <w:r w:rsidR="00254963">
        <w:rPr>
          <w:rFonts w:ascii="Calibri" w:hAnsi="Calibri" w:cs="Calibri"/>
          <w:sz w:val="24"/>
          <w:szCs w:val="24"/>
        </w:rPr>
        <w:t xml:space="preserve">ifferences </w:t>
      </w:r>
      <w:r w:rsidR="00153018">
        <w:rPr>
          <w:rFonts w:ascii="Calibri" w:hAnsi="Calibri" w:cs="Calibri"/>
          <w:sz w:val="24"/>
          <w:szCs w:val="24"/>
        </w:rPr>
        <w:t xml:space="preserve">by state </w:t>
      </w:r>
      <w:r w:rsidR="00254963">
        <w:rPr>
          <w:rFonts w:ascii="Calibri" w:hAnsi="Calibri" w:cs="Calibri"/>
          <w:sz w:val="24"/>
          <w:szCs w:val="24"/>
        </w:rPr>
        <w:t xml:space="preserve">suggest </w:t>
      </w:r>
      <w:r w:rsidR="004F7040">
        <w:rPr>
          <w:rFonts w:ascii="Calibri" w:hAnsi="Calibri" w:cs="Calibri"/>
          <w:sz w:val="24"/>
          <w:szCs w:val="24"/>
        </w:rPr>
        <w:t>that state</w:t>
      </w:r>
      <w:r w:rsidR="00CF698E">
        <w:rPr>
          <w:rFonts w:ascii="Calibri" w:hAnsi="Calibri" w:cs="Calibri"/>
          <w:sz w:val="24"/>
          <w:szCs w:val="24"/>
        </w:rPr>
        <w:t xml:space="preserve"> staff</w:t>
      </w:r>
      <w:r w:rsidR="004F7040">
        <w:rPr>
          <w:rFonts w:ascii="Calibri" w:hAnsi="Calibri" w:cs="Calibri"/>
          <w:sz w:val="24"/>
          <w:szCs w:val="24"/>
        </w:rPr>
        <w:t xml:space="preserve"> </w:t>
      </w:r>
      <w:r w:rsidR="00E2358C">
        <w:rPr>
          <w:rFonts w:ascii="Calibri" w:hAnsi="Calibri" w:cs="Calibri"/>
          <w:sz w:val="24"/>
          <w:szCs w:val="24"/>
        </w:rPr>
        <w:t xml:space="preserve">have varying degrees of experience </w:t>
      </w:r>
      <w:r w:rsidR="007811D1">
        <w:rPr>
          <w:rFonts w:ascii="Calibri" w:hAnsi="Calibri" w:cs="Calibri"/>
          <w:sz w:val="24"/>
          <w:szCs w:val="24"/>
        </w:rPr>
        <w:t>utilizing</w:t>
      </w:r>
      <w:r w:rsidR="00E2358C">
        <w:rPr>
          <w:rFonts w:ascii="Calibri" w:hAnsi="Calibri" w:cs="Calibri"/>
          <w:sz w:val="24"/>
          <w:szCs w:val="24"/>
        </w:rPr>
        <w:t xml:space="preserve"> the Louis Database of Accessible Materials </w:t>
      </w:r>
      <w:r w:rsidR="00CF698E">
        <w:rPr>
          <w:rFonts w:ascii="Calibri" w:hAnsi="Calibri" w:cs="Calibri"/>
          <w:sz w:val="24"/>
          <w:szCs w:val="24"/>
        </w:rPr>
        <w:t>or</w:t>
      </w:r>
      <w:r w:rsidR="00E2358C">
        <w:rPr>
          <w:rFonts w:ascii="Calibri" w:hAnsi="Calibri" w:cs="Calibri"/>
          <w:sz w:val="24"/>
          <w:szCs w:val="24"/>
        </w:rPr>
        <w:t xml:space="preserve"> effectively working with and supporting AMPs.</w:t>
      </w:r>
      <w:r w:rsidR="00537838">
        <w:rPr>
          <w:rFonts w:ascii="Calibri" w:hAnsi="Calibri" w:cs="Calibri"/>
          <w:sz w:val="24"/>
          <w:szCs w:val="24"/>
        </w:rPr>
        <w:t xml:space="preserve">  </w:t>
      </w:r>
    </w:p>
    <w:p w14:paraId="10E8AE68" w14:textId="594CC66E" w:rsidR="0075318D" w:rsidRPr="0075318D" w:rsidRDefault="00B55C67" w:rsidP="00177D73">
      <w:pPr>
        <w:spacing w:line="276" w:lineRule="auto"/>
        <w:rPr>
          <w:rFonts w:ascii="Calibri" w:hAnsi="Calibri" w:cs="Calibri"/>
          <w:sz w:val="24"/>
          <w:szCs w:val="24"/>
        </w:rPr>
      </w:pPr>
      <w:r>
        <w:rPr>
          <w:rFonts w:ascii="ZWAdobeF" w:hAnsi="ZWAdobeF" w:cs="ZWAdobeF"/>
          <w:bCs/>
          <w:iCs/>
          <w:sz w:val="2"/>
          <w:szCs w:val="2"/>
        </w:rPr>
        <w:t>272B</w:t>
      </w:r>
      <w:r w:rsidR="0075318D">
        <w:rPr>
          <w:rFonts w:ascii="Calibri" w:hAnsi="Calibri" w:cs="Calibri"/>
          <w:b/>
          <w:bCs/>
          <w:i/>
          <w:iCs/>
          <w:sz w:val="24"/>
          <w:szCs w:val="24"/>
        </w:rPr>
        <w:t xml:space="preserve">Sub-question 2a: </w:t>
      </w:r>
      <w:r w:rsidR="0075318D" w:rsidRPr="0075318D">
        <w:rPr>
          <w:rFonts w:ascii="Calibri" w:hAnsi="Calibri" w:cs="Calibri"/>
          <w:b/>
          <w:bCs/>
          <w:i/>
          <w:iCs/>
          <w:sz w:val="24"/>
          <w:szCs w:val="24"/>
        </w:rPr>
        <w:t>What practices, including those unrelated to compliance with the NIMAS requirement, hinder the timely delivery of instructional materials?</w:t>
      </w:r>
    </w:p>
    <w:p w14:paraId="1C18FF13" w14:textId="00731081" w:rsidR="005D3FE6" w:rsidRDefault="00B55C67" w:rsidP="00177D73">
      <w:pPr>
        <w:spacing w:line="276" w:lineRule="auto"/>
        <w:rPr>
          <w:rFonts w:ascii="Calibri" w:hAnsi="Calibri" w:cs="Calibri"/>
          <w:sz w:val="24"/>
          <w:szCs w:val="24"/>
        </w:rPr>
      </w:pPr>
      <w:r>
        <w:rPr>
          <w:rFonts w:ascii="ZWAdobeF" w:hAnsi="ZWAdobeF" w:cs="ZWAdobeF"/>
          <w:sz w:val="2"/>
          <w:szCs w:val="2"/>
        </w:rPr>
        <w:t>273B</w:t>
      </w:r>
      <w:r w:rsidR="005D3FE6">
        <w:rPr>
          <w:rFonts w:ascii="Calibri" w:hAnsi="Calibri" w:cs="Calibri"/>
          <w:sz w:val="24"/>
          <w:szCs w:val="24"/>
        </w:rPr>
        <w:t xml:space="preserve">Participants </w:t>
      </w:r>
      <w:r w:rsidR="00FA4E43">
        <w:rPr>
          <w:rFonts w:ascii="Calibri" w:hAnsi="Calibri" w:cs="Calibri"/>
          <w:sz w:val="24"/>
          <w:szCs w:val="24"/>
        </w:rPr>
        <w:t>identified a wide array</w:t>
      </w:r>
      <w:r w:rsidR="005D3FE6">
        <w:rPr>
          <w:rFonts w:ascii="Calibri" w:hAnsi="Calibri" w:cs="Calibri"/>
          <w:sz w:val="24"/>
          <w:szCs w:val="24"/>
        </w:rPr>
        <w:t xml:space="preserve"> of practices that hinder timely delivery, organized into five domains: </w:t>
      </w:r>
      <w:r w:rsidR="00CA46D5">
        <w:rPr>
          <w:rFonts w:ascii="Calibri" w:hAnsi="Calibri" w:cs="Calibri"/>
          <w:sz w:val="24"/>
          <w:szCs w:val="24"/>
        </w:rPr>
        <w:t xml:space="preserve">factors related to procurement of education materials, </w:t>
      </w:r>
      <w:r w:rsidR="005D3FE6">
        <w:rPr>
          <w:rFonts w:ascii="Calibri" w:hAnsi="Calibri" w:cs="Calibri"/>
          <w:sz w:val="24"/>
          <w:szCs w:val="24"/>
        </w:rPr>
        <w:t xml:space="preserve">NIMAC-related factors, </w:t>
      </w:r>
      <w:r w:rsidR="00CA46D5">
        <w:rPr>
          <w:rFonts w:ascii="Calibri" w:hAnsi="Calibri" w:cs="Calibri"/>
          <w:sz w:val="24"/>
          <w:szCs w:val="24"/>
        </w:rPr>
        <w:t xml:space="preserve">production factors, </w:t>
      </w:r>
      <w:r w:rsidR="00FA4E43">
        <w:rPr>
          <w:rFonts w:ascii="Calibri" w:hAnsi="Calibri" w:cs="Calibri"/>
          <w:sz w:val="24"/>
          <w:szCs w:val="24"/>
        </w:rPr>
        <w:t xml:space="preserve">practices at the </w:t>
      </w:r>
      <w:r w:rsidR="005D3FE6">
        <w:rPr>
          <w:rFonts w:ascii="Calibri" w:hAnsi="Calibri" w:cs="Calibri"/>
          <w:sz w:val="24"/>
          <w:szCs w:val="24"/>
        </w:rPr>
        <w:t>state, regional, district, and school</w:t>
      </w:r>
      <w:r w:rsidR="00FA4E43">
        <w:rPr>
          <w:rFonts w:ascii="Calibri" w:hAnsi="Calibri" w:cs="Calibri"/>
          <w:sz w:val="24"/>
          <w:szCs w:val="24"/>
        </w:rPr>
        <w:t xml:space="preserve"> l</w:t>
      </w:r>
      <w:r w:rsidR="005D3FE6">
        <w:rPr>
          <w:rFonts w:ascii="Calibri" w:hAnsi="Calibri" w:cs="Calibri"/>
          <w:sz w:val="24"/>
          <w:szCs w:val="24"/>
        </w:rPr>
        <w:t>eve</w:t>
      </w:r>
      <w:r w:rsidR="00AD5A92">
        <w:rPr>
          <w:rFonts w:ascii="Calibri" w:hAnsi="Calibri" w:cs="Calibri"/>
          <w:sz w:val="24"/>
          <w:szCs w:val="24"/>
        </w:rPr>
        <w:t xml:space="preserve">l, </w:t>
      </w:r>
      <w:r w:rsidR="00CA46D5">
        <w:rPr>
          <w:rFonts w:ascii="Calibri" w:hAnsi="Calibri" w:cs="Calibri"/>
          <w:sz w:val="24"/>
          <w:szCs w:val="24"/>
        </w:rPr>
        <w:t xml:space="preserve">and </w:t>
      </w:r>
      <w:r w:rsidR="00AD5A92">
        <w:rPr>
          <w:rFonts w:ascii="Calibri" w:hAnsi="Calibri" w:cs="Calibri"/>
          <w:sz w:val="24"/>
          <w:szCs w:val="24"/>
        </w:rPr>
        <w:t>challenges associated with charter schools.</w:t>
      </w:r>
      <w:r w:rsidR="005D3FE6">
        <w:rPr>
          <w:rFonts w:ascii="Calibri" w:hAnsi="Calibri" w:cs="Calibri"/>
          <w:sz w:val="24"/>
          <w:szCs w:val="24"/>
        </w:rPr>
        <w:t xml:space="preserve"> </w:t>
      </w:r>
    </w:p>
    <w:p w14:paraId="78CFE94D" w14:textId="423EDB62" w:rsidR="00FD265A" w:rsidRDefault="00B55C67" w:rsidP="00177D73">
      <w:pPr>
        <w:spacing w:line="276" w:lineRule="auto"/>
        <w:rPr>
          <w:rFonts w:ascii="Calibri" w:hAnsi="Calibri" w:cs="Calibri"/>
          <w:sz w:val="24"/>
          <w:szCs w:val="24"/>
        </w:rPr>
      </w:pPr>
      <w:r>
        <w:rPr>
          <w:rFonts w:ascii="ZWAdobeF" w:hAnsi="ZWAdobeF" w:cs="ZWAdobeF"/>
          <w:sz w:val="2"/>
          <w:szCs w:val="2"/>
        </w:rPr>
        <w:t>274B</w:t>
      </w:r>
      <w:r w:rsidR="00FD265A">
        <w:rPr>
          <w:rFonts w:ascii="Calibri" w:hAnsi="Calibri" w:cs="Calibri"/>
          <w:sz w:val="24"/>
          <w:szCs w:val="24"/>
        </w:rPr>
        <w:t xml:space="preserve">Regarding procurement-related factors, three-quarters of survey respondents indicated that timely delivery is </w:t>
      </w:r>
      <w:r w:rsidR="00FD265A" w:rsidRPr="00FD265A">
        <w:rPr>
          <w:rFonts w:ascii="Calibri" w:hAnsi="Calibri" w:cs="Calibri"/>
          <w:bCs/>
          <w:sz w:val="24"/>
          <w:szCs w:val="24"/>
        </w:rPr>
        <w:t xml:space="preserve">hindered when </w:t>
      </w:r>
      <w:r w:rsidR="00FD265A">
        <w:rPr>
          <w:rFonts w:ascii="Calibri" w:hAnsi="Calibri" w:cs="Calibri"/>
          <w:bCs/>
          <w:sz w:val="24"/>
          <w:szCs w:val="24"/>
        </w:rPr>
        <w:t>m</w:t>
      </w:r>
      <w:r w:rsidR="00FD265A" w:rsidRPr="00FD265A">
        <w:rPr>
          <w:rFonts w:ascii="Calibri" w:hAnsi="Calibri" w:cs="Calibri"/>
          <w:bCs/>
          <w:sz w:val="24"/>
          <w:szCs w:val="24"/>
        </w:rPr>
        <w:t xml:space="preserve">aterials are purchased at the school level and do not include </w:t>
      </w:r>
      <w:r w:rsidR="00FD265A" w:rsidRPr="00FD265A">
        <w:rPr>
          <w:rFonts w:ascii="Calibri" w:hAnsi="Calibri" w:cs="Calibri"/>
          <w:bCs/>
          <w:sz w:val="24"/>
          <w:szCs w:val="24"/>
        </w:rPr>
        <w:lastRenderedPageBreak/>
        <w:t>the NIMAS requirement in procurement contracts</w:t>
      </w:r>
      <w:r w:rsidR="00FD265A">
        <w:rPr>
          <w:rFonts w:ascii="Calibri" w:hAnsi="Calibri" w:cs="Calibri"/>
          <w:bCs/>
          <w:sz w:val="24"/>
          <w:szCs w:val="24"/>
        </w:rPr>
        <w:t xml:space="preserve">. Additional factors </w:t>
      </w:r>
      <w:r w:rsidR="002B3E36">
        <w:rPr>
          <w:rFonts w:ascii="Calibri" w:hAnsi="Calibri" w:cs="Calibri"/>
          <w:bCs/>
          <w:sz w:val="24"/>
          <w:szCs w:val="24"/>
        </w:rPr>
        <w:t>endorsed</w:t>
      </w:r>
      <w:r w:rsidR="00FD265A">
        <w:rPr>
          <w:rFonts w:ascii="Calibri" w:hAnsi="Calibri" w:cs="Calibri"/>
          <w:bCs/>
          <w:sz w:val="24"/>
          <w:szCs w:val="24"/>
        </w:rPr>
        <w:t xml:space="preserve"> by over half of respondents related to turnover among SEA/LEA staff responsible for procurement contracts, lack of awareness among SEA/LEA staff who coordinate procurement contracts, and neither the NIMAS requirement </w:t>
      </w:r>
      <w:r w:rsidR="008A0D08">
        <w:rPr>
          <w:rFonts w:ascii="Calibri" w:hAnsi="Calibri" w:cs="Calibri"/>
          <w:bCs/>
          <w:sz w:val="24"/>
          <w:szCs w:val="24"/>
        </w:rPr>
        <w:t>n</w:t>
      </w:r>
      <w:r w:rsidR="00FD265A">
        <w:rPr>
          <w:rFonts w:ascii="Calibri" w:hAnsi="Calibri" w:cs="Calibri"/>
          <w:bCs/>
          <w:sz w:val="24"/>
          <w:szCs w:val="24"/>
        </w:rPr>
        <w:t xml:space="preserve">or NIMAS file deadlines consistently included in procurement contracts. </w:t>
      </w:r>
      <w:r w:rsidR="00990939">
        <w:rPr>
          <w:rFonts w:ascii="Calibri" w:hAnsi="Calibri" w:cs="Calibri"/>
          <w:bCs/>
          <w:sz w:val="24"/>
          <w:szCs w:val="24"/>
        </w:rPr>
        <w:t xml:space="preserve">Qualitative feedback </w:t>
      </w:r>
      <w:r w:rsidR="00990939">
        <w:rPr>
          <w:rFonts w:ascii="Calibri" w:hAnsi="Calibri" w:cs="Calibri"/>
          <w:sz w:val="24"/>
          <w:szCs w:val="24"/>
        </w:rPr>
        <w:t>from participants illuminated an additional hindrance to timely delivery: Curriculum decisions that are made without input from Special Educational professionals.</w:t>
      </w:r>
    </w:p>
    <w:p w14:paraId="765D72C7" w14:textId="03D94BD5" w:rsidR="00A724A0" w:rsidRDefault="00B55C67" w:rsidP="00177D73">
      <w:pPr>
        <w:spacing w:line="276" w:lineRule="auto"/>
        <w:rPr>
          <w:rFonts w:ascii="Calibri" w:hAnsi="Calibri" w:cs="Calibri"/>
          <w:sz w:val="24"/>
          <w:szCs w:val="24"/>
        </w:rPr>
      </w:pPr>
      <w:r>
        <w:rPr>
          <w:rFonts w:ascii="ZWAdobeF" w:hAnsi="ZWAdobeF" w:cs="ZWAdobeF"/>
          <w:sz w:val="2"/>
          <w:szCs w:val="2"/>
        </w:rPr>
        <w:t>275B</w:t>
      </w:r>
      <w:r w:rsidR="00236A0C">
        <w:rPr>
          <w:rFonts w:ascii="Calibri" w:hAnsi="Calibri" w:cs="Calibri"/>
          <w:sz w:val="24"/>
          <w:szCs w:val="24"/>
        </w:rPr>
        <w:t>The two most frequently endorsed NIMAC-related factors that hinder timely delivery were misunderstandings about the NIMAC and NIMAS files</w:t>
      </w:r>
      <w:r w:rsidR="002B3E36">
        <w:rPr>
          <w:rFonts w:ascii="Calibri" w:hAnsi="Calibri" w:cs="Calibri"/>
          <w:sz w:val="24"/>
          <w:szCs w:val="24"/>
        </w:rPr>
        <w:t>,</w:t>
      </w:r>
      <w:r w:rsidR="00236A0C">
        <w:rPr>
          <w:rFonts w:ascii="Calibri" w:hAnsi="Calibri" w:cs="Calibri"/>
          <w:sz w:val="24"/>
          <w:szCs w:val="24"/>
        </w:rPr>
        <w:t xml:space="preserve"> and a lack of understanding </w:t>
      </w:r>
      <w:r w:rsidR="005E3045">
        <w:rPr>
          <w:rFonts w:ascii="Calibri" w:hAnsi="Calibri" w:cs="Calibri"/>
          <w:sz w:val="24"/>
          <w:szCs w:val="24"/>
        </w:rPr>
        <w:t xml:space="preserve">or </w:t>
      </w:r>
      <w:r w:rsidR="00236A0C">
        <w:rPr>
          <w:rFonts w:ascii="Calibri" w:hAnsi="Calibri" w:cs="Calibri"/>
          <w:sz w:val="24"/>
          <w:szCs w:val="24"/>
        </w:rPr>
        <w:t xml:space="preserve">awareness of the NIMAC. </w:t>
      </w:r>
      <w:r w:rsidR="00A724A0">
        <w:rPr>
          <w:rFonts w:ascii="Calibri" w:hAnsi="Calibri" w:cs="Calibri"/>
          <w:sz w:val="24"/>
          <w:szCs w:val="24"/>
        </w:rPr>
        <w:t xml:space="preserve">Participants offered potential strategies to address these challenges, including comprehensive trainings on effectively using NIMAS files, especially for the production of large print. </w:t>
      </w:r>
    </w:p>
    <w:p w14:paraId="0170CA19" w14:textId="5F4C0E9B" w:rsidR="005D7009" w:rsidRDefault="00B55C67" w:rsidP="00177D73">
      <w:pPr>
        <w:spacing w:line="276" w:lineRule="auto"/>
        <w:rPr>
          <w:rFonts w:cstheme="minorHAnsi"/>
          <w:sz w:val="24"/>
          <w:szCs w:val="24"/>
        </w:rPr>
      </w:pPr>
      <w:r>
        <w:rPr>
          <w:rFonts w:ascii="ZWAdobeF" w:hAnsi="ZWAdobeF" w:cs="ZWAdobeF"/>
          <w:sz w:val="2"/>
          <w:szCs w:val="2"/>
        </w:rPr>
        <w:t>276B</w:t>
      </w:r>
      <w:r w:rsidR="005D7009">
        <w:rPr>
          <w:rFonts w:cstheme="minorHAnsi"/>
          <w:sz w:val="24"/>
          <w:szCs w:val="24"/>
        </w:rPr>
        <w:t xml:space="preserve">With regard to production, the most frequently endorsed factor, by nearly three-quarters of survey respondents, was delays associated with obtaining a physical copy or PDF of the instructional material </w:t>
      </w:r>
      <w:r w:rsidR="005D7009" w:rsidRPr="00B45749">
        <w:rPr>
          <w:rFonts w:ascii="Calibri" w:hAnsi="Calibri" w:cs="Calibri"/>
          <w:bCs/>
          <w:sz w:val="24"/>
          <w:szCs w:val="24"/>
        </w:rPr>
        <w:t>before the accessible format can be created</w:t>
      </w:r>
      <w:r w:rsidR="005D7009">
        <w:rPr>
          <w:rFonts w:cstheme="minorHAnsi"/>
          <w:sz w:val="24"/>
          <w:szCs w:val="24"/>
        </w:rPr>
        <w:t>. Additional factors selected by approximately two-thirds of survey respondents related to l</w:t>
      </w:r>
      <w:r w:rsidR="005D7009" w:rsidRPr="00B9671B">
        <w:rPr>
          <w:rFonts w:ascii="Calibri" w:hAnsi="Calibri" w:cs="Calibri"/>
          <w:bCs/>
          <w:sz w:val="24"/>
          <w:szCs w:val="24"/>
        </w:rPr>
        <w:t>ack of communication between those making curriculum decisions and publishers</w:t>
      </w:r>
      <w:r w:rsidR="005D7009">
        <w:rPr>
          <w:rFonts w:ascii="Calibri" w:hAnsi="Calibri" w:cs="Calibri"/>
          <w:bCs/>
          <w:sz w:val="24"/>
          <w:szCs w:val="24"/>
        </w:rPr>
        <w:t>, s</w:t>
      </w:r>
      <w:r w:rsidR="005D7009" w:rsidRPr="00B9671B">
        <w:rPr>
          <w:rFonts w:ascii="Calibri" w:hAnsi="Calibri" w:cs="Calibri"/>
          <w:bCs/>
          <w:sz w:val="24"/>
          <w:szCs w:val="24"/>
        </w:rPr>
        <w:t>taffing challenges that impact the capability of AMPs to produce accessible formats</w:t>
      </w:r>
      <w:r w:rsidR="005D7009">
        <w:rPr>
          <w:rFonts w:ascii="Calibri" w:hAnsi="Calibri" w:cs="Calibri"/>
          <w:bCs/>
          <w:sz w:val="24"/>
          <w:szCs w:val="24"/>
        </w:rPr>
        <w:t>, and l</w:t>
      </w:r>
      <w:r w:rsidR="005D7009" w:rsidRPr="00B9671B">
        <w:rPr>
          <w:rFonts w:ascii="Calibri" w:hAnsi="Calibri" w:cs="Calibri"/>
          <w:bCs/>
          <w:sz w:val="24"/>
          <w:szCs w:val="24"/>
        </w:rPr>
        <w:t>imited capability of AMPs (e.g., lack of staff) to produce some accessible formats</w:t>
      </w:r>
      <w:r w:rsidR="005D7009">
        <w:rPr>
          <w:rFonts w:ascii="Calibri" w:hAnsi="Calibri" w:cs="Calibri"/>
          <w:bCs/>
          <w:sz w:val="24"/>
          <w:szCs w:val="24"/>
        </w:rPr>
        <w:t>.</w:t>
      </w:r>
      <w:r w:rsidR="005D7009">
        <w:rPr>
          <w:rFonts w:cstheme="minorHAnsi"/>
          <w:sz w:val="24"/>
          <w:szCs w:val="24"/>
        </w:rPr>
        <w:t xml:space="preserve"> Qualitative feedback aligned with survey response data and commonly described insufficient lead time for the production of accessible formats. </w:t>
      </w:r>
    </w:p>
    <w:p w14:paraId="3B3F1122" w14:textId="1FE996D4" w:rsidR="00253F8B" w:rsidRDefault="00B55C67" w:rsidP="00177D73">
      <w:pPr>
        <w:spacing w:line="276" w:lineRule="auto"/>
        <w:rPr>
          <w:rFonts w:cstheme="minorHAnsi"/>
          <w:sz w:val="24"/>
          <w:szCs w:val="24"/>
        </w:rPr>
      </w:pPr>
      <w:r>
        <w:rPr>
          <w:rFonts w:ascii="ZWAdobeF" w:hAnsi="ZWAdobeF" w:cs="ZWAdobeF"/>
          <w:sz w:val="2"/>
          <w:szCs w:val="2"/>
        </w:rPr>
        <w:t>277B</w:t>
      </w:r>
      <w:r w:rsidR="00847940">
        <w:rPr>
          <w:rFonts w:cstheme="minorHAnsi"/>
          <w:sz w:val="24"/>
          <w:szCs w:val="24"/>
        </w:rPr>
        <w:t>At the state, district, regional, and school level, the two most commonly endorsed challenges</w:t>
      </w:r>
      <w:r w:rsidR="00B6605C">
        <w:rPr>
          <w:rFonts w:cstheme="minorHAnsi"/>
          <w:sz w:val="24"/>
          <w:szCs w:val="24"/>
        </w:rPr>
        <w:t>, by over two-thirds of survey respondents,</w:t>
      </w:r>
      <w:r w:rsidR="00847940">
        <w:rPr>
          <w:rFonts w:cstheme="minorHAnsi"/>
          <w:sz w:val="24"/>
          <w:szCs w:val="24"/>
        </w:rPr>
        <w:t xml:space="preserve"> </w:t>
      </w:r>
      <w:r w:rsidR="00E939A7">
        <w:rPr>
          <w:rFonts w:cstheme="minorHAnsi"/>
          <w:sz w:val="24"/>
          <w:szCs w:val="24"/>
        </w:rPr>
        <w:t>pertained to</w:t>
      </w:r>
      <w:r w:rsidR="00847940">
        <w:rPr>
          <w:rFonts w:cstheme="minorHAnsi"/>
          <w:sz w:val="24"/>
          <w:szCs w:val="24"/>
        </w:rPr>
        <w:t xml:space="preserve"> lack of communication: district-level or itinerant teachers (e.g., TVIs) who are unlikely to learn about district curriculum decisions</w:t>
      </w:r>
      <w:r w:rsidR="002B3E36">
        <w:rPr>
          <w:rFonts w:cstheme="minorHAnsi"/>
          <w:sz w:val="24"/>
          <w:szCs w:val="24"/>
        </w:rPr>
        <w:t>,</w:t>
      </w:r>
      <w:r w:rsidR="00847940">
        <w:rPr>
          <w:rFonts w:cstheme="minorHAnsi"/>
          <w:sz w:val="24"/>
          <w:szCs w:val="24"/>
        </w:rPr>
        <w:t xml:space="preserve"> and curriculum changes at the state or district level that are not communicated to schools and teachers. </w:t>
      </w:r>
      <w:r w:rsidR="00B6605C">
        <w:rPr>
          <w:rFonts w:ascii="Calibri" w:hAnsi="Calibri" w:cs="Calibri"/>
          <w:bCs/>
          <w:sz w:val="24"/>
          <w:szCs w:val="24"/>
        </w:rPr>
        <w:t xml:space="preserve">Qualitative feedback </w:t>
      </w:r>
      <w:r w:rsidR="00B6605C">
        <w:rPr>
          <w:rFonts w:ascii="Calibri" w:hAnsi="Calibri" w:cs="Calibri"/>
          <w:sz w:val="24"/>
          <w:szCs w:val="24"/>
        </w:rPr>
        <w:t>from participants illuminated an additional hindrance to timely delivery: lack of understanding of accessibility requirements and how to obtain accessible formats. Other qualitative feedback regarding state, district, regional, and school-level</w:t>
      </w:r>
      <w:r w:rsidR="00AD5A92">
        <w:rPr>
          <w:rFonts w:cstheme="minorHAnsi"/>
          <w:sz w:val="24"/>
          <w:szCs w:val="24"/>
        </w:rPr>
        <w:t xml:space="preserve"> practices </w:t>
      </w:r>
      <w:r w:rsidR="00B6605C">
        <w:rPr>
          <w:rFonts w:cstheme="minorHAnsi"/>
          <w:sz w:val="24"/>
          <w:szCs w:val="24"/>
        </w:rPr>
        <w:t xml:space="preserve">suggested </w:t>
      </w:r>
      <w:r w:rsidR="00AD5A92">
        <w:rPr>
          <w:rFonts w:cstheme="minorHAnsi"/>
          <w:sz w:val="24"/>
          <w:szCs w:val="24"/>
        </w:rPr>
        <w:t xml:space="preserve">communication to be a root cause for many challenges to timely delivery. </w:t>
      </w:r>
      <w:r w:rsidR="00B6605C">
        <w:rPr>
          <w:rFonts w:cstheme="minorHAnsi"/>
          <w:sz w:val="24"/>
          <w:szCs w:val="24"/>
        </w:rPr>
        <w:t>Interestingly, communication was highlighted as a key facilitator of timely delivery</w:t>
      </w:r>
      <w:r w:rsidR="00EB13EE">
        <w:rPr>
          <w:rFonts w:cstheme="minorHAnsi"/>
          <w:sz w:val="24"/>
          <w:szCs w:val="24"/>
        </w:rPr>
        <w:t xml:space="preserve"> as well, suggesting that it can facilitate or hinder timely delivery depending on its quality, clarity, and timeliness. </w:t>
      </w:r>
      <w:r w:rsidR="007E73C3">
        <w:rPr>
          <w:rFonts w:cstheme="minorHAnsi"/>
          <w:sz w:val="24"/>
          <w:szCs w:val="24"/>
        </w:rPr>
        <w:t xml:space="preserve"> </w:t>
      </w:r>
    </w:p>
    <w:p w14:paraId="57349C55" w14:textId="0C331CEE" w:rsidR="00764D08" w:rsidRDefault="00B55C67" w:rsidP="00177D73">
      <w:pPr>
        <w:spacing w:line="276" w:lineRule="auto"/>
        <w:rPr>
          <w:rFonts w:cstheme="minorHAnsi"/>
          <w:sz w:val="24"/>
          <w:szCs w:val="24"/>
        </w:rPr>
      </w:pPr>
      <w:r>
        <w:rPr>
          <w:rFonts w:ascii="ZWAdobeF" w:hAnsi="ZWAdobeF" w:cs="ZWAdobeF"/>
          <w:sz w:val="2"/>
          <w:szCs w:val="2"/>
        </w:rPr>
        <w:t>278B</w:t>
      </w:r>
      <w:r w:rsidR="00764D08">
        <w:rPr>
          <w:rFonts w:cstheme="minorHAnsi"/>
          <w:sz w:val="24"/>
          <w:szCs w:val="24"/>
        </w:rPr>
        <w:t xml:space="preserve">Challenges to timely delivery in charter schools mirrored those of practices across state, district, regional, and school levels. Over two-thirds of survey respondents indicated three hindrances: </w:t>
      </w:r>
      <w:r w:rsidR="00764D08" w:rsidRPr="00764D08">
        <w:rPr>
          <w:rFonts w:cstheme="minorHAnsi"/>
          <w:sz w:val="24"/>
          <w:szCs w:val="24"/>
        </w:rPr>
        <w:t>Lack of familiarity with special education and the process for obtaining accessible formats among charter school administrators,</w:t>
      </w:r>
      <w:r w:rsidR="00764D08">
        <w:rPr>
          <w:rFonts w:cstheme="minorHAnsi"/>
          <w:sz w:val="24"/>
          <w:szCs w:val="24"/>
        </w:rPr>
        <w:t xml:space="preserve"> l</w:t>
      </w:r>
      <w:r w:rsidR="00764D08" w:rsidRPr="00764D08">
        <w:rPr>
          <w:rFonts w:cstheme="minorHAnsi"/>
          <w:sz w:val="24"/>
          <w:szCs w:val="24"/>
        </w:rPr>
        <w:t xml:space="preserve">ack of resources needed to obtain accessible formats, and </w:t>
      </w:r>
      <w:r w:rsidR="00764D08">
        <w:rPr>
          <w:rFonts w:cstheme="minorHAnsi"/>
          <w:sz w:val="24"/>
          <w:szCs w:val="24"/>
        </w:rPr>
        <w:t>l</w:t>
      </w:r>
      <w:r w:rsidR="00764D08" w:rsidRPr="00764D08">
        <w:rPr>
          <w:rFonts w:cstheme="minorHAnsi"/>
          <w:sz w:val="24"/>
          <w:szCs w:val="24"/>
        </w:rPr>
        <w:t>ack of accountability systems to promote timely delivery</w:t>
      </w:r>
      <w:r w:rsidR="00764D08">
        <w:rPr>
          <w:rFonts w:cstheme="minorHAnsi"/>
          <w:sz w:val="24"/>
          <w:szCs w:val="24"/>
        </w:rPr>
        <w:t xml:space="preserve">. Qualitative feedback from </w:t>
      </w:r>
      <w:r w:rsidR="00764D08">
        <w:rPr>
          <w:rFonts w:cstheme="minorHAnsi"/>
          <w:sz w:val="24"/>
          <w:szCs w:val="24"/>
        </w:rPr>
        <w:lastRenderedPageBreak/>
        <w:t xml:space="preserve">participants illuminated an additional factor: </w:t>
      </w:r>
      <w:r w:rsidR="00764D08" w:rsidRPr="00764D08">
        <w:rPr>
          <w:rFonts w:cstheme="minorHAnsi"/>
          <w:sz w:val="24"/>
          <w:szCs w:val="24"/>
        </w:rPr>
        <w:t xml:space="preserve">Frequent use of teacher-created, non-traditional, </w:t>
      </w:r>
      <w:r w:rsidR="00A12BBF">
        <w:rPr>
          <w:rFonts w:cstheme="minorHAnsi"/>
          <w:sz w:val="24"/>
          <w:szCs w:val="24"/>
        </w:rPr>
        <w:t xml:space="preserve">and </w:t>
      </w:r>
      <w:r w:rsidR="00764D08" w:rsidRPr="00764D08">
        <w:rPr>
          <w:rFonts w:cstheme="minorHAnsi"/>
          <w:sz w:val="24"/>
          <w:szCs w:val="24"/>
        </w:rPr>
        <w:t>digital materials that are difficult to make accessible</w:t>
      </w:r>
      <w:r w:rsidR="00764D08">
        <w:rPr>
          <w:rFonts w:cstheme="minorHAnsi"/>
          <w:sz w:val="24"/>
          <w:szCs w:val="24"/>
        </w:rPr>
        <w:t>.</w:t>
      </w:r>
    </w:p>
    <w:p w14:paraId="3A288761" w14:textId="02E7A860" w:rsidR="00BA23D5" w:rsidRDefault="00B55C67" w:rsidP="00177D73">
      <w:pPr>
        <w:spacing w:line="276" w:lineRule="auto"/>
        <w:rPr>
          <w:rFonts w:cstheme="minorHAnsi"/>
          <w:sz w:val="24"/>
          <w:szCs w:val="24"/>
        </w:rPr>
      </w:pPr>
      <w:r>
        <w:rPr>
          <w:rFonts w:ascii="ZWAdobeF" w:hAnsi="ZWAdobeF" w:cs="ZWAdobeF"/>
          <w:sz w:val="2"/>
          <w:szCs w:val="2"/>
        </w:rPr>
        <w:t>279B</w:t>
      </w:r>
      <w:r w:rsidR="00BA23D5">
        <w:rPr>
          <w:rFonts w:cstheme="minorHAnsi"/>
          <w:sz w:val="24"/>
          <w:szCs w:val="24"/>
        </w:rPr>
        <w:t>When examining statistically significant differences across roles in the endorsement of factors that hinder timely delivery, LEA, ESD, regional, and cooperative agency staff were less likely to endorse challenges associated with the NIMAS requirement not being included in procurement contracts and deadlines for NIMAS file production not included in procurement contracts. These findings are concerning since educational materials are often purchased at the LEA level by staff who may not be aware of the</w:t>
      </w:r>
      <w:r w:rsidR="00961236">
        <w:rPr>
          <w:rFonts w:cstheme="minorHAnsi"/>
          <w:sz w:val="24"/>
          <w:szCs w:val="24"/>
        </w:rPr>
        <w:t xml:space="preserve"> NIMAC-related</w:t>
      </w:r>
      <w:r w:rsidR="00BA23D5">
        <w:rPr>
          <w:rFonts w:cstheme="minorHAnsi"/>
          <w:sz w:val="24"/>
          <w:szCs w:val="24"/>
        </w:rPr>
        <w:t xml:space="preserve"> factors involved in accessible format production. </w:t>
      </w:r>
    </w:p>
    <w:p w14:paraId="0CAA9A12" w14:textId="42F9C42C" w:rsidR="00537838" w:rsidRPr="00BA23D5" w:rsidRDefault="00B55C67" w:rsidP="00177D73">
      <w:pPr>
        <w:spacing w:line="276" w:lineRule="auto"/>
        <w:rPr>
          <w:rFonts w:cstheme="minorHAnsi"/>
          <w:sz w:val="24"/>
          <w:szCs w:val="24"/>
        </w:rPr>
      </w:pPr>
      <w:r>
        <w:rPr>
          <w:rFonts w:ascii="ZWAdobeF" w:hAnsi="ZWAdobeF" w:cs="ZWAdobeF"/>
          <w:sz w:val="2"/>
          <w:szCs w:val="2"/>
        </w:rPr>
        <w:t>280B</w:t>
      </w:r>
      <w:r w:rsidR="00BA23D5">
        <w:rPr>
          <w:rFonts w:cstheme="minorHAnsi"/>
          <w:sz w:val="24"/>
          <w:szCs w:val="24"/>
        </w:rPr>
        <w:t xml:space="preserve">There were also a number of statistically significant differences across states, highlighting how each state has unique strengths and challenges that impact their processes for accessible format production. In support of this </w:t>
      </w:r>
      <w:r w:rsidR="00043478">
        <w:rPr>
          <w:rFonts w:cstheme="minorHAnsi"/>
          <w:sz w:val="24"/>
          <w:szCs w:val="24"/>
        </w:rPr>
        <w:t>finding about variability across states is agreement data regarding AMPs’ capacity: only</w:t>
      </w:r>
      <w:r w:rsidR="00BA23D5">
        <w:rPr>
          <w:rFonts w:cstheme="minorHAnsi"/>
          <w:sz w:val="24"/>
          <w:szCs w:val="24"/>
        </w:rPr>
        <w:t xml:space="preserve"> half of </w:t>
      </w:r>
      <w:r w:rsidR="00043478">
        <w:rPr>
          <w:rFonts w:cstheme="minorHAnsi"/>
          <w:sz w:val="24"/>
          <w:szCs w:val="24"/>
        </w:rPr>
        <w:t xml:space="preserve">survey </w:t>
      </w:r>
      <w:r w:rsidR="00BA23D5">
        <w:rPr>
          <w:rFonts w:cstheme="minorHAnsi"/>
          <w:sz w:val="24"/>
          <w:szCs w:val="24"/>
        </w:rPr>
        <w:t>respondents agreed that the capacity of AMPs is generally sufficient</w:t>
      </w:r>
      <w:r w:rsidR="00043478">
        <w:rPr>
          <w:rFonts w:cstheme="minorHAnsi"/>
          <w:sz w:val="24"/>
          <w:szCs w:val="24"/>
        </w:rPr>
        <w:t xml:space="preserve"> </w:t>
      </w:r>
      <w:r w:rsidR="00043478" w:rsidRPr="00B346E7">
        <w:rPr>
          <w:rFonts w:cstheme="minorHAnsi"/>
          <w:sz w:val="24"/>
          <w:szCs w:val="24"/>
        </w:rPr>
        <w:t>to produce all accessible format production requests in a timely manner</w:t>
      </w:r>
      <w:r w:rsidR="00BA23D5">
        <w:rPr>
          <w:rFonts w:cstheme="minorHAnsi"/>
          <w:sz w:val="24"/>
          <w:szCs w:val="24"/>
        </w:rPr>
        <w:t xml:space="preserve">. </w:t>
      </w:r>
    </w:p>
    <w:p w14:paraId="339E5527" w14:textId="642A39D6" w:rsidR="0075318D" w:rsidRPr="007873C3" w:rsidRDefault="00B55C67" w:rsidP="00177D73">
      <w:pPr>
        <w:spacing w:line="276" w:lineRule="auto"/>
        <w:rPr>
          <w:rFonts w:ascii="Calibri" w:hAnsi="Calibri" w:cs="Calibri"/>
          <w:sz w:val="24"/>
          <w:szCs w:val="24"/>
        </w:rPr>
      </w:pPr>
      <w:r>
        <w:rPr>
          <w:rFonts w:ascii="ZWAdobeF" w:hAnsi="ZWAdobeF" w:cs="ZWAdobeF"/>
          <w:bCs/>
          <w:iCs/>
          <w:sz w:val="2"/>
          <w:szCs w:val="2"/>
        </w:rPr>
        <w:t>281B</w:t>
      </w:r>
      <w:r w:rsidR="0075318D">
        <w:rPr>
          <w:rFonts w:ascii="Calibri" w:hAnsi="Calibri" w:cs="Calibri"/>
          <w:b/>
          <w:bCs/>
          <w:i/>
          <w:iCs/>
          <w:sz w:val="24"/>
          <w:szCs w:val="24"/>
        </w:rPr>
        <w:t xml:space="preserve">Sub-question 2b: </w:t>
      </w:r>
      <w:r w:rsidR="0075318D" w:rsidRPr="0075318D">
        <w:rPr>
          <w:rFonts w:ascii="Calibri" w:hAnsi="Calibri" w:cs="Calibri"/>
          <w:b/>
          <w:bCs/>
          <w:i/>
          <w:iCs/>
          <w:sz w:val="24"/>
          <w:szCs w:val="24"/>
        </w:rPr>
        <w:t xml:space="preserve">How can </w:t>
      </w:r>
      <w:proofErr w:type="gramStart"/>
      <w:r w:rsidR="0075318D" w:rsidRPr="0075318D">
        <w:rPr>
          <w:rFonts w:ascii="Calibri" w:hAnsi="Calibri" w:cs="Calibri"/>
          <w:b/>
          <w:bCs/>
          <w:i/>
          <w:iCs/>
          <w:sz w:val="24"/>
          <w:szCs w:val="24"/>
        </w:rPr>
        <w:t>the NIMAC</w:t>
      </w:r>
      <w:proofErr w:type="gramEnd"/>
      <w:r w:rsidR="0075318D" w:rsidRPr="0075318D">
        <w:rPr>
          <w:rFonts w:ascii="Calibri" w:hAnsi="Calibri" w:cs="Calibri"/>
          <w:b/>
          <w:bCs/>
          <w:i/>
          <w:iCs/>
          <w:sz w:val="24"/>
          <w:szCs w:val="24"/>
        </w:rPr>
        <w:t xml:space="preserve"> help SEAs and LEAs understand and implement strategies for consistent inclusion of the NIMAS requirement in procurement contracts?</w:t>
      </w:r>
    </w:p>
    <w:bookmarkEnd w:id="102"/>
    <w:p w14:paraId="263C267E" w14:textId="18C8A337" w:rsidR="00C0769B" w:rsidRDefault="00B55C67" w:rsidP="00177D73">
      <w:pPr>
        <w:spacing w:line="276" w:lineRule="auto"/>
        <w:rPr>
          <w:rFonts w:ascii="Calibri" w:hAnsi="Calibri" w:cs="Calibri"/>
          <w:sz w:val="24"/>
          <w:szCs w:val="24"/>
        </w:rPr>
      </w:pPr>
      <w:r>
        <w:rPr>
          <w:rFonts w:ascii="ZWAdobeF" w:hAnsi="ZWAdobeF" w:cs="ZWAdobeF"/>
          <w:sz w:val="2"/>
          <w:szCs w:val="2"/>
        </w:rPr>
        <w:t>282B</w:t>
      </w:r>
      <w:r w:rsidR="00C0769B">
        <w:rPr>
          <w:rFonts w:ascii="Calibri" w:hAnsi="Calibri" w:cs="Calibri"/>
          <w:sz w:val="24"/>
          <w:szCs w:val="24"/>
        </w:rPr>
        <w:t xml:space="preserve">The majority of survey respondents </w:t>
      </w:r>
      <w:r w:rsidR="00D51605">
        <w:rPr>
          <w:rFonts w:ascii="Calibri" w:hAnsi="Calibri" w:cs="Calibri"/>
          <w:sz w:val="24"/>
          <w:szCs w:val="24"/>
        </w:rPr>
        <w:t xml:space="preserve">(approximately 75%) </w:t>
      </w:r>
      <w:r w:rsidR="00C0769B">
        <w:rPr>
          <w:rFonts w:ascii="Calibri" w:hAnsi="Calibri" w:cs="Calibri"/>
          <w:sz w:val="24"/>
          <w:szCs w:val="24"/>
        </w:rPr>
        <w:t xml:space="preserve">were not familiar with and had not been involved in procurement contract processes for educational materials. Of those with some familiarity, more than half indicated that the NIMAS requirement is never or rarely included in procurement contracts. </w:t>
      </w:r>
      <w:r w:rsidR="00F84A52">
        <w:rPr>
          <w:rFonts w:ascii="Calibri" w:hAnsi="Calibri" w:cs="Calibri"/>
          <w:sz w:val="24"/>
          <w:szCs w:val="24"/>
        </w:rPr>
        <w:t xml:space="preserve">This is problematic given that </w:t>
      </w:r>
      <w:r w:rsidR="00F84A52" w:rsidRPr="00F84A52">
        <w:rPr>
          <w:rFonts w:ascii="Calibri" w:hAnsi="Calibri" w:cs="Calibri"/>
          <w:sz w:val="24"/>
          <w:szCs w:val="24"/>
        </w:rPr>
        <w:t xml:space="preserve">the NIMAS requirement in procurement contracts is the only legal mechanism </w:t>
      </w:r>
      <w:r w:rsidR="006A7FD2">
        <w:rPr>
          <w:rFonts w:ascii="Calibri" w:hAnsi="Calibri" w:cs="Calibri"/>
          <w:sz w:val="24"/>
          <w:szCs w:val="24"/>
        </w:rPr>
        <w:t xml:space="preserve">for requiring </w:t>
      </w:r>
      <w:r w:rsidR="00F84A52" w:rsidRPr="00F84A52">
        <w:rPr>
          <w:rFonts w:ascii="Calibri" w:hAnsi="Calibri" w:cs="Calibri"/>
          <w:sz w:val="24"/>
          <w:szCs w:val="24"/>
        </w:rPr>
        <w:t xml:space="preserve">publishers </w:t>
      </w:r>
      <w:r w:rsidR="006A7FD2">
        <w:rPr>
          <w:rFonts w:ascii="Calibri" w:hAnsi="Calibri" w:cs="Calibri"/>
          <w:sz w:val="24"/>
          <w:szCs w:val="24"/>
        </w:rPr>
        <w:t>to submit</w:t>
      </w:r>
      <w:r w:rsidR="00F84A52" w:rsidRPr="00F84A52">
        <w:rPr>
          <w:rFonts w:ascii="Calibri" w:hAnsi="Calibri" w:cs="Calibri"/>
          <w:sz w:val="24"/>
          <w:szCs w:val="24"/>
        </w:rPr>
        <w:t xml:space="preserve"> NIMAS files to the NIMAC repository</w:t>
      </w:r>
      <w:r w:rsidR="00F84A52">
        <w:rPr>
          <w:rFonts w:ascii="Calibri" w:hAnsi="Calibri" w:cs="Calibri"/>
          <w:sz w:val="24"/>
          <w:szCs w:val="24"/>
        </w:rPr>
        <w:t>.</w:t>
      </w:r>
    </w:p>
    <w:p w14:paraId="7EA17587" w14:textId="6EC1B84F" w:rsidR="00D73D54" w:rsidRDefault="00B55C67" w:rsidP="00177D73">
      <w:pPr>
        <w:spacing w:line="276" w:lineRule="auto"/>
        <w:rPr>
          <w:rFonts w:ascii="Calibri" w:hAnsi="Calibri" w:cs="Calibri"/>
          <w:sz w:val="24"/>
          <w:szCs w:val="24"/>
        </w:rPr>
      </w:pPr>
      <w:r>
        <w:rPr>
          <w:rFonts w:ascii="ZWAdobeF" w:hAnsi="ZWAdobeF" w:cs="ZWAdobeF"/>
          <w:sz w:val="2"/>
          <w:szCs w:val="2"/>
        </w:rPr>
        <w:t>283B</w:t>
      </w:r>
      <w:r w:rsidR="00C0769B">
        <w:rPr>
          <w:rFonts w:ascii="Calibri" w:hAnsi="Calibri" w:cs="Calibri"/>
          <w:sz w:val="24"/>
          <w:szCs w:val="24"/>
        </w:rPr>
        <w:t xml:space="preserve">Participants provided insight into strategies to help SEAs and LEAs consistently include the NIMAS requirement in procurement contracts. </w:t>
      </w:r>
      <w:r w:rsidR="007A3EA8">
        <w:rPr>
          <w:rFonts w:ascii="Calibri" w:hAnsi="Calibri" w:cs="Calibri"/>
          <w:sz w:val="24"/>
          <w:szCs w:val="24"/>
        </w:rPr>
        <w:t xml:space="preserve">Over two-thirds of </w:t>
      </w:r>
      <w:r w:rsidR="00C0769B">
        <w:rPr>
          <w:rFonts w:ascii="Calibri" w:hAnsi="Calibri" w:cs="Calibri"/>
          <w:sz w:val="24"/>
          <w:szCs w:val="24"/>
        </w:rPr>
        <w:t xml:space="preserve">survey respondents endorsed strategies that involve trainings with procurement staff, General Education Departments, and Special Education Departments, as well as the development of educational materials about the NIMAC and the NIMAS requirement. </w:t>
      </w:r>
      <w:r w:rsidR="007A3EA8">
        <w:rPr>
          <w:rFonts w:ascii="Calibri" w:hAnsi="Calibri" w:cs="Calibri"/>
          <w:sz w:val="24"/>
          <w:szCs w:val="24"/>
        </w:rPr>
        <w:t xml:space="preserve">Approximately half of respondents endorsed the creation of a designated position that focuses on outreach to states and LEAs to provide guidance and </w:t>
      </w:r>
      <w:r w:rsidR="00F9262A">
        <w:rPr>
          <w:rFonts w:ascii="Calibri" w:hAnsi="Calibri" w:cs="Calibri"/>
          <w:sz w:val="24"/>
          <w:szCs w:val="24"/>
        </w:rPr>
        <w:t>TA</w:t>
      </w:r>
      <w:r w:rsidR="007A3EA8">
        <w:rPr>
          <w:rFonts w:ascii="Calibri" w:hAnsi="Calibri" w:cs="Calibri"/>
          <w:sz w:val="24"/>
          <w:szCs w:val="24"/>
        </w:rPr>
        <w:t>. Although many of the strategies selected by survey respondents were highlighted in</w:t>
      </w:r>
      <w:r w:rsidR="00FB3BF1">
        <w:rPr>
          <w:rFonts w:ascii="Calibri" w:hAnsi="Calibri" w:cs="Calibri"/>
          <w:sz w:val="24"/>
          <w:szCs w:val="24"/>
        </w:rPr>
        <w:t xml:space="preserve"> </w:t>
      </w:r>
      <w:r w:rsidR="007A3EA8">
        <w:rPr>
          <w:rFonts w:ascii="Calibri" w:hAnsi="Calibri" w:cs="Calibri"/>
          <w:sz w:val="24"/>
          <w:szCs w:val="24"/>
        </w:rPr>
        <w:t>qu</w:t>
      </w:r>
      <w:r w:rsidR="007A3EA8">
        <w:rPr>
          <w:rFonts w:cstheme="minorHAnsi"/>
          <w:sz w:val="24"/>
          <w:szCs w:val="24"/>
        </w:rPr>
        <w:t xml:space="preserve">alitative feedback as well, participants illuminated two additional factors: Creating a standardized workflow that includes the NIMAS requirement and creating a national requirement or law. </w:t>
      </w:r>
      <w:r w:rsidR="00C0769B">
        <w:rPr>
          <w:rFonts w:ascii="Calibri" w:hAnsi="Calibri" w:cs="Calibri"/>
          <w:sz w:val="24"/>
          <w:szCs w:val="24"/>
        </w:rPr>
        <w:t>Many of these strategies were endorsed most</w:t>
      </w:r>
      <w:r w:rsidR="00F84A52">
        <w:rPr>
          <w:rFonts w:ascii="Calibri" w:hAnsi="Calibri" w:cs="Calibri"/>
          <w:sz w:val="24"/>
          <w:szCs w:val="24"/>
        </w:rPr>
        <w:t xml:space="preserve"> frequently</w:t>
      </w:r>
      <w:r w:rsidR="00C0769B">
        <w:rPr>
          <w:rFonts w:ascii="Calibri" w:hAnsi="Calibri" w:cs="Calibri"/>
          <w:sz w:val="24"/>
          <w:szCs w:val="24"/>
        </w:rPr>
        <w:t xml:space="preserve"> by IMC/IRC staff and NIMAC Users, suggesting that the</w:t>
      </w:r>
      <w:r w:rsidR="00F84A52">
        <w:rPr>
          <w:rFonts w:ascii="Calibri" w:hAnsi="Calibri" w:cs="Calibri"/>
          <w:sz w:val="24"/>
          <w:szCs w:val="24"/>
        </w:rPr>
        <w:t>se groups</w:t>
      </w:r>
      <w:r w:rsidR="00C0769B">
        <w:rPr>
          <w:rFonts w:ascii="Calibri" w:hAnsi="Calibri" w:cs="Calibri"/>
          <w:sz w:val="24"/>
          <w:szCs w:val="24"/>
        </w:rPr>
        <w:t xml:space="preserve"> will likely be important </w:t>
      </w:r>
      <w:r w:rsidR="00260277">
        <w:rPr>
          <w:rFonts w:ascii="Calibri" w:hAnsi="Calibri" w:cs="Calibri"/>
          <w:sz w:val="24"/>
          <w:szCs w:val="24"/>
        </w:rPr>
        <w:t>partners for increasing awareness of the importance of including the NIMAS requirement in procurement contracts.</w:t>
      </w:r>
    </w:p>
    <w:p w14:paraId="50FDB4CF" w14:textId="77777777" w:rsidR="00D80518" w:rsidRDefault="00D80518">
      <w:pPr>
        <w:rPr>
          <w:rFonts w:ascii="Calibri" w:hAnsi="Calibri" w:cs="Calibri"/>
          <w:sz w:val="24"/>
          <w:szCs w:val="24"/>
        </w:rPr>
      </w:pPr>
      <w:r>
        <w:rPr>
          <w:rFonts w:ascii="Calibri" w:hAnsi="Calibri" w:cs="Calibri"/>
          <w:sz w:val="24"/>
          <w:szCs w:val="24"/>
        </w:rPr>
        <w:br w:type="page"/>
      </w:r>
    </w:p>
    <w:p w14:paraId="4BBAA950" w14:textId="1C8F2E6C" w:rsidR="004C1B64" w:rsidRDefault="004C1B64" w:rsidP="00B4146C">
      <w:pPr>
        <w:pStyle w:val="Heading3"/>
      </w:pPr>
      <w:bookmarkStart w:id="105" w:name="_Toc89792456"/>
      <w:bookmarkStart w:id="106" w:name="_Toc222904047"/>
      <w:r w:rsidRPr="005919AC">
        <w:lastRenderedPageBreak/>
        <w:t>Recommendations</w:t>
      </w:r>
      <w:bookmarkEnd w:id="105"/>
      <w:bookmarkEnd w:id="106"/>
    </w:p>
    <w:p w14:paraId="1BA4DED3" w14:textId="77777777" w:rsidR="00C0769B" w:rsidRPr="00C0769B" w:rsidRDefault="00C0769B" w:rsidP="00177D73">
      <w:pPr>
        <w:spacing w:after="0" w:line="276" w:lineRule="auto"/>
      </w:pPr>
    </w:p>
    <w:p w14:paraId="5CCFAD2A" w14:textId="6BA331FD" w:rsidR="007873C3" w:rsidRDefault="00B55C67" w:rsidP="00177D73">
      <w:pPr>
        <w:spacing w:line="276" w:lineRule="auto"/>
        <w:rPr>
          <w:rFonts w:ascii="Calibri" w:hAnsi="Calibri" w:cs="Calibri"/>
          <w:color w:val="000000"/>
          <w:sz w:val="24"/>
          <w:szCs w:val="24"/>
        </w:rPr>
      </w:pPr>
      <w:bookmarkStart w:id="107" w:name="_Hlk89791671"/>
      <w:bookmarkStart w:id="108" w:name="_Hlk150146331"/>
      <w:r>
        <w:rPr>
          <w:rFonts w:ascii="ZWAdobeF" w:hAnsi="ZWAdobeF" w:cs="ZWAdobeF"/>
          <w:sz w:val="2"/>
          <w:szCs w:val="2"/>
        </w:rPr>
        <w:t>284B</w:t>
      </w:r>
      <w:r w:rsidR="007873C3">
        <w:rPr>
          <w:rFonts w:ascii="Calibri" w:hAnsi="Calibri" w:cs="Calibri"/>
          <w:color w:val="000000"/>
          <w:sz w:val="24"/>
          <w:szCs w:val="24"/>
        </w:rPr>
        <w:t>Our mixed methods approach to the NIMAC case study yielded several insights that may inform the NIMAC about next steps.</w:t>
      </w:r>
      <w:r w:rsidR="004C1B64" w:rsidRPr="005919AC">
        <w:rPr>
          <w:rFonts w:ascii="Calibri" w:hAnsi="Calibri" w:cs="Calibri"/>
          <w:color w:val="000000"/>
          <w:sz w:val="24"/>
          <w:szCs w:val="24"/>
        </w:rPr>
        <w:t xml:space="preserve"> By considering </w:t>
      </w:r>
      <w:r w:rsidR="0027646D">
        <w:rPr>
          <w:rFonts w:ascii="Calibri" w:hAnsi="Calibri" w:cs="Calibri"/>
          <w:color w:val="000000"/>
          <w:sz w:val="24"/>
          <w:szCs w:val="24"/>
        </w:rPr>
        <w:t>the following recommendations, derived from quantitative and qualitative data fro</w:t>
      </w:r>
      <w:r w:rsidR="00FF3624" w:rsidRPr="005919AC">
        <w:rPr>
          <w:rFonts w:ascii="Calibri" w:hAnsi="Calibri" w:cs="Calibri"/>
          <w:color w:val="000000"/>
          <w:sz w:val="24"/>
          <w:szCs w:val="24"/>
        </w:rPr>
        <w:t>m survey respondents</w:t>
      </w:r>
      <w:r w:rsidR="0027646D">
        <w:rPr>
          <w:rFonts w:ascii="Calibri" w:hAnsi="Calibri" w:cs="Calibri"/>
          <w:color w:val="000000"/>
          <w:sz w:val="24"/>
          <w:szCs w:val="24"/>
        </w:rPr>
        <w:t xml:space="preserve"> and</w:t>
      </w:r>
      <w:r w:rsidR="007873C3">
        <w:rPr>
          <w:rFonts w:ascii="Calibri" w:hAnsi="Calibri" w:cs="Calibri"/>
          <w:color w:val="000000"/>
          <w:sz w:val="24"/>
          <w:szCs w:val="24"/>
        </w:rPr>
        <w:t xml:space="preserve"> interviewees,</w:t>
      </w:r>
      <w:r w:rsidR="00FF3624" w:rsidRPr="005919AC">
        <w:rPr>
          <w:rFonts w:ascii="Calibri" w:hAnsi="Calibri" w:cs="Calibri"/>
          <w:color w:val="000000"/>
          <w:sz w:val="24"/>
          <w:szCs w:val="24"/>
        </w:rPr>
        <w:t xml:space="preserve"> </w:t>
      </w:r>
      <w:r w:rsidR="0027646D">
        <w:rPr>
          <w:rFonts w:ascii="Calibri" w:hAnsi="Calibri" w:cs="Calibri"/>
          <w:color w:val="000000"/>
          <w:sz w:val="24"/>
          <w:szCs w:val="24"/>
        </w:rPr>
        <w:t xml:space="preserve">participant suggestions, statistically significant findings, and evaluator observations, </w:t>
      </w:r>
      <w:r w:rsidR="004C1B64" w:rsidRPr="005919AC">
        <w:rPr>
          <w:rFonts w:ascii="Calibri" w:hAnsi="Calibri" w:cs="Calibri"/>
          <w:color w:val="000000"/>
          <w:sz w:val="24"/>
          <w:szCs w:val="24"/>
        </w:rPr>
        <w:t xml:space="preserve">the </w:t>
      </w:r>
      <w:r w:rsidR="007873C3">
        <w:rPr>
          <w:rFonts w:ascii="Calibri" w:hAnsi="Calibri" w:cs="Calibri"/>
          <w:color w:val="000000"/>
          <w:sz w:val="24"/>
          <w:szCs w:val="24"/>
        </w:rPr>
        <w:t>NIMAC may be able to facilitate more timely delivery of accessible educational materials so that students who need them can achieve academic success.</w:t>
      </w:r>
    </w:p>
    <w:p w14:paraId="41D5CF08" w14:textId="34BDAD04" w:rsidR="00C7706F" w:rsidRDefault="00B55C67" w:rsidP="00C7706F">
      <w:pPr>
        <w:pStyle w:val="ListParagraph"/>
        <w:numPr>
          <w:ilvl w:val="0"/>
          <w:numId w:val="7"/>
        </w:numPr>
        <w:spacing w:line="276" w:lineRule="auto"/>
        <w:rPr>
          <w:rFonts w:ascii="Calibri" w:hAnsi="Calibri" w:cs="Calibri"/>
          <w:color w:val="000000"/>
          <w:sz w:val="24"/>
          <w:szCs w:val="24"/>
        </w:rPr>
      </w:pPr>
      <w:r>
        <w:rPr>
          <w:rFonts w:ascii="ZWAdobeF" w:hAnsi="ZWAdobeF" w:cs="ZWAdobeF"/>
          <w:sz w:val="2"/>
          <w:szCs w:val="2"/>
        </w:rPr>
        <w:t>22B</w:t>
      </w:r>
      <w:r w:rsidR="00C10ECF">
        <w:rPr>
          <w:rFonts w:ascii="Calibri" w:hAnsi="Calibri" w:cs="Calibri"/>
          <w:color w:val="000000"/>
          <w:sz w:val="24"/>
          <w:szCs w:val="24"/>
        </w:rPr>
        <w:t xml:space="preserve">Given the documented benefits of timely delivery of accessible formats, continue to </w:t>
      </w:r>
      <w:r w:rsidR="00C7706F">
        <w:rPr>
          <w:rFonts w:ascii="Calibri" w:hAnsi="Calibri" w:cs="Calibri"/>
          <w:color w:val="000000"/>
          <w:sz w:val="24"/>
          <w:szCs w:val="24"/>
        </w:rPr>
        <w:t xml:space="preserve">explore opportunities to build greater awareness of accessible formats and provide education about the benefits of timely delivery to relevant stakeholders, including general education professionals. </w:t>
      </w:r>
    </w:p>
    <w:p w14:paraId="1C378A7C" w14:textId="306F3129" w:rsidR="00C7706F" w:rsidRDefault="00B55C67" w:rsidP="00C7706F">
      <w:pPr>
        <w:pStyle w:val="ListParagraph"/>
        <w:numPr>
          <w:ilvl w:val="0"/>
          <w:numId w:val="7"/>
        </w:numPr>
        <w:spacing w:line="276" w:lineRule="auto"/>
        <w:rPr>
          <w:rFonts w:ascii="Calibri" w:hAnsi="Calibri" w:cs="Calibri"/>
          <w:color w:val="000000"/>
          <w:sz w:val="24"/>
          <w:szCs w:val="24"/>
        </w:rPr>
      </w:pPr>
      <w:r>
        <w:rPr>
          <w:rFonts w:ascii="ZWAdobeF" w:hAnsi="ZWAdobeF" w:cs="ZWAdobeF"/>
          <w:sz w:val="2"/>
          <w:szCs w:val="2"/>
        </w:rPr>
        <w:t>23B</w:t>
      </w:r>
      <w:r w:rsidR="00C7706F">
        <w:rPr>
          <w:rFonts w:ascii="Calibri" w:hAnsi="Calibri" w:cs="Calibri"/>
          <w:color w:val="000000"/>
          <w:sz w:val="24"/>
          <w:szCs w:val="24"/>
        </w:rPr>
        <w:t xml:space="preserve">Participants provided qualitative feedback related to the challenges of using AT and not having access to AT to support the use of accessible formats. Explore, possibly in conjunction with </w:t>
      </w:r>
      <w:r w:rsidR="00290CD9">
        <w:rPr>
          <w:rFonts w:ascii="Calibri" w:hAnsi="Calibri" w:cs="Calibri"/>
          <w:color w:val="000000"/>
          <w:sz w:val="24"/>
          <w:szCs w:val="24"/>
        </w:rPr>
        <w:t xml:space="preserve">the </w:t>
      </w:r>
      <w:r w:rsidR="00290CD9" w:rsidRPr="00290CD9">
        <w:rPr>
          <w:rFonts w:ascii="Calibri" w:hAnsi="Calibri" w:cs="Calibri"/>
          <w:color w:val="000000"/>
          <w:sz w:val="24"/>
          <w:szCs w:val="24"/>
        </w:rPr>
        <w:t>National Center on Accessible Digital Educational Materials &amp; Instruction</w:t>
      </w:r>
      <w:r w:rsidR="00290CD9">
        <w:rPr>
          <w:rFonts w:ascii="Calibri" w:hAnsi="Calibri" w:cs="Calibri"/>
          <w:color w:val="000000"/>
          <w:sz w:val="24"/>
          <w:szCs w:val="24"/>
        </w:rPr>
        <w:t xml:space="preserve"> (NCADEMI)</w:t>
      </w:r>
      <w:r w:rsidR="0073757D">
        <w:rPr>
          <w:rFonts w:ascii="Calibri" w:hAnsi="Calibri" w:cs="Calibri"/>
          <w:color w:val="000000"/>
          <w:sz w:val="24"/>
          <w:szCs w:val="24"/>
        </w:rPr>
        <w:t xml:space="preserve">, strategies to ensure that state </w:t>
      </w:r>
      <w:r w:rsidR="00570A21">
        <w:rPr>
          <w:rFonts w:ascii="Calibri" w:hAnsi="Calibri" w:cs="Calibri"/>
          <w:color w:val="000000"/>
          <w:sz w:val="24"/>
          <w:szCs w:val="24"/>
        </w:rPr>
        <w:t>AT</w:t>
      </w:r>
      <w:r w:rsidR="0073757D">
        <w:rPr>
          <w:rFonts w:ascii="Calibri" w:hAnsi="Calibri" w:cs="Calibri"/>
          <w:color w:val="000000"/>
          <w:sz w:val="24"/>
          <w:szCs w:val="24"/>
        </w:rPr>
        <w:t xml:space="preserve"> centers and other A</w:t>
      </w:r>
      <w:r w:rsidR="00570A21">
        <w:rPr>
          <w:rFonts w:ascii="Calibri" w:hAnsi="Calibri" w:cs="Calibri"/>
          <w:color w:val="000000"/>
          <w:sz w:val="24"/>
          <w:szCs w:val="24"/>
        </w:rPr>
        <w:t>T</w:t>
      </w:r>
      <w:r w:rsidR="0073757D">
        <w:rPr>
          <w:rFonts w:ascii="Calibri" w:hAnsi="Calibri" w:cs="Calibri"/>
          <w:color w:val="000000"/>
          <w:sz w:val="24"/>
          <w:szCs w:val="24"/>
        </w:rPr>
        <w:t xml:space="preserve"> agencies are aware of AEM and accessible formats and understand how AT and AEM work together.  </w:t>
      </w:r>
    </w:p>
    <w:p w14:paraId="1E57F37B" w14:textId="5941127D" w:rsidR="0073757D" w:rsidRPr="0073757D" w:rsidRDefault="00B55C67" w:rsidP="0073757D">
      <w:pPr>
        <w:pStyle w:val="ListParagraph"/>
        <w:numPr>
          <w:ilvl w:val="0"/>
          <w:numId w:val="7"/>
        </w:numPr>
        <w:spacing w:line="276" w:lineRule="auto"/>
        <w:rPr>
          <w:rFonts w:ascii="Calibri" w:hAnsi="Calibri" w:cs="Calibri"/>
          <w:color w:val="000000"/>
          <w:sz w:val="24"/>
          <w:szCs w:val="24"/>
        </w:rPr>
      </w:pPr>
      <w:r>
        <w:rPr>
          <w:rFonts w:ascii="ZWAdobeF" w:hAnsi="ZWAdobeF" w:cs="ZWAdobeF"/>
          <w:sz w:val="2"/>
          <w:szCs w:val="2"/>
        </w:rPr>
        <w:t>24B</w:t>
      </w:r>
      <w:r w:rsidR="0073757D">
        <w:rPr>
          <w:rFonts w:ascii="Calibri" w:hAnsi="Calibri" w:cs="Calibri"/>
          <w:color w:val="000000"/>
          <w:sz w:val="24"/>
          <w:szCs w:val="24"/>
        </w:rPr>
        <w:t xml:space="preserve">This case study </w:t>
      </w:r>
      <w:r w:rsidR="00570A21">
        <w:rPr>
          <w:rFonts w:ascii="Calibri" w:hAnsi="Calibri" w:cs="Calibri"/>
          <w:color w:val="000000"/>
          <w:sz w:val="24"/>
          <w:szCs w:val="24"/>
        </w:rPr>
        <w:t xml:space="preserve">demonstrated the benefits of a centralized system for accessible format production in supporting timely delivery. </w:t>
      </w:r>
      <w:r w:rsidR="00171B63">
        <w:rPr>
          <w:rFonts w:ascii="Calibri" w:hAnsi="Calibri" w:cs="Calibri"/>
          <w:color w:val="000000"/>
          <w:sz w:val="24"/>
          <w:szCs w:val="24"/>
        </w:rPr>
        <w:t>Explore</w:t>
      </w:r>
      <w:r w:rsidR="0073757D">
        <w:rPr>
          <w:rFonts w:ascii="Calibri" w:hAnsi="Calibri" w:cs="Calibri"/>
          <w:color w:val="000000"/>
          <w:sz w:val="24"/>
          <w:szCs w:val="24"/>
        </w:rPr>
        <w:t xml:space="preserve"> opportunities to provide extra support for states without an IRC and </w:t>
      </w:r>
      <w:r w:rsidR="00171B63">
        <w:rPr>
          <w:rFonts w:ascii="Calibri" w:hAnsi="Calibri" w:cs="Calibri"/>
          <w:color w:val="000000"/>
          <w:sz w:val="24"/>
          <w:szCs w:val="24"/>
        </w:rPr>
        <w:t xml:space="preserve">to </w:t>
      </w:r>
      <w:r w:rsidR="0073757D">
        <w:rPr>
          <w:rFonts w:ascii="Calibri" w:hAnsi="Calibri" w:cs="Calibri"/>
          <w:color w:val="000000"/>
          <w:sz w:val="24"/>
          <w:szCs w:val="24"/>
        </w:rPr>
        <w:t>promote the establishment of IRCs in states that do not have</w:t>
      </w:r>
      <w:r w:rsidR="00171B63">
        <w:rPr>
          <w:rFonts w:ascii="Calibri" w:hAnsi="Calibri" w:cs="Calibri"/>
          <w:color w:val="000000"/>
          <w:sz w:val="24"/>
          <w:szCs w:val="24"/>
        </w:rPr>
        <w:t xml:space="preserve"> them</w:t>
      </w:r>
      <w:r w:rsidR="0073757D">
        <w:rPr>
          <w:rFonts w:ascii="Calibri" w:hAnsi="Calibri" w:cs="Calibri"/>
          <w:color w:val="000000"/>
          <w:sz w:val="24"/>
          <w:szCs w:val="24"/>
        </w:rPr>
        <w:t xml:space="preserve"> (including the possibility of </w:t>
      </w:r>
      <w:r w:rsidR="00171B63">
        <w:rPr>
          <w:rFonts w:ascii="Calibri" w:hAnsi="Calibri" w:cs="Calibri"/>
          <w:color w:val="000000"/>
          <w:sz w:val="24"/>
          <w:szCs w:val="24"/>
        </w:rPr>
        <w:t xml:space="preserve">a </w:t>
      </w:r>
      <w:r w:rsidR="0073757D">
        <w:rPr>
          <w:rFonts w:ascii="Calibri" w:hAnsi="Calibri" w:cs="Calibri"/>
          <w:color w:val="000000"/>
          <w:sz w:val="24"/>
          <w:szCs w:val="24"/>
        </w:rPr>
        <w:t>regional IRC</w:t>
      </w:r>
      <w:r w:rsidR="00171B63">
        <w:rPr>
          <w:rFonts w:ascii="Calibri" w:hAnsi="Calibri" w:cs="Calibri"/>
          <w:color w:val="000000"/>
          <w:sz w:val="24"/>
          <w:szCs w:val="24"/>
        </w:rPr>
        <w:t xml:space="preserve"> model</w:t>
      </w:r>
      <w:r w:rsidR="0073757D">
        <w:rPr>
          <w:rFonts w:ascii="Calibri" w:hAnsi="Calibri" w:cs="Calibri"/>
          <w:color w:val="000000"/>
          <w:sz w:val="24"/>
          <w:szCs w:val="24"/>
        </w:rPr>
        <w:t xml:space="preserve"> for smaller states). </w:t>
      </w:r>
    </w:p>
    <w:p w14:paraId="72B5D472" w14:textId="05CB09BC" w:rsidR="00570A21" w:rsidRPr="00570A21" w:rsidRDefault="00B55C67" w:rsidP="00570A21">
      <w:pPr>
        <w:pStyle w:val="ListParagraph"/>
        <w:numPr>
          <w:ilvl w:val="0"/>
          <w:numId w:val="7"/>
        </w:numPr>
        <w:spacing w:line="276" w:lineRule="auto"/>
        <w:rPr>
          <w:rFonts w:ascii="Calibri" w:hAnsi="Calibri" w:cs="Calibri"/>
          <w:color w:val="000000"/>
          <w:sz w:val="24"/>
          <w:szCs w:val="24"/>
        </w:rPr>
      </w:pPr>
      <w:r>
        <w:rPr>
          <w:rFonts w:ascii="ZWAdobeF" w:hAnsi="ZWAdobeF" w:cs="ZWAdobeF"/>
          <w:sz w:val="2"/>
          <w:szCs w:val="2"/>
        </w:rPr>
        <w:t>25B</w:t>
      </w:r>
      <w:r w:rsidR="00570A21">
        <w:rPr>
          <w:rFonts w:ascii="Calibri" w:hAnsi="Calibri" w:cs="Calibri"/>
          <w:color w:val="000000"/>
          <w:sz w:val="24"/>
          <w:szCs w:val="24"/>
        </w:rPr>
        <w:t xml:space="preserve">This evaluation documented consistently positive feedback regarding the NIMAC and its staff. Consider ways to publicly highlight the success of the NIMAC and NIMAC Users, </w:t>
      </w:r>
      <w:r w:rsidR="00701959">
        <w:rPr>
          <w:rFonts w:ascii="Calibri" w:hAnsi="Calibri" w:cs="Calibri"/>
          <w:color w:val="000000"/>
          <w:sz w:val="24"/>
          <w:szCs w:val="24"/>
        </w:rPr>
        <w:t>to increase</w:t>
      </w:r>
      <w:r w:rsidR="00570A21">
        <w:rPr>
          <w:rFonts w:ascii="Calibri" w:hAnsi="Calibri" w:cs="Calibri"/>
          <w:color w:val="000000"/>
          <w:sz w:val="24"/>
          <w:szCs w:val="24"/>
        </w:rPr>
        <w:t xml:space="preserve"> awareness of the NIMAC </w:t>
      </w:r>
      <w:r w:rsidR="00701959">
        <w:rPr>
          <w:rFonts w:ascii="Calibri" w:hAnsi="Calibri" w:cs="Calibri"/>
          <w:color w:val="000000"/>
          <w:sz w:val="24"/>
          <w:szCs w:val="24"/>
        </w:rPr>
        <w:t xml:space="preserve">as well as </w:t>
      </w:r>
      <w:r w:rsidR="00570A21">
        <w:rPr>
          <w:rFonts w:ascii="Calibri" w:hAnsi="Calibri" w:cs="Calibri"/>
          <w:color w:val="000000"/>
          <w:sz w:val="24"/>
          <w:szCs w:val="24"/>
        </w:rPr>
        <w:t xml:space="preserve">utilization of NIMAS files. </w:t>
      </w:r>
    </w:p>
    <w:p w14:paraId="035283CE" w14:textId="4FA19B2E" w:rsidR="00C7706F" w:rsidRPr="0073757D" w:rsidRDefault="00B55C67" w:rsidP="0073757D">
      <w:pPr>
        <w:pStyle w:val="ListParagraph"/>
        <w:numPr>
          <w:ilvl w:val="0"/>
          <w:numId w:val="7"/>
        </w:numPr>
        <w:spacing w:line="276" w:lineRule="auto"/>
        <w:rPr>
          <w:rFonts w:ascii="Calibri" w:hAnsi="Calibri" w:cs="Calibri"/>
          <w:color w:val="000000"/>
          <w:sz w:val="24"/>
          <w:szCs w:val="24"/>
        </w:rPr>
      </w:pPr>
      <w:r>
        <w:rPr>
          <w:rFonts w:ascii="ZWAdobeF" w:hAnsi="ZWAdobeF" w:cs="ZWAdobeF"/>
          <w:sz w:val="2"/>
          <w:szCs w:val="2"/>
        </w:rPr>
        <w:t>26B</w:t>
      </w:r>
      <w:r w:rsidR="00D563B6">
        <w:rPr>
          <w:rFonts w:ascii="Calibri" w:hAnsi="Calibri" w:cs="Calibri"/>
          <w:color w:val="000000"/>
          <w:sz w:val="24"/>
          <w:szCs w:val="24"/>
        </w:rPr>
        <w:t xml:space="preserve">Participants expressed appreciation for </w:t>
      </w:r>
      <w:r w:rsidR="00800B21">
        <w:rPr>
          <w:rFonts w:ascii="Calibri" w:hAnsi="Calibri" w:cs="Calibri"/>
          <w:color w:val="000000"/>
          <w:sz w:val="24"/>
          <w:szCs w:val="24"/>
        </w:rPr>
        <w:t xml:space="preserve">the </w:t>
      </w:r>
      <w:r w:rsidR="00D563B6">
        <w:rPr>
          <w:rFonts w:ascii="Calibri" w:hAnsi="Calibri" w:cs="Calibri"/>
          <w:color w:val="000000"/>
          <w:sz w:val="24"/>
          <w:szCs w:val="24"/>
        </w:rPr>
        <w:t>NIMAC’s responsiveness to feedback and ongoing refinement of the NIMAC repository.</w:t>
      </w:r>
      <w:r w:rsidR="00D765CA">
        <w:rPr>
          <w:rFonts w:ascii="Calibri" w:hAnsi="Calibri" w:cs="Calibri"/>
          <w:color w:val="000000"/>
          <w:sz w:val="24"/>
          <w:szCs w:val="24"/>
        </w:rPr>
        <w:t xml:space="preserve"> </w:t>
      </w:r>
      <w:r w:rsidR="00D765CA" w:rsidRPr="00D765CA">
        <w:rPr>
          <w:rFonts w:ascii="Calibri" w:hAnsi="Calibri" w:cs="Calibri"/>
          <w:color w:val="000000"/>
          <w:sz w:val="24"/>
          <w:szCs w:val="24"/>
        </w:rPr>
        <w:t xml:space="preserve">Continue to leverage input from </w:t>
      </w:r>
      <w:r w:rsidR="00D765CA">
        <w:rPr>
          <w:rFonts w:ascii="Calibri" w:hAnsi="Calibri" w:cs="Calibri"/>
          <w:color w:val="000000"/>
          <w:sz w:val="24"/>
          <w:szCs w:val="24"/>
        </w:rPr>
        <w:t xml:space="preserve">NIMAC </w:t>
      </w:r>
      <w:r w:rsidR="00C10ECF">
        <w:rPr>
          <w:rFonts w:ascii="Calibri" w:hAnsi="Calibri" w:cs="Calibri"/>
          <w:color w:val="000000"/>
          <w:sz w:val="24"/>
          <w:szCs w:val="24"/>
        </w:rPr>
        <w:t>U</w:t>
      </w:r>
      <w:r w:rsidR="00D765CA" w:rsidRPr="00D765CA">
        <w:rPr>
          <w:rFonts w:ascii="Calibri" w:hAnsi="Calibri" w:cs="Calibri"/>
          <w:color w:val="000000"/>
          <w:sz w:val="24"/>
          <w:szCs w:val="24"/>
        </w:rPr>
        <w:t>sers in the improvement of the NIMAC online system</w:t>
      </w:r>
      <w:r w:rsidR="00D765CA">
        <w:rPr>
          <w:rFonts w:ascii="Calibri" w:hAnsi="Calibri" w:cs="Calibri"/>
          <w:color w:val="000000"/>
          <w:sz w:val="24"/>
          <w:szCs w:val="24"/>
        </w:rPr>
        <w:t>.</w:t>
      </w:r>
    </w:p>
    <w:p w14:paraId="306B75EB" w14:textId="573CB967" w:rsidR="00D765CA" w:rsidRPr="00D765CA" w:rsidRDefault="00B55C67" w:rsidP="00D765CA">
      <w:pPr>
        <w:pStyle w:val="ListParagraph"/>
        <w:numPr>
          <w:ilvl w:val="0"/>
          <w:numId w:val="7"/>
        </w:numPr>
        <w:rPr>
          <w:rFonts w:ascii="Calibri" w:hAnsi="Calibri" w:cs="Calibri"/>
          <w:color w:val="000000"/>
          <w:sz w:val="24"/>
          <w:szCs w:val="24"/>
        </w:rPr>
      </w:pPr>
      <w:r>
        <w:rPr>
          <w:rFonts w:ascii="ZWAdobeF" w:hAnsi="ZWAdobeF" w:cs="ZWAdobeF"/>
          <w:sz w:val="2"/>
          <w:szCs w:val="2"/>
        </w:rPr>
        <w:t>27B</w:t>
      </w:r>
      <w:r w:rsidR="00D765CA" w:rsidRPr="00D765CA">
        <w:rPr>
          <w:rFonts w:ascii="Calibri" w:hAnsi="Calibri" w:cs="Calibri"/>
          <w:color w:val="000000"/>
          <w:sz w:val="24"/>
          <w:szCs w:val="24"/>
        </w:rPr>
        <w:t>A</w:t>
      </w:r>
      <w:r w:rsidR="0092500D" w:rsidRPr="00D765CA">
        <w:rPr>
          <w:rFonts w:ascii="Calibri" w:hAnsi="Calibri" w:cs="Calibri"/>
          <w:color w:val="000000"/>
          <w:sz w:val="24"/>
          <w:szCs w:val="24"/>
        </w:rPr>
        <w:t xml:space="preserve"> frequently cited production challenge was the need for AMPs to wait for a physical copy or PDF of materials before initiating accessible format production.</w:t>
      </w:r>
      <w:r w:rsidR="00D765CA" w:rsidRPr="00D765CA">
        <w:rPr>
          <w:rFonts w:ascii="Calibri" w:hAnsi="Calibri" w:cs="Calibri"/>
          <w:color w:val="000000"/>
          <w:sz w:val="24"/>
          <w:szCs w:val="24"/>
        </w:rPr>
        <w:t xml:space="preserve"> Explore ways to help AMPs acquire PDFs</w:t>
      </w:r>
      <w:r w:rsidR="00570A21">
        <w:rPr>
          <w:rFonts w:ascii="Calibri" w:hAnsi="Calibri" w:cs="Calibri"/>
          <w:color w:val="000000"/>
          <w:sz w:val="24"/>
          <w:szCs w:val="24"/>
        </w:rPr>
        <w:t xml:space="preserve"> and physical copies of materials</w:t>
      </w:r>
      <w:r w:rsidR="00372245">
        <w:rPr>
          <w:rFonts w:ascii="Calibri" w:hAnsi="Calibri" w:cs="Calibri"/>
          <w:color w:val="000000"/>
          <w:sz w:val="24"/>
          <w:szCs w:val="24"/>
        </w:rPr>
        <w:t xml:space="preserve">, possibly using </w:t>
      </w:r>
      <w:r w:rsidR="00D765CA" w:rsidRPr="00D765CA">
        <w:rPr>
          <w:rFonts w:ascii="Calibri" w:hAnsi="Calibri" w:cs="Calibri"/>
          <w:color w:val="000000"/>
          <w:sz w:val="24"/>
          <w:szCs w:val="24"/>
        </w:rPr>
        <w:t xml:space="preserve">contract language </w:t>
      </w:r>
      <w:r w:rsidR="00AB0B98">
        <w:rPr>
          <w:rFonts w:ascii="Calibri" w:hAnsi="Calibri" w:cs="Calibri"/>
          <w:color w:val="000000"/>
          <w:sz w:val="24"/>
          <w:szCs w:val="24"/>
        </w:rPr>
        <w:t>t</w:t>
      </w:r>
      <w:r w:rsidR="00372245">
        <w:rPr>
          <w:rFonts w:ascii="Calibri" w:hAnsi="Calibri" w:cs="Calibri"/>
          <w:color w:val="000000"/>
          <w:sz w:val="24"/>
          <w:szCs w:val="24"/>
        </w:rPr>
        <w:t xml:space="preserve">hat requires </w:t>
      </w:r>
      <w:r w:rsidR="00D765CA" w:rsidRPr="00D765CA">
        <w:rPr>
          <w:rFonts w:ascii="Calibri" w:hAnsi="Calibri" w:cs="Calibri"/>
          <w:color w:val="000000"/>
          <w:sz w:val="24"/>
          <w:szCs w:val="24"/>
        </w:rPr>
        <w:t>either PDFs or hard copy books at the same time as the NIMAS deadline.</w:t>
      </w:r>
    </w:p>
    <w:p w14:paraId="621F89DB" w14:textId="764F31F7" w:rsidR="0052506D" w:rsidRDefault="00B55C67" w:rsidP="00177D73">
      <w:pPr>
        <w:pStyle w:val="ListParagraph"/>
        <w:numPr>
          <w:ilvl w:val="0"/>
          <w:numId w:val="7"/>
        </w:numPr>
        <w:spacing w:line="276" w:lineRule="auto"/>
        <w:rPr>
          <w:rFonts w:ascii="Calibri" w:hAnsi="Calibri" w:cs="Calibri"/>
          <w:color w:val="000000"/>
          <w:sz w:val="24"/>
          <w:szCs w:val="24"/>
        </w:rPr>
      </w:pPr>
      <w:r>
        <w:rPr>
          <w:rFonts w:ascii="ZWAdobeF" w:hAnsi="ZWAdobeF" w:cs="ZWAdobeF"/>
          <w:sz w:val="2"/>
          <w:szCs w:val="2"/>
        </w:rPr>
        <w:t>28B</w:t>
      </w:r>
      <w:r w:rsidR="0052506D">
        <w:rPr>
          <w:rFonts w:ascii="Calibri" w:hAnsi="Calibri" w:cs="Calibri"/>
          <w:color w:val="000000"/>
          <w:sz w:val="24"/>
          <w:szCs w:val="24"/>
        </w:rPr>
        <w:t xml:space="preserve">Some LEAs rely on in-house and local AMPs (including TVIs) to produce accessible formats. These AMPs may be less familiar with NIMAS files. Explore strategies for connecting with LEA-based and other local AMPs </w:t>
      </w:r>
      <w:r w:rsidR="00424ED7">
        <w:rPr>
          <w:rFonts w:ascii="Calibri" w:hAnsi="Calibri" w:cs="Calibri"/>
          <w:color w:val="000000"/>
          <w:sz w:val="24"/>
          <w:szCs w:val="24"/>
        </w:rPr>
        <w:t>to help</w:t>
      </w:r>
      <w:r w:rsidR="0052506D">
        <w:rPr>
          <w:rFonts w:ascii="Calibri" w:hAnsi="Calibri" w:cs="Calibri"/>
          <w:color w:val="000000"/>
          <w:sz w:val="24"/>
          <w:szCs w:val="24"/>
        </w:rPr>
        <w:t xml:space="preserve"> them learn </w:t>
      </w:r>
      <w:r w:rsidR="00424ED7">
        <w:rPr>
          <w:rFonts w:ascii="Calibri" w:hAnsi="Calibri" w:cs="Calibri"/>
          <w:color w:val="000000"/>
          <w:sz w:val="24"/>
          <w:szCs w:val="24"/>
        </w:rPr>
        <w:t>about the</w:t>
      </w:r>
      <w:r w:rsidR="0052506D">
        <w:rPr>
          <w:rFonts w:ascii="Calibri" w:hAnsi="Calibri" w:cs="Calibri"/>
          <w:color w:val="000000"/>
          <w:sz w:val="24"/>
          <w:szCs w:val="24"/>
        </w:rPr>
        <w:t xml:space="preserve"> use </w:t>
      </w:r>
      <w:r w:rsidR="00424ED7">
        <w:rPr>
          <w:rFonts w:ascii="Calibri" w:hAnsi="Calibri" w:cs="Calibri"/>
          <w:color w:val="000000"/>
          <w:sz w:val="24"/>
          <w:szCs w:val="24"/>
        </w:rPr>
        <w:t xml:space="preserve">of </w:t>
      </w:r>
      <w:r w:rsidR="0052506D">
        <w:rPr>
          <w:rFonts w:ascii="Calibri" w:hAnsi="Calibri" w:cs="Calibri"/>
          <w:color w:val="000000"/>
          <w:sz w:val="24"/>
          <w:szCs w:val="24"/>
        </w:rPr>
        <w:t xml:space="preserve">NIMAS files. </w:t>
      </w:r>
    </w:p>
    <w:p w14:paraId="6671770B" w14:textId="78D3F447" w:rsidR="0052506D" w:rsidRDefault="00B55C67" w:rsidP="00177D73">
      <w:pPr>
        <w:pStyle w:val="ListParagraph"/>
        <w:numPr>
          <w:ilvl w:val="0"/>
          <w:numId w:val="7"/>
        </w:numPr>
        <w:spacing w:line="276" w:lineRule="auto"/>
        <w:rPr>
          <w:rFonts w:ascii="Calibri" w:hAnsi="Calibri" w:cs="Calibri"/>
          <w:color w:val="000000"/>
          <w:sz w:val="24"/>
          <w:szCs w:val="24"/>
        </w:rPr>
      </w:pPr>
      <w:r>
        <w:rPr>
          <w:rFonts w:ascii="ZWAdobeF" w:hAnsi="ZWAdobeF" w:cs="ZWAdobeF"/>
          <w:sz w:val="2"/>
          <w:szCs w:val="2"/>
        </w:rPr>
        <w:t>29B</w:t>
      </w:r>
      <w:r w:rsidR="0052506D">
        <w:rPr>
          <w:rFonts w:ascii="Calibri" w:hAnsi="Calibri" w:cs="Calibri"/>
          <w:color w:val="000000"/>
          <w:sz w:val="24"/>
          <w:szCs w:val="24"/>
        </w:rPr>
        <w:t xml:space="preserve">Participants described a lack of training programs for the production of accessible formats, including braille. Consider partnering with organizations that currently provide AMP training (or </w:t>
      </w:r>
      <w:r w:rsidR="00424ED7">
        <w:rPr>
          <w:rFonts w:ascii="Calibri" w:hAnsi="Calibri" w:cs="Calibri"/>
          <w:color w:val="000000"/>
          <w:sz w:val="24"/>
          <w:szCs w:val="24"/>
        </w:rPr>
        <w:t xml:space="preserve">may </w:t>
      </w:r>
      <w:r w:rsidR="0052506D">
        <w:rPr>
          <w:rFonts w:ascii="Calibri" w:hAnsi="Calibri" w:cs="Calibri"/>
          <w:color w:val="000000"/>
          <w:sz w:val="24"/>
          <w:szCs w:val="24"/>
        </w:rPr>
        <w:t xml:space="preserve">plan to do so) and integrate the use of NIMAS files in existing or new training programs.  </w:t>
      </w:r>
    </w:p>
    <w:bookmarkEnd w:id="107"/>
    <w:bookmarkEnd w:id="108"/>
    <w:p w14:paraId="01C2839A" w14:textId="1861BE73" w:rsidR="00C10ECF" w:rsidRDefault="00B55C67" w:rsidP="00177D73">
      <w:pPr>
        <w:pStyle w:val="ListParagraph"/>
        <w:numPr>
          <w:ilvl w:val="0"/>
          <w:numId w:val="7"/>
        </w:numPr>
        <w:spacing w:line="276" w:lineRule="auto"/>
        <w:rPr>
          <w:rFonts w:ascii="Calibri" w:hAnsi="Calibri" w:cs="Calibri"/>
          <w:color w:val="000000"/>
          <w:sz w:val="24"/>
          <w:szCs w:val="24"/>
        </w:rPr>
      </w:pPr>
      <w:r>
        <w:rPr>
          <w:rFonts w:ascii="ZWAdobeF" w:hAnsi="ZWAdobeF" w:cs="ZWAdobeF"/>
          <w:sz w:val="2"/>
          <w:szCs w:val="2"/>
        </w:rPr>
        <w:lastRenderedPageBreak/>
        <w:t>30B</w:t>
      </w:r>
      <w:r w:rsidR="0073757D">
        <w:rPr>
          <w:rFonts w:ascii="Calibri" w:hAnsi="Calibri" w:cs="Calibri"/>
          <w:color w:val="000000"/>
          <w:sz w:val="24"/>
          <w:szCs w:val="24"/>
        </w:rPr>
        <w:t xml:space="preserve">Given the </w:t>
      </w:r>
      <w:r w:rsidR="005F357D">
        <w:rPr>
          <w:rFonts w:ascii="Calibri" w:hAnsi="Calibri" w:cs="Calibri"/>
          <w:color w:val="000000"/>
          <w:sz w:val="24"/>
          <w:szCs w:val="24"/>
        </w:rPr>
        <w:t>findings</w:t>
      </w:r>
      <w:r w:rsidR="0073757D">
        <w:rPr>
          <w:rFonts w:ascii="Calibri" w:hAnsi="Calibri" w:cs="Calibri"/>
          <w:color w:val="000000"/>
          <w:sz w:val="24"/>
          <w:szCs w:val="24"/>
        </w:rPr>
        <w:t xml:space="preserve"> related to students not being served on time when requests for accessible formats are submitted late, explore the development of resources (e.g., customizable template</w:t>
      </w:r>
      <w:r w:rsidR="00570A21">
        <w:rPr>
          <w:rFonts w:ascii="Calibri" w:hAnsi="Calibri" w:cs="Calibri"/>
          <w:color w:val="000000"/>
          <w:sz w:val="24"/>
          <w:szCs w:val="24"/>
        </w:rPr>
        <w:t>s</w:t>
      </w:r>
      <w:r w:rsidR="0073757D">
        <w:rPr>
          <w:rFonts w:ascii="Calibri" w:hAnsi="Calibri" w:cs="Calibri"/>
          <w:color w:val="000000"/>
          <w:sz w:val="24"/>
          <w:szCs w:val="24"/>
        </w:rPr>
        <w:t xml:space="preserve">) for SEAs and LEAs that provide basic information about ordering timelines and </w:t>
      </w:r>
      <w:r w:rsidR="00570A21">
        <w:rPr>
          <w:rFonts w:ascii="Calibri" w:hAnsi="Calibri" w:cs="Calibri"/>
          <w:color w:val="000000"/>
          <w:sz w:val="24"/>
          <w:szCs w:val="24"/>
        </w:rPr>
        <w:t>options</w:t>
      </w:r>
      <w:r w:rsidR="0073757D">
        <w:rPr>
          <w:rFonts w:ascii="Calibri" w:hAnsi="Calibri" w:cs="Calibri"/>
          <w:color w:val="000000"/>
          <w:sz w:val="24"/>
          <w:szCs w:val="24"/>
        </w:rPr>
        <w:t xml:space="preserve"> for obtaining accessible formats (e.g., </w:t>
      </w:r>
      <w:proofErr w:type="gramStart"/>
      <w:r w:rsidR="0073757D">
        <w:rPr>
          <w:rFonts w:ascii="Calibri" w:hAnsi="Calibri" w:cs="Calibri"/>
          <w:color w:val="000000"/>
          <w:sz w:val="24"/>
          <w:szCs w:val="24"/>
        </w:rPr>
        <w:t>searching</w:t>
      </w:r>
      <w:proofErr w:type="gramEnd"/>
      <w:r w:rsidR="0073757D">
        <w:rPr>
          <w:rFonts w:ascii="Calibri" w:hAnsi="Calibri" w:cs="Calibri"/>
          <w:color w:val="000000"/>
          <w:sz w:val="24"/>
          <w:szCs w:val="24"/>
        </w:rPr>
        <w:t xml:space="preserve"> the Louis Database of Accessible Materials).</w:t>
      </w:r>
    </w:p>
    <w:p w14:paraId="41E21EB3" w14:textId="188DF0F6" w:rsidR="0073757D" w:rsidRDefault="00B55C67" w:rsidP="00177D73">
      <w:pPr>
        <w:pStyle w:val="ListParagraph"/>
        <w:numPr>
          <w:ilvl w:val="0"/>
          <w:numId w:val="7"/>
        </w:numPr>
        <w:spacing w:line="276" w:lineRule="auto"/>
        <w:rPr>
          <w:rFonts w:ascii="Calibri" w:hAnsi="Calibri" w:cs="Calibri"/>
          <w:color w:val="000000"/>
          <w:sz w:val="24"/>
          <w:szCs w:val="24"/>
        </w:rPr>
      </w:pPr>
      <w:r>
        <w:rPr>
          <w:rFonts w:ascii="ZWAdobeF" w:hAnsi="ZWAdobeF" w:cs="ZWAdobeF"/>
          <w:sz w:val="2"/>
          <w:szCs w:val="2"/>
        </w:rPr>
        <w:t>31B</w:t>
      </w:r>
      <w:r w:rsidR="0073757D">
        <w:rPr>
          <w:rFonts w:ascii="Calibri" w:hAnsi="Calibri" w:cs="Calibri"/>
          <w:color w:val="000000"/>
          <w:sz w:val="24"/>
          <w:szCs w:val="24"/>
        </w:rPr>
        <w:t xml:space="preserve">This case study documented some challenges to timely delivery that are specific to charter schools. Consider exploring ways to support charter schools in their efforts to provide timely delivery of accessible formats. </w:t>
      </w:r>
    </w:p>
    <w:p w14:paraId="004E999F" w14:textId="2C7B7D98" w:rsidR="005733B8" w:rsidRDefault="00B55C67" w:rsidP="00177D73">
      <w:pPr>
        <w:pStyle w:val="ListParagraph"/>
        <w:numPr>
          <w:ilvl w:val="0"/>
          <w:numId w:val="7"/>
        </w:numPr>
        <w:spacing w:line="276" w:lineRule="auto"/>
        <w:rPr>
          <w:rFonts w:ascii="Calibri" w:hAnsi="Calibri" w:cs="Calibri"/>
          <w:color w:val="000000"/>
          <w:sz w:val="24"/>
          <w:szCs w:val="24"/>
        </w:rPr>
      </w:pPr>
      <w:r>
        <w:rPr>
          <w:rFonts w:ascii="ZWAdobeF" w:hAnsi="ZWAdobeF" w:cs="ZWAdobeF"/>
          <w:sz w:val="2"/>
          <w:szCs w:val="2"/>
        </w:rPr>
        <w:t>32B</w:t>
      </w:r>
      <w:r w:rsidR="005733B8" w:rsidRPr="005733B8">
        <w:rPr>
          <w:rFonts w:ascii="Calibri" w:hAnsi="Calibri" w:cs="Calibri"/>
          <w:color w:val="000000"/>
          <w:sz w:val="24"/>
          <w:szCs w:val="24"/>
        </w:rPr>
        <w:t xml:space="preserve">Given the broad range of stakeholders </w:t>
      </w:r>
      <w:r w:rsidR="008B7F25">
        <w:rPr>
          <w:rFonts w:ascii="Calibri" w:hAnsi="Calibri" w:cs="Calibri"/>
          <w:color w:val="000000"/>
          <w:sz w:val="24"/>
          <w:szCs w:val="24"/>
        </w:rPr>
        <w:t xml:space="preserve">and factors that </w:t>
      </w:r>
      <w:r w:rsidR="005733B8" w:rsidRPr="005733B8">
        <w:rPr>
          <w:rFonts w:ascii="Calibri" w:hAnsi="Calibri" w:cs="Calibri"/>
          <w:color w:val="000000"/>
          <w:sz w:val="24"/>
          <w:szCs w:val="24"/>
        </w:rPr>
        <w:t xml:space="preserve">impact the timely delivery of accessible formats, </w:t>
      </w:r>
      <w:r w:rsidR="00040652">
        <w:rPr>
          <w:rFonts w:ascii="Calibri" w:hAnsi="Calibri" w:cs="Calibri"/>
          <w:color w:val="000000"/>
          <w:sz w:val="24"/>
          <w:szCs w:val="24"/>
        </w:rPr>
        <w:t>including high-quality production of NIMAS by vendors</w:t>
      </w:r>
      <w:r w:rsidR="00B43EB5">
        <w:rPr>
          <w:rFonts w:ascii="Calibri" w:hAnsi="Calibri" w:cs="Calibri"/>
          <w:color w:val="000000"/>
          <w:sz w:val="24"/>
          <w:szCs w:val="24"/>
        </w:rPr>
        <w:t xml:space="preserve"> and effective practices for translating NIMAS into accessible formats</w:t>
      </w:r>
      <w:r w:rsidR="00040652">
        <w:rPr>
          <w:rFonts w:ascii="Calibri" w:hAnsi="Calibri" w:cs="Calibri"/>
          <w:color w:val="000000"/>
          <w:sz w:val="24"/>
          <w:szCs w:val="24"/>
        </w:rPr>
        <w:t xml:space="preserve">, </w:t>
      </w:r>
      <w:r w:rsidR="005733B8" w:rsidRPr="005733B8">
        <w:rPr>
          <w:rFonts w:ascii="Calibri" w:hAnsi="Calibri" w:cs="Calibri"/>
          <w:color w:val="000000"/>
          <w:sz w:val="24"/>
          <w:szCs w:val="24"/>
        </w:rPr>
        <w:t>disseminate the findings of this report widely to facilitate shared understanding and cooperation.</w:t>
      </w:r>
    </w:p>
    <w:p w14:paraId="0B043689" w14:textId="26DAA1BC" w:rsidR="00D765CA" w:rsidRPr="00D765CA" w:rsidRDefault="00B55C67" w:rsidP="00D765CA">
      <w:pPr>
        <w:pStyle w:val="ListParagraph"/>
        <w:numPr>
          <w:ilvl w:val="0"/>
          <w:numId w:val="7"/>
        </w:numPr>
        <w:rPr>
          <w:rFonts w:ascii="Calibri" w:hAnsi="Calibri" w:cs="Calibri"/>
          <w:color w:val="000000"/>
          <w:sz w:val="24"/>
          <w:szCs w:val="24"/>
        </w:rPr>
      </w:pPr>
      <w:r>
        <w:rPr>
          <w:rFonts w:ascii="ZWAdobeF" w:hAnsi="ZWAdobeF" w:cs="ZWAdobeF"/>
          <w:sz w:val="2"/>
          <w:szCs w:val="2"/>
        </w:rPr>
        <w:t>33B</w:t>
      </w:r>
      <w:r w:rsidR="00D765CA" w:rsidRPr="00D765CA">
        <w:rPr>
          <w:rFonts w:ascii="Calibri" w:hAnsi="Calibri" w:cs="Calibri"/>
          <w:color w:val="000000"/>
          <w:sz w:val="24"/>
          <w:szCs w:val="24"/>
        </w:rPr>
        <w:t xml:space="preserve">This case study highlights the need for ongoing TA related to several components of the accessible format delivery system. Given that extensive TA initiatives are not within scope for </w:t>
      </w:r>
      <w:r w:rsidR="00C17AE3">
        <w:rPr>
          <w:rFonts w:ascii="Calibri" w:hAnsi="Calibri" w:cs="Calibri"/>
          <w:color w:val="000000"/>
          <w:sz w:val="24"/>
          <w:szCs w:val="24"/>
        </w:rPr>
        <w:t xml:space="preserve">the </w:t>
      </w:r>
      <w:r w:rsidR="00D765CA" w:rsidRPr="00D765CA">
        <w:rPr>
          <w:rFonts w:ascii="Calibri" w:hAnsi="Calibri" w:cs="Calibri"/>
          <w:color w:val="000000"/>
          <w:sz w:val="24"/>
          <w:szCs w:val="24"/>
        </w:rPr>
        <w:t>NIMAC, consider mechanisms (e.g., partnerships with other ED-funded projects</w:t>
      </w:r>
      <w:r w:rsidR="00040652">
        <w:rPr>
          <w:rFonts w:ascii="Calibri" w:hAnsi="Calibri" w:cs="Calibri"/>
          <w:color w:val="000000"/>
          <w:sz w:val="24"/>
          <w:szCs w:val="24"/>
        </w:rPr>
        <w:t xml:space="preserve"> that focus on systems change and implementation</w:t>
      </w:r>
      <w:r w:rsidR="00D765CA" w:rsidRPr="00D765CA">
        <w:rPr>
          <w:rFonts w:ascii="Calibri" w:hAnsi="Calibri" w:cs="Calibri"/>
          <w:color w:val="000000"/>
          <w:sz w:val="24"/>
          <w:szCs w:val="24"/>
        </w:rPr>
        <w:t>)</w:t>
      </w:r>
      <w:r w:rsidR="00040652">
        <w:rPr>
          <w:rFonts w:ascii="Calibri" w:hAnsi="Calibri" w:cs="Calibri"/>
          <w:color w:val="000000"/>
          <w:sz w:val="24"/>
          <w:szCs w:val="24"/>
        </w:rPr>
        <w:t xml:space="preserve"> </w:t>
      </w:r>
      <w:r w:rsidR="00040652" w:rsidRPr="00D765CA">
        <w:rPr>
          <w:rFonts w:ascii="Calibri" w:hAnsi="Calibri" w:cs="Calibri"/>
          <w:color w:val="000000"/>
          <w:sz w:val="24"/>
          <w:szCs w:val="24"/>
        </w:rPr>
        <w:t xml:space="preserve">to </w:t>
      </w:r>
      <w:r w:rsidR="00E371F0">
        <w:rPr>
          <w:rFonts w:ascii="Calibri" w:hAnsi="Calibri" w:cs="Calibri"/>
          <w:color w:val="000000"/>
          <w:sz w:val="24"/>
          <w:szCs w:val="24"/>
        </w:rPr>
        <w:t xml:space="preserve">enhance </w:t>
      </w:r>
      <w:r w:rsidR="00F86832">
        <w:rPr>
          <w:rFonts w:ascii="Calibri" w:hAnsi="Calibri" w:cs="Calibri"/>
          <w:color w:val="000000"/>
          <w:sz w:val="24"/>
          <w:szCs w:val="24"/>
        </w:rPr>
        <w:t xml:space="preserve">this well-established and effective national program </w:t>
      </w:r>
      <w:r w:rsidR="00C17AE3">
        <w:rPr>
          <w:rFonts w:ascii="Calibri" w:hAnsi="Calibri" w:cs="Calibri"/>
          <w:color w:val="000000"/>
          <w:sz w:val="24"/>
          <w:szCs w:val="24"/>
        </w:rPr>
        <w:t xml:space="preserve">so the </w:t>
      </w:r>
      <w:r w:rsidR="00040652" w:rsidRPr="00D765CA">
        <w:rPr>
          <w:rFonts w:ascii="Calibri" w:hAnsi="Calibri" w:cs="Calibri"/>
          <w:color w:val="000000"/>
          <w:sz w:val="24"/>
          <w:szCs w:val="24"/>
        </w:rPr>
        <w:t>following</w:t>
      </w:r>
      <w:r w:rsidR="00C17AE3">
        <w:rPr>
          <w:rFonts w:ascii="Calibri" w:hAnsi="Calibri" w:cs="Calibri"/>
          <w:color w:val="000000"/>
          <w:sz w:val="24"/>
          <w:szCs w:val="24"/>
        </w:rPr>
        <w:t xml:space="preserve"> may be addressed</w:t>
      </w:r>
      <w:r w:rsidR="00D765CA" w:rsidRPr="00D765CA">
        <w:rPr>
          <w:rFonts w:ascii="Calibri" w:hAnsi="Calibri" w:cs="Calibri"/>
          <w:color w:val="000000"/>
          <w:sz w:val="24"/>
          <w:szCs w:val="24"/>
        </w:rPr>
        <w:t xml:space="preserve">: </w:t>
      </w:r>
    </w:p>
    <w:p w14:paraId="6351FAA2" w14:textId="2F81EFD6" w:rsidR="00A42B97" w:rsidRDefault="00B55C67" w:rsidP="00A42B97">
      <w:pPr>
        <w:pStyle w:val="ListParagraph"/>
        <w:numPr>
          <w:ilvl w:val="1"/>
          <w:numId w:val="7"/>
        </w:numPr>
        <w:spacing w:line="276" w:lineRule="auto"/>
        <w:rPr>
          <w:rFonts w:ascii="Calibri" w:hAnsi="Calibri" w:cs="Calibri"/>
          <w:color w:val="000000"/>
          <w:sz w:val="24"/>
          <w:szCs w:val="24"/>
        </w:rPr>
      </w:pPr>
      <w:r>
        <w:rPr>
          <w:rFonts w:ascii="ZWAdobeF" w:hAnsi="ZWAdobeF" w:cs="ZWAdobeF"/>
          <w:sz w:val="2"/>
          <w:szCs w:val="2"/>
        </w:rPr>
        <w:t>34B</w:t>
      </w:r>
      <w:r w:rsidR="00A42B97">
        <w:rPr>
          <w:rFonts w:ascii="Calibri" w:hAnsi="Calibri" w:cs="Calibri"/>
          <w:color w:val="000000"/>
          <w:sz w:val="24"/>
          <w:szCs w:val="24"/>
        </w:rPr>
        <w:t xml:space="preserve">AMPs with substantial experience working with NIMAS files described them as highly effective in streamlining the production of accessible formats. However, some AMPs noted challenges with understanding how to best use NIMAS files. Continue to explore options for supporting AMPs in the use of NIMAS files (e.g., more comprehensive online or in-person trainings, a NIMAS mentoring program). </w:t>
      </w:r>
    </w:p>
    <w:p w14:paraId="0F7DAC91" w14:textId="40F26E65" w:rsidR="00A42B97" w:rsidRPr="00A42B97" w:rsidRDefault="00B55C67" w:rsidP="00A42B97">
      <w:pPr>
        <w:pStyle w:val="ListParagraph"/>
        <w:numPr>
          <w:ilvl w:val="1"/>
          <w:numId w:val="7"/>
        </w:numPr>
        <w:spacing w:line="276" w:lineRule="auto"/>
        <w:rPr>
          <w:rFonts w:ascii="Calibri" w:hAnsi="Calibri" w:cs="Calibri"/>
          <w:color w:val="000000"/>
          <w:sz w:val="24"/>
          <w:szCs w:val="24"/>
        </w:rPr>
      </w:pPr>
      <w:r>
        <w:rPr>
          <w:rFonts w:ascii="ZWAdobeF" w:hAnsi="ZWAdobeF" w:cs="ZWAdobeF"/>
          <w:sz w:val="2"/>
          <w:szCs w:val="2"/>
        </w:rPr>
        <w:t>35B</w:t>
      </w:r>
      <w:r w:rsidR="00A42B97">
        <w:rPr>
          <w:rFonts w:ascii="Calibri" w:hAnsi="Calibri" w:cs="Calibri"/>
          <w:color w:val="000000"/>
          <w:sz w:val="24"/>
          <w:szCs w:val="24"/>
        </w:rPr>
        <w:t xml:space="preserve">New regulations in Title II of the </w:t>
      </w:r>
      <w:r w:rsidR="00A42B97" w:rsidRPr="00411723">
        <w:rPr>
          <w:rFonts w:ascii="Calibri" w:hAnsi="Calibri" w:cs="Calibri"/>
          <w:color w:val="000000"/>
          <w:sz w:val="24"/>
          <w:szCs w:val="24"/>
        </w:rPr>
        <w:t>Americans with Disabilities Act</w:t>
      </w:r>
      <w:r w:rsidR="00A42B97">
        <w:rPr>
          <w:rFonts w:ascii="Calibri" w:hAnsi="Calibri" w:cs="Calibri"/>
          <w:color w:val="000000"/>
          <w:sz w:val="24"/>
          <w:szCs w:val="24"/>
        </w:rPr>
        <w:t xml:space="preserve"> require accessibility in digital instructional materials. Continue to collaborate with TA providers (e.g., NCADEMI) to support compliance with these new requirements. </w:t>
      </w:r>
    </w:p>
    <w:p w14:paraId="742CC6D4" w14:textId="17B9760C" w:rsidR="00D765CA" w:rsidRDefault="00B55C67" w:rsidP="00D765CA">
      <w:pPr>
        <w:pStyle w:val="ListParagraph"/>
        <w:numPr>
          <w:ilvl w:val="1"/>
          <w:numId w:val="7"/>
        </w:numPr>
        <w:spacing w:line="276" w:lineRule="auto"/>
        <w:rPr>
          <w:rFonts w:ascii="Calibri" w:hAnsi="Calibri" w:cs="Calibri"/>
          <w:color w:val="000000"/>
          <w:sz w:val="24"/>
          <w:szCs w:val="24"/>
        </w:rPr>
      </w:pPr>
      <w:r>
        <w:rPr>
          <w:rFonts w:ascii="ZWAdobeF" w:hAnsi="ZWAdobeF" w:cs="ZWAdobeF"/>
          <w:sz w:val="2"/>
          <w:szCs w:val="2"/>
        </w:rPr>
        <w:t>36B</w:t>
      </w:r>
      <w:r w:rsidR="00D765CA">
        <w:rPr>
          <w:rFonts w:ascii="Calibri" w:hAnsi="Calibri" w:cs="Calibri"/>
          <w:color w:val="000000"/>
          <w:sz w:val="24"/>
          <w:szCs w:val="24"/>
        </w:rPr>
        <w:t xml:space="preserve">This case study highlights the importance of communication at state, regional, district, and school levels for the timely delivery of accessible formats (e.g., communication of </w:t>
      </w:r>
      <w:r w:rsidR="007D078A">
        <w:rPr>
          <w:rFonts w:ascii="Calibri" w:hAnsi="Calibri" w:cs="Calibri"/>
          <w:color w:val="000000"/>
          <w:sz w:val="24"/>
          <w:szCs w:val="24"/>
        </w:rPr>
        <w:t xml:space="preserve">district-level </w:t>
      </w:r>
      <w:r w:rsidR="00D765CA">
        <w:rPr>
          <w:rFonts w:ascii="Calibri" w:hAnsi="Calibri" w:cs="Calibri"/>
          <w:color w:val="000000"/>
          <w:sz w:val="24"/>
          <w:szCs w:val="24"/>
        </w:rPr>
        <w:t xml:space="preserve">curriculum changes to TVIs). Future TA initiatives could develop </w:t>
      </w:r>
      <w:r w:rsidR="00D765CA" w:rsidRPr="00D765CA">
        <w:rPr>
          <w:rFonts w:ascii="Calibri" w:hAnsi="Calibri" w:cs="Calibri"/>
          <w:color w:val="000000"/>
          <w:sz w:val="24"/>
          <w:szCs w:val="24"/>
        </w:rPr>
        <w:t>tools to facilitate communication</w:t>
      </w:r>
      <w:r w:rsidR="00D765CA">
        <w:rPr>
          <w:rFonts w:ascii="Calibri" w:hAnsi="Calibri" w:cs="Calibri"/>
          <w:color w:val="000000"/>
          <w:sz w:val="24"/>
          <w:szCs w:val="24"/>
        </w:rPr>
        <w:t xml:space="preserve"> among relevant stakeholders (e.g., dashboards to </w:t>
      </w:r>
      <w:r w:rsidR="007D078A">
        <w:rPr>
          <w:rFonts w:ascii="Calibri" w:hAnsi="Calibri" w:cs="Calibri"/>
          <w:color w:val="000000"/>
          <w:sz w:val="24"/>
          <w:szCs w:val="24"/>
        </w:rPr>
        <w:t xml:space="preserve">document curriculum changes, </w:t>
      </w:r>
      <w:r w:rsidR="00D765CA">
        <w:rPr>
          <w:rFonts w:ascii="Calibri" w:hAnsi="Calibri" w:cs="Calibri"/>
          <w:color w:val="000000"/>
          <w:sz w:val="24"/>
          <w:szCs w:val="24"/>
        </w:rPr>
        <w:t>track requests for accessible formats</w:t>
      </w:r>
      <w:r w:rsidR="007D078A">
        <w:rPr>
          <w:rFonts w:ascii="Calibri" w:hAnsi="Calibri" w:cs="Calibri"/>
          <w:color w:val="000000"/>
          <w:sz w:val="24"/>
          <w:szCs w:val="24"/>
        </w:rPr>
        <w:t>,</w:t>
      </w:r>
      <w:r w:rsidR="00D765CA">
        <w:rPr>
          <w:rFonts w:ascii="Calibri" w:hAnsi="Calibri" w:cs="Calibri"/>
          <w:color w:val="000000"/>
          <w:sz w:val="24"/>
          <w:szCs w:val="24"/>
        </w:rPr>
        <w:t xml:space="preserve"> and </w:t>
      </w:r>
      <w:r w:rsidR="00A42B97">
        <w:rPr>
          <w:rFonts w:ascii="Calibri" w:hAnsi="Calibri" w:cs="Calibri"/>
          <w:color w:val="000000"/>
          <w:sz w:val="24"/>
          <w:szCs w:val="24"/>
        </w:rPr>
        <w:t xml:space="preserve">provide </w:t>
      </w:r>
      <w:r w:rsidR="007D078A">
        <w:rPr>
          <w:rFonts w:ascii="Calibri" w:hAnsi="Calibri" w:cs="Calibri"/>
          <w:color w:val="000000"/>
          <w:sz w:val="24"/>
          <w:szCs w:val="24"/>
        </w:rPr>
        <w:t xml:space="preserve">accessible format production </w:t>
      </w:r>
      <w:r w:rsidR="00D765CA">
        <w:rPr>
          <w:rFonts w:ascii="Calibri" w:hAnsi="Calibri" w:cs="Calibri"/>
          <w:color w:val="000000"/>
          <w:sz w:val="24"/>
          <w:szCs w:val="24"/>
        </w:rPr>
        <w:t>status updates)</w:t>
      </w:r>
      <w:r w:rsidR="009423B2">
        <w:rPr>
          <w:rFonts w:ascii="Calibri" w:hAnsi="Calibri" w:cs="Calibri"/>
          <w:color w:val="000000"/>
          <w:sz w:val="24"/>
          <w:szCs w:val="24"/>
        </w:rPr>
        <w:t>.</w:t>
      </w:r>
    </w:p>
    <w:p w14:paraId="214BAF25" w14:textId="4DCEF5D3" w:rsidR="00701F21" w:rsidRPr="00A42B97" w:rsidRDefault="00B55C67" w:rsidP="00A42B97">
      <w:pPr>
        <w:pStyle w:val="ListParagraph"/>
        <w:numPr>
          <w:ilvl w:val="1"/>
          <w:numId w:val="7"/>
        </w:numPr>
        <w:spacing w:line="276" w:lineRule="auto"/>
        <w:rPr>
          <w:rStyle w:val="Strong"/>
          <w:rFonts w:ascii="Calibri" w:hAnsi="Calibri" w:cs="Calibri"/>
          <w:b w:val="0"/>
          <w:bCs w:val="0"/>
          <w:color w:val="000000"/>
          <w:sz w:val="24"/>
          <w:szCs w:val="24"/>
        </w:rPr>
      </w:pPr>
      <w:r>
        <w:rPr>
          <w:rFonts w:ascii="ZWAdobeF" w:hAnsi="ZWAdobeF" w:cs="ZWAdobeF"/>
          <w:sz w:val="2"/>
          <w:szCs w:val="2"/>
        </w:rPr>
        <w:t>37B</w:t>
      </w:r>
      <w:r w:rsidR="00A42B97">
        <w:rPr>
          <w:rFonts w:ascii="Calibri" w:hAnsi="Calibri" w:cs="Calibri"/>
          <w:color w:val="000000"/>
          <w:sz w:val="24"/>
          <w:szCs w:val="24"/>
        </w:rPr>
        <w:t xml:space="preserve">Continue to provide </w:t>
      </w:r>
      <w:r w:rsidR="00040652">
        <w:rPr>
          <w:rFonts w:ascii="Calibri" w:hAnsi="Calibri" w:cs="Calibri"/>
          <w:color w:val="000000"/>
          <w:sz w:val="24"/>
          <w:szCs w:val="24"/>
        </w:rPr>
        <w:t xml:space="preserve">TA </w:t>
      </w:r>
      <w:r w:rsidR="00A42B97">
        <w:rPr>
          <w:rFonts w:ascii="Calibri" w:hAnsi="Calibri" w:cs="Calibri"/>
          <w:color w:val="000000"/>
          <w:sz w:val="24"/>
          <w:szCs w:val="24"/>
        </w:rPr>
        <w:t>about 1) the role of the NIMAC and NIMAS files in the production of accessible formats</w:t>
      </w:r>
      <w:r w:rsidR="00B546D5">
        <w:rPr>
          <w:rFonts w:ascii="Calibri" w:hAnsi="Calibri" w:cs="Calibri"/>
          <w:color w:val="000000"/>
          <w:sz w:val="24"/>
          <w:szCs w:val="24"/>
        </w:rPr>
        <w:t>,</w:t>
      </w:r>
      <w:r w:rsidR="00A42B97">
        <w:rPr>
          <w:rFonts w:ascii="Calibri" w:hAnsi="Calibri" w:cs="Calibri"/>
          <w:color w:val="000000"/>
          <w:sz w:val="24"/>
          <w:szCs w:val="24"/>
        </w:rPr>
        <w:t xml:space="preserve"> and 2) the importance of including the NIMAS requirement in procurement contracts, especially among stakeholders who are responsible for ensuring that their SEA or LEA complies with the NIMAS requirement in IDEA 2004 (for all SEAs and LEAs that choose to coordinate with the NIMAC). </w:t>
      </w:r>
      <w:r w:rsidR="00701F21" w:rsidRPr="00A42B97">
        <w:rPr>
          <w:rStyle w:val="Strong"/>
          <w:rFonts w:ascii="Calibri" w:hAnsi="Calibri" w:cs="Calibri"/>
          <w:color w:val="A80000"/>
        </w:rPr>
        <w:br w:type="page"/>
      </w:r>
    </w:p>
    <w:p w14:paraId="1706A8EF" w14:textId="77777777" w:rsidR="00CF0695" w:rsidRDefault="00CF0695" w:rsidP="00CF0695">
      <w:pPr>
        <w:rPr>
          <w:rFonts w:ascii="Calibri" w:hAnsi="Calibri" w:cs="Calibri"/>
          <w:sz w:val="24"/>
          <w:szCs w:val="24"/>
        </w:rPr>
      </w:pPr>
    </w:p>
    <w:p w14:paraId="0BBC2D7D" w14:textId="77777777" w:rsidR="00644A08" w:rsidRDefault="00644A08" w:rsidP="00644A08">
      <w:pPr>
        <w:rPr>
          <w:rStyle w:val="Strong"/>
          <w:color w:val="A80000"/>
        </w:rPr>
      </w:pPr>
    </w:p>
    <w:p w14:paraId="576A66B0" w14:textId="77777777" w:rsidR="00644A08" w:rsidRDefault="00644A08" w:rsidP="00644A08">
      <w:pPr>
        <w:rPr>
          <w:rStyle w:val="Strong"/>
          <w:color w:val="A80000"/>
        </w:rPr>
      </w:pPr>
    </w:p>
    <w:p w14:paraId="172DF2A5" w14:textId="77777777" w:rsidR="00644A08" w:rsidRDefault="00644A08" w:rsidP="00644A08">
      <w:pPr>
        <w:rPr>
          <w:rStyle w:val="Strong"/>
          <w:color w:val="A80000"/>
        </w:rPr>
      </w:pPr>
    </w:p>
    <w:p w14:paraId="3549B6E5" w14:textId="77777777" w:rsidR="00644A08" w:rsidRDefault="00644A08" w:rsidP="00644A08">
      <w:pPr>
        <w:rPr>
          <w:rStyle w:val="Strong"/>
          <w:color w:val="A80000"/>
        </w:rPr>
      </w:pPr>
    </w:p>
    <w:p w14:paraId="051BC8C0" w14:textId="77777777" w:rsidR="00644A08" w:rsidRDefault="00644A08" w:rsidP="00644A08">
      <w:pPr>
        <w:rPr>
          <w:rStyle w:val="Strong"/>
          <w:color w:val="A80000"/>
        </w:rPr>
      </w:pPr>
    </w:p>
    <w:p w14:paraId="01C211DD" w14:textId="77777777" w:rsidR="00AA44F9" w:rsidRDefault="00AA44F9" w:rsidP="00644A08">
      <w:pPr>
        <w:rPr>
          <w:rStyle w:val="Strong"/>
          <w:color w:val="A80000"/>
        </w:rPr>
      </w:pPr>
    </w:p>
    <w:p w14:paraId="24FDA2FF" w14:textId="77777777" w:rsidR="00651F61" w:rsidRDefault="00651F61" w:rsidP="00644A08">
      <w:pPr>
        <w:rPr>
          <w:rStyle w:val="Strong"/>
          <w:color w:val="A80000"/>
        </w:rPr>
      </w:pPr>
    </w:p>
    <w:p w14:paraId="39398F11" w14:textId="77777777" w:rsidR="00603BBB" w:rsidRDefault="00603BBB" w:rsidP="00644A08">
      <w:pPr>
        <w:rPr>
          <w:rStyle w:val="Strong"/>
          <w:color w:val="A80000"/>
        </w:rPr>
      </w:pPr>
    </w:p>
    <w:p w14:paraId="79E419F0" w14:textId="531B22C8" w:rsidR="00E52FD0" w:rsidRPr="00E52FD0" w:rsidRDefault="00E52FD0" w:rsidP="00E52FD0">
      <w:pPr>
        <w:pStyle w:val="Heading2"/>
      </w:pPr>
      <w:bookmarkStart w:id="109" w:name="_Toc222904048"/>
      <w:r>
        <w:t>Appendix A: Survey</w:t>
      </w:r>
      <w:bookmarkEnd w:id="109"/>
    </w:p>
    <w:p w14:paraId="2D44ED43" w14:textId="4AD9E50C" w:rsidR="006C0B3D" w:rsidRPr="005919AC" w:rsidRDefault="006C0B3D" w:rsidP="00D4713D">
      <w:pPr>
        <w:rPr>
          <w:rStyle w:val="Strong"/>
          <w:rFonts w:ascii="Calibri" w:hAnsi="Calibri" w:cs="Calibri"/>
          <w:color w:val="A80000"/>
        </w:rPr>
      </w:pPr>
    </w:p>
    <w:p w14:paraId="101C5FDD" w14:textId="2B966BD7" w:rsidR="006C0B3D" w:rsidRDefault="006C0B3D" w:rsidP="00D4713D">
      <w:pPr>
        <w:rPr>
          <w:rFonts w:ascii="Times New Roman" w:hAnsi="Times New Roman" w:cs="Times New Roman"/>
          <w:sz w:val="24"/>
          <w:szCs w:val="24"/>
        </w:rPr>
      </w:pPr>
    </w:p>
    <w:p w14:paraId="44B3E6AE" w14:textId="75609DF8" w:rsidR="00644A08" w:rsidRDefault="00644A08" w:rsidP="00D4713D">
      <w:pPr>
        <w:rPr>
          <w:rFonts w:ascii="Times New Roman" w:hAnsi="Times New Roman" w:cs="Times New Roman"/>
          <w:sz w:val="24"/>
          <w:szCs w:val="24"/>
        </w:rPr>
      </w:pPr>
      <w:r>
        <w:rPr>
          <w:rFonts w:ascii="Times New Roman" w:hAnsi="Times New Roman" w:cs="Times New Roman"/>
          <w:sz w:val="24"/>
          <w:szCs w:val="24"/>
        </w:rPr>
        <w:br w:type="page"/>
      </w:r>
    </w:p>
    <w:p w14:paraId="2060A322" w14:textId="7691AE0C" w:rsidR="00D4713D" w:rsidRPr="00F640D3" w:rsidRDefault="00B55C67" w:rsidP="00D4713D">
      <w:pPr>
        <w:jc w:val="center"/>
        <w:rPr>
          <w:rFonts w:cstheme="minorHAnsi"/>
          <w:b/>
          <w:bCs/>
          <w:sz w:val="28"/>
          <w:szCs w:val="28"/>
        </w:rPr>
      </w:pPr>
      <w:r>
        <w:rPr>
          <w:rFonts w:ascii="ZWAdobeF" w:hAnsi="ZWAdobeF" w:cs="ZWAdobeF"/>
          <w:bCs/>
          <w:sz w:val="2"/>
          <w:szCs w:val="2"/>
        </w:rPr>
        <w:lastRenderedPageBreak/>
        <w:t>285B</w:t>
      </w:r>
      <w:r w:rsidR="00D4713D" w:rsidRPr="009D7448">
        <w:rPr>
          <w:rFonts w:cstheme="minorHAnsi"/>
          <w:b/>
          <w:bCs/>
          <w:sz w:val="28"/>
          <w:szCs w:val="28"/>
        </w:rPr>
        <w:t xml:space="preserve">Survey </w:t>
      </w:r>
      <w:r w:rsidR="00C67F40">
        <w:rPr>
          <w:rFonts w:cstheme="minorHAnsi"/>
          <w:b/>
          <w:bCs/>
          <w:sz w:val="28"/>
          <w:szCs w:val="28"/>
        </w:rPr>
        <w:t>for NIMAC Case Study</w:t>
      </w:r>
    </w:p>
    <w:p w14:paraId="365F18EF" w14:textId="65C94CBC" w:rsidR="00D4713D" w:rsidRPr="00D577F2" w:rsidRDefault="00B55C67" w:rsidP="00D4713D">
      <w:pPr>
        <w:jc w:val="center"/>
        <w:rPr>
          <w:rFonts w:cstheme="minorHAnsi"/>
          <w:b/>
          <w:bCs/>
          <w:sz w:val="24"/>
          <w:szCs w:val="24"/>
        </w:rPr>
      </w:pPr>
      <w:r>
        <w:rPr>
          <w:rFonts w:ascii="ZWAdobeF" w:hAnsi="ZWAdobeF" w:cs="ZWAdobeF"/>
          <w:bCs/>
          <w:sz w:val="2"/>
          <w:szCs w:val="2"/>
        </w:rPr>
        <w:t>286B</w:t>
      </w:r>
      <w:r w:rsidR="00D4713D" w:rsidRPr="00D577F2">
        <w:rPr>
          <w:rFonts w:cstheme="minorHAnsi"/>
          <w:b/>
          <w:bCs/>
          <w:sz w:val="24"/>
          <w:szCs w:val="24"/>
        </w:rPr>
        <w:t>Introductory Screen</w:t>
      </w:r>
    </w:p>
    <w:p w14:paraId="097FEB17" w14:textId="3FB6E057" w:rsidR="00C67F40" w:rsidRPr="00C67F40" w:rsidRDefault="00B55C67" w:rsidP="00C67F40">
      <w:pPr>
        <w:spacing w:line="278" w:lineRule="auto"/>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287B</w:t>
      </w:r>
      <w:r w:rsidR="00C67F40" w:rsidRPr="00C67F40">
        <w:rPr>
          <w:rFonts w:ascii="Aptos" w:eastAsia="Aptos" w:hAnsi="Aptos" w:cs="Times New Roman"/>
          <w:kern w:val="2"/>
          <w14:ligatures w14:val="standardContextual"/>
        </w:rPr>
        <w:t>The National Instructional Materials Access Center (NIMAC) is excited to explore the timely delivery of accessible formats for instructional materials (e.g., braille, large print, EPUB). We invite you to complete this brief, anonymous survey. It will take less than 10 minutes.</w:t>
      </w:r>
    </w:p>
    <w:p w14:paraId="0B6A7E2B" w14:textId="72D71112" w:rsidR="00C67F40" w:rsidRPr="00C67F40" w:rsidRDefault="00B55C67" w:rsidP="00C67F40">
      <w:pPr>
        <w:spacing w:line="278" w:lineRule="auto"/>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288B</w:t>
      </w:r>
      <w:r w:rsidR="00C67F40" w:rsidRPr="00C67F40">
        <w:rPr>
          <w:rFonts w:ascii="Aptos" w:eastAsia="Aptos" w:hAnsi="Aptos" w:cs="Times New Roman"/>
          <w:kern w:val="2"/>
          <w14:ligatures w14:val="standardContextual"/>
        </w:rPr>
        <w:t xml:space="preserve">Why participate? </w:t>
      </w:r>
    </w:p>
    <w:p w14:paraId="0F76DC90" w14:textId="281CC5A5" w:rsidR="00C67F40" w:rsidRPr="00C67F40" w:rsidRDefault="00B55C67" w:rsidP="00692AD9">
      <w:pPr>
        <w:numPr>
          <w:ilvl w:val="0"/>
          <w:numId w:val="5"/>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289B</w:t>
      </w:r>
      <w:r w:rsidR="00C67F40" w:rsidRPr="00C67F40">
        <w:rPr>
          <w:rFonts w:ascii="Aptos" w:eastAsia="Aptos" w:hAnsi="Aptos" w:cs="Times New Roman"/>
          <w:kern w:val="2"/>
          <w14:ligatures w14:val="standardContextual"/>
        </w:rPr>
        <w:t xml:space="preserve">The NIMAC itself does not produce or distribute materials directly for use by students. Rather, its role is to work “behind the scenes” to support the production and delivery of accessible formats by other agencies. As such, the NIMAC is several steps removed from students in the classroom. </w:t>
      </w:r>
      <w:r w:rsidR="00C67F40" w:rsidRPr="00C67F40">
        <w:rPr>
          <w:rFonts w:ascii="Aptos" w:eastAsia="Aptos" w:hAnsi="Aptos" w:cs="Times New Roman"/>
          <w:b/>
          <w:bCs/>
          <w:kern w:val="2"/>
          <w14:ligatures w14:val="standardContextual"/>
        </w:rPr>
        <w:t>This survey will inform the NIMAC about the factors that influence timely delivery of accessible formats for K-12 students with visual impairments or print disabilities.</w:t>
      </w:r>
    </w:p>
    <w:p w14:paraId="5DF848D7" w14:textId="21A09264" w:rsidR="00C67F40" w:rsidRPr="00C67F40" w:rsidRDefault="00B55C67" w:rsidP="00692AD9">
      <w:pPr>
        <w:numPr>
          <w:ilvl w:val="0"/>
          <w:numId w:val="5"/>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290B</w:t>
      </w:r>
      <w:r w:rsidR="00C67F40" w:rsidRPr="00C67F40">
        <w:rPr>
          <w:rFonts w:ascii="Aptos" w:eastAsia="Aptos" w:hAnsi="Aptos" w:cs="Times New Roman"/>
          <w:kern w:val="2"/>
          <w14:ligatures w14:val="standardContextual"/>
        </w:rPr>
        <w:t xml:space="preserve">Additionally, the NIMAC is a project of the Department of Education, Office of Special Education Programs (OSEP), and the Department reviews the NIMAC annually. </w:t>
      </w:r>
      <w:r w:rsidR="00C67F40" w:rsidRPr="00C67F40">
        <w:rPr>
          <w:rFonts w:ascii="Aptos" w:eastAsia="Aptos" w:hAnsi="Aptos" w:cs="Times New Roman"/>
          <w:b/>
          <w:bCs/>
          <w:kern w:val="2"/>
          <w14:ligatures w14:val="standardContextual"/>
        </w:rPr>
        <w:t>Your insights regarding the benefits of timely delivery could lead to additional support for states and districts in providing timely delivery of accessible instructional materials to students with disabilities.</w:t>
      </w:r>
    </w:p>
    <w:p w14:paraId="190F59B7" w14:textId="157AC33C" w:rsidR="00C67F40" w:rsidRPr="00C67F40" w:rsidRDefault="00B55C67" w:rsidP="00C67F40">
      <w:pPr>
        <w:spacing w:line="278" w:lineRule="auto"/>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291B</w:t>
      </w:r>
      <w:r w:rsidR="00C67F40" w:rsidRPr="00C67F40">
        <w:rPr>
          <w:rFonts w:ascii="Aptos" w:eastAsia="Aptos" w:hAnsi="Aptos" w:cs="Times New Roman"/>
          <w:kern w:val="2"/>
          <w14:ligatures w14:val="standardContextual"/>
        </w:rPr>
        <w:t xml:space="preserve">There is no time limit for this survey. All starred items within this survey represent required fields. Additionally, if you begin the survey and wish to </w:t>
      </w:r>
      <w:proofErr w:type="gramStart"/>
      <w:r w:rsidR="00C67F40" w:rsidRPr="00C67F40">
        <w:rPr>
          <w:rFonts w:ascii="Aptos" w:eastAsia="Aptos" w:hAnsi="Aptos" w:cs="Times New Roman"/>
          <w:kern w:val="2"/>
          <w14:ligatures w14:val="standardContextual"/>
        </w:rPr>
        <w:t>return to</w:t>
      </w:r>
      <w:proofErr w:type="gramEnd"/>
      <w:r w:rsidR="00C67F40" w:rsidRPr="00C67F40">
        <w:rPr>
          <w:rFonts w:ascii="Aptos" w:eastAsia="Aptos" w:hAnsi="Aptos" w:cs="Times New Roman"/>
          <w:kern w:val="2"/>
          <w14:ligatures w14:val="standardContextual"/>
        </w:rPr>
        <w:t xml:space="preserve"> it later from the same device, you will be able to start where you left off.</w:t>
      </w:r>
    </w:p>
    <w:p w14:paraId="7CF193C0" w14:textId="1E89547B" w:rsidR="00C67F40" w:rsidRPr="00C67F40" w:rsidRDefault="00B55C67" w:rsidP="00C67F40">
      <w:pPr>
        <w:spacing w:line="278" w:lineRule="auto"/>
        <w:rPr>
          <w:rFonts w:ascii="Aptos" w:eastAsia="Aptos" w:hAnsi="Aptos" w:cs="Times New Roman"/>
          <w:kern w:val="2"/>
          <w14:ligatures w14:val="standardContextual"/>
        </w:rPr>
      </w:pPr>
      <w:r>
        <w:rPr>
          <w:rFonts w:ascii="ZWAdobeF" w:eastAsia="Aptos" w:hAnsi="ZWAdobeF" w:cs="ZWAdobeF"/>
          <w:iCs/>
          <w:kern w:val="2"/>
          <w:sz w:val="2"/>
          <w:szCs w:val="2"/>
          <w14:ligatures w14:val="standardContextual"/>
        </w:rPr>
        <w:t>292B</w:t>
      </w:r>
      <w:r w:rsidR="00C67F40" w:rsidRPr="00C67F40">
        <w:rPr>
          <w:rFonts w:ascii="Aptos" w:eastAsia="Aptos" w:hAnsi="Aptos" w:cs="Times New Roman"/>
          <w:i/>
          <w:iCs/>
          <w:kern w:val="2"/>
          <w14:ligatures w14:val="standardContextual"/>
        </w:rPr>
        <w:t>If you prefer to provide feedback through another method or experience any issues accessing the survey</w:t>
      </w:r>
      <w:r w:rsidR="00C67F40" w:rsidRPr="00C67F40">
        <w:rPr>
          <w:rFonts w:ascii="Aptos" w:eastAsia="Aptos" w:hAnsi="Aptos" w:cs="Times New Roman"/>
          <w:kern w:val="2"/>
          <w14:ligatures w14:val="standardContextual"/>
        </w:rPr>
        <w:t>, please reach out to True North Evaluation via phone (781-474-0462) or email (</w:t>
      </w:r>
      <w:hyperlink r:id="rId51" w:history="1">
        <w:r w:rsidR="00C67F40" w:rsidRPr="00C67F40">
          <w:rPr>
            <w:rFonts w:ascii="Aptos" w:eastAsia="Aptos" w:hAnsi="Aptos" w:cs="Times New Roman"/>
            <w:color w:val="467886"/>
            <w:kern w:val="2"/>
            <w14:ligatures w14:val="standardContextual"/>
          </w:rPr>
          <w:t>info@truenorthevaluation.com</w:t>
        </w:r>
      </w:hyperlink>
      <w:r w:rsidR="00C67F40" w:rsidRPr="00C67F40">
        <w:rPr>
          <w:rFonts w:ascii="Aptos" w:eastAsia="Aptos" w:hAnsi="Aptos" w:cs="Times New Roman"/>
          <w:kern w:val="2"/>
          <w14:ligatures w14:val="standardContextual"/>
        </w:rPr>
        <w:t>). We are happy to offer alternative, accessible formats for data collection, such as a phone interview, email correspondence, or a Word document.</w:t>
      </w:r>
    </w:p>
    <w:p w14:paraId="5ABE1786" w14:textId="32AFD4F4" w:rsidR="00C67F40" w:rsidRPr="00C67F40" w:rsidRDefault="00B55C67" w:rsidP="00C67F40">
      <w:pPr>
        <w:spacing w:after="0" w:line="278" w:lineRule="auto"/>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293B</w:t>
      </w:r>
      <w:r w:rsidR="00C67F40" w:rsidRPr="00C67F40">
        <w:rPr>
          <w:rFonts w:ascii="Aptos" w:eastAsia="Aptos" w:hAnsi="Aptos" w:cs="Times New Roman"/>
          <w:kern w:val="2"/>
          <w14:ligatures w14:val="standardContextual"/>
        </w:rPr>
        <w:t>Thank you!</w:t>
      </w:r>
    </w:p>
    <w:p w14:paraId="49994360" w14:textId="3C415D94" w:rsidR="00C67F40" w:rsidRPr="00C67F40" w:rsidRDefault="00B55C67" w:rsidP="00C67F40">
      <w:pPr>
        <w:spacing w:line="278" w:lineRule="auto"/>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294B</w:t>
      </w:r>
      <w:r w:rsidR="00C67F40" w:rsidRPr="00C67F40">
        <w:rPr>
          <w:rFonts w:ascii="Aptos" w:eastAsia="Aptos" w:hAnsi="Aptos" w:cs="Times New Roman"/>
          <w:kern w:val="2"/>
          <w14:ligatures w14:val="standardContextual"/>
        </w:rPr>
        <w:t>True North Evaluation Inc. (External evaluator for the NIMAC)</w:t>
      </w:r>
    </w:p>
    <w:p w14:paraId="17BA8F99" w14:textId="77777777" w:rsidR="00C67F40" w:rsidRPr="00C67F40" w:rsidRDefault="00C67F40" w:rsidP="00C67F40">
      <w:pPr>
        <w:spacing w:line="278" w:lineRule="auto"/>
        <w:rPr>
          <w:rFonts w:ascii="Aptos" w:eastAsia="Aptos" w:hAnsi="Aptos" w:cs="Times New Roman"/>
          <w:kern w:val="2"/>
          <w14:ligatures w14:val="standardContextual"/>
        </w:rPr>
      </w:pPr>
      <w:r w:rsidRPr="00C67F40">
        <w:rPr>
          <w:rFonts w:ascii="Aptos" w:eastAsia="Aptos" w:hAnsi="Aptos" w:cs="Times New Roman"/>
          <w:kern w:val="2"/>
          <w14:ligatures w14:val="standardContextual"/>
        </w:rPr>
        <w:br w:type="page"/>
      </w:r>
    </w:p>
    <w:p w14:paraId="6B238C43" w14:textId="1D7568C7" w:rsidR="00C67F40" w:rsidRPr="00C67F40" w:rsidRDefault="00B55C67" w:rsidP="00C67F40">
      <w:pPr>
        <w:spacing w:line="278" w:lineRule="auto"/>
        <w:jc w:val="center"/>
        <w:rPr>
          <w:rFonts w:ascii="Aptos" w:eastAsia="Aptos" w:hAnsi="Aptos" w:cs="Times New Roman"/>
          <w:b/>
          <w:bCs/>
          <w:kern w:val="2"/>
          <w14:ligatures w14:val="standardContextual"/>
        </w:rPr>
      </w:pPr>
      <w:r>
        <w:rPr>
          <w:rFonts w:ascii="ZWAdobeF" w:eastAsia="Aptos" w:hAnsi="ZWAdobeF" w:cs="ZWAdobeF"/>
          <w:bCs/>
          <w:kern w:val="2"/>
          <w:sz w:val="2"/>
          <w:szCs w:val="2"/>
          <w14:ligatures w14:val="standardContextual"/>
        </w:rPr>
        <w:lastRenderedPageBreak/>
        <w:t>295B</w:t>
      </w:r>
      <w:r w:rsidR="00C67F40" w:rsidRPr="00C67F40">
        <w:rPr>
          <w:rFonts w:ascii="Aptos" w:eastAsia="Aptos" w:hAnsi="Aptos" w:cs="Times New Roman"/>
          <w:b/>
          <w:bCs/>
          <w:kern w:val="2"/>
          <w14:ligatures w14:val="standardContextual"/>
        </w:rPr>
        <w:t>Role</w:t>
      </w:r>
    </w:p>
    <w:p w14:paraId="4DC8E292" w14:textId="22F14875" w:rsidR="00C67F40" w:rsidRPr="00C67F40" w:rsidRDefault="00B55C67" w:rsidP="00575BCD">
      <w:p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296B</w:t>
      </w:r>
      <w:r w:rsidR="00C67F40" w:rsidRPr="00C67F40">
        <w:rPr>
          <w:rFonts w:ascii="Aptos" w:eastAsia="Aptos" w:hAnsi="Aptos" w:cs="Times New Roman"/>
          <w:kern w:val="2"/>
          <w14:ligatures w14:val="standardContextual"/>
        </w:rPr>
        <w:t>Please select your state or territory:</w:t>
      </w:r>
    </w:p>
    <w:p w14:paraId="2EA8DB2C" w14:textId="237036C1"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297B</w:t>
      </w:r>
      <w:r w:rsidR="00C67F40" w:rsidRPr="00C67F40">
        <w:rPr>
          <w:rFonts w:ascii="Aptos" w:eastAsia="Aptos" w:hAnsi="Aptos" w:cs="Times New Roman"/>
          <w:kern w:val="2"/>
          <w14:ligatures w14:val="standardContextual"/>
        </w:rPr>
        <w:t xml:space="preserve">Please select the role that </w:t>
      </w:r>
      <w:r w:rsidR="00C67F40" w:rsidRPr="00C67F40">
        <w:rPr>
          <w:rFonts w:ascii="Aptos" w:eastAsia="Aptos" w:hAnsi="Aptos" w:cs="Times New Roman"/>
          <w:i/>
          <w:iCs/>
          <w:kern w:val="2"/>
          <w14:ligatures w14:val="standardContextual"/>
        </w:rPr>
        <w:t>best</w:t>
      </w:r>
      <w:r w:rsidR="00C67F40" w:rsidRPr="00C67F40">
        <w:rPr>
          <w:rFonts w:ascii="Aptos" w:eastAsia="Aptos" w:hAnsi="Aptos" w:cs="Times New Roman"/>
          <w:kern w:val="2"/>
          <w14:ligatures w14:val="standardContextual"/>
        </w:rPr>
        <w:t xml:space="preserve"> describes your work:</w:t>
      </w:r>
    </w:p>
    <w:p w14:paraId="1EED028D" w14:textId="65B31D19"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298B</w:t>
      </w:r>
      <w:r w:rsidR="00C67F40" w:rsidRPr="00C67F40">
        <w:rPr>
          <w:rFonts w:ascii="Aptos" w:eastAsia="Aptos" w:hAnsi="Aptos" w:cs="Times New Roman"/>
          <w:kern w:val="2"/>
          <w14:ligatures w14:val="standardContextual"/>
        </w:rPr>
        <w:t>Local Educational Agency (LEA) Staff (e.g., district-level administrator or staff, including Special Education Directors and Coordinators, Curriculum Directors)</w:t>
      </w:r>
    </w:p>
    <w:p w14:paraId="05878D5B" w14:textId="2497916F"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299B</w:t>
      </w:r>
      <w:r w:rsidR="00C67F40" w:rsidRPr="00C67F40">
        <w:rPr>
          <w:rFonts w:ascii="Aptos" w:eastAsia="Aptos" w:hAnsi="Aptos" w:cs="Times New Roman"/>
          <w:kern w:val="2"/>
          <w14:ligatures w14:val="standardContextual"/>
        </w:rPr>
        <w:t>State Educational Agency (SEA) Staff (e.g., State Special Education Director or staff; Department of Education administrator, specialist, or coordinator; State Board of Education administrator, specialist, or coordinator; Leadership Council; Curriculum Workgroup; other state-level administrator or staff)</w:t>
      </w:r>
    </w:p>
    <w:p w14:paraId="3C467D07" w14:textId="6252FBED"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bookmarkStart w:id="110" w:name="_Hlk204668490"/>
      <w:r>
        <w:rPr>
          <w:rFonts w:ascii="ZWAdobeF" w:eastAsia="Aptos" w:hAnsi="ZWAdobeF" w:cs="ZWAdobeF"/>
          <w:kern w:val="2"/>
          <w:sz w:val="2"/>
          <w:szCs w:val="2"/>
          <w14:ligatures w14:val="standardContextual"/>
        </w:rPr>
        <w:t>300B</w:t>
      </w:r>
      <w:r w:rsidR="00C67F40" w:rsidRPr="00C67F40">
        <w:rPr>
          <w:rFonts w:ascii="Aptos" w:eastAsia="Aptos" w:hAnsi="Aptos" w:cs="Times New Roman"/>
          <w:kern w:val="2"/>
          <w14:ligatures w14:val="standardContextual"/>
        </w:rPr>
        <w:t>Instructional Materials or Resource Center Staff</w:t>
      </w:r>
      <w:bookmarkEnd w:id="110"/>
      <w:r w:rsidR="00C67F40" w:rsidRPr="00C67F40">
        <w:rPr>
          <w:rFonts w:ascii="Aptos" w:eastAsia="Aptos" w:hAnsi="Aptos" w:cs="Times New Roman"/>
          <w:kern w:val="2"/>
          <w14:ligatures w14:val="standardContextual"/>
        </w:rPr>
        <w:t>, Coordinator, Specialist, or Technician (e.g., AEM Center staff, Textbook &amp; Media Center staff)</w:t>
      </w:r>
    </w:p>
    <w:p w14:paraId="77374C62" w14:textId="6C67B9E2"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301B</w:t>
      </w:r>
      <w:r w:rsidR="00C67F40" w:rsidRPr="00C67F40">
        <w:rPr>
          <w:rFonts w:ascii="Aptos" w:eastAsia="Aptos" w:hAnsi="Aptos" w:cs="Times New Roman"/>
          <w:kern w:val="2"/>
          <w14:ligatures w14:val="standardContextual"/>
        </w:rPr>
        <w:t>School Staff (e.g., local school or building administrator, teacher) [</w:t>
      </w:r>
      <w:r w:rsidR="00C67F40" w:rsidRPr="00C67F40">
        <w:rPr>
          <w:rFonts w:ascii="Aptos" w:eastAsia="Aptos" w:hAnsi="Aptos" w:cs="Times New Roman"/>
          <w:i/>
          <w:iCs/>
          <w:kern w:val="2"/>
          <w14:ligatures w14:val="standardContextual"/>
        </w:rPr>
        <w:t>if selected, ask:</w:t>
      </w:r>
      <w:r w:rsidR="00C67F40" w:rsidRPr="00C67F40">
        <w:rPr>
          <w:rFonts w:ascii="Aptos" w:eastAsia="Aptos" w:hAnsi="Aptos" w:cs="Times New Roman"/>
          <w:kern w:val="2"/>
          <w14:ligatures w14:val="standardContextual"/>
        </w:rPr>
        <w:t xml:space="preserve">] </w:t>
      </w:r>
    </w:p>
    <w:p w14:paraId="1F7A3973" w14:textId="3BACB9FC" w:rsidR="00C67F40" w:rsidRPr="00C67F40" w:rsidRDefault="00B55C67" w:rsidP="00692AD9">
      <w:pPr>
        <w:numPr>
          <w:ilvl w:val="2"/>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302B</w:t>
      </w:r>
      <w:r w:rsidR="00C67F40" w:rsidRPr="00C67F40">
        <w:rPr>
          <w:rFonts w:ascii="Aptos" w:eastAsia="Aptos" w:hAnsi="Aptos" w:cs="Times New Roman"/>
          <w:kern w:val="2"/>
          <w14:ligatures w14:val="standardContextual"/>
        </w:rPr>
        <w:t>Please select your school setting:</w:t>
      </w:r>
    </w:p>
    <w:p w14:paraId="2EFAAF58" w14:textId="4B4F48E8" w:rsidR="00C67F40" w:rsidRPr="00C67F40" w:rsidRDefault="00B55C67" w:rsidP="00692AD9">
      <w:pPr>
        <w:numPr>
          <w:ilvl w:val="3"/>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303B</w:t>
      </w:r>
      <w:r w:rsidR="00C67F40" w:rsidRPr="00C67F40">
        <w:rPr>
          <w:rFonts w:ascii="Aptos" w:eastAsia="Aptos" w:hAnsi="Aptos" w:cs="Times New Roman"/>
          <w:kern w:val="2"/>
          <w14:ligatures w14:val="standardContextual"/>
        </w:rPr>
        <w:t>Public school</w:t>
      </w:r>
    </w:p>
    <w:p w14:paraId="62259025" w14:textId="62B816CB" w:rsidR="00C67F40" w:rsidRPr="00C67F40" w:rsidRDefault="00B55C67" w:rsidP="00692AD9">
      <w:pPr>
        <w:numPr>
          <w:ilvl w:val="3"/>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304B</w:t>
      </w:r>
      <w:r w:rsidR="00C67F40" w:rsidRPr="00C67F40">
        <w:rPr>
          <w:rFonts w:ascii="Aptos" w:eastAsia="Aptos" w:hAnsi="Aptos" w:cs="Times New Roman"/>
          <w:kern w:val="2"/>
          <w14:ligatures w14:val="standardContextual"/>
        </w:rPr>
        <w:t>Private school</w:t>
      </w:r>
    </w:p>
    <w:p w14:paraId="5617B8BA" w14:textId="5271618C" w:rsidR="00C67F40" w:rsidRPr="00C67F40" w:rsidRDefault="00B55C67" w:rsidP="00692AD9">
      <w:pPr>
        <w:numPr>
          <w:ilvl w:val="3"/>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305B</w:t>
      </w:r>
      <w:r w:rsidR="00C67F40" w:rsidRPr="00C67F40">
        <w:rPr>
          <w:rFonts w:ascii="Aptos" w:eastAsia="Aptos" w:hAnsi="Aptos" w:cs="Times New Roman"/>
          <w:kern w:val="2"/>
          <w14:ligatures w14:val="standardContextual"/>
        </w:rPr>
        <w:t>Charter school (online or in-person)</w:t>
      </w:r>
    </w:p>
    <w:p w14:paraId="671696E1" w14:textId="6E47C585" w:rsidR="00C67F40" w:rsidRPr="00C67F40" w:rsidRDefault="00B55C67" w:rsidP="00692AD9">
      <w:pPr>
        <w:numPr>
          <w:ilvl w:val="3"/>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306B</w:t>
      </w:r>
      <w:r w:rsidR="00C67F40" w:rsidRPr="00C67F40">
        <w:rPr>
          <w:rFonts w:ascii="Aptos" w:eastAsia="Aptos" w:hAnsi="Aptos" w:cs="Times New Roman"/>
          <w:kern w:val="2"/>
          <w14:ligatures w14:val="standardContextual"/>
        </w:rPr>
        <w:t>School for specific populations (e.g., visually impaired)</w:t>
      </w:r>
    </w:p>
    <w:p w14:paraId="68A71160" w14:textId="6DFBC1D4" w:rsidR="00C67F40" w:rsidRPr="00C67F40" w:rsidRDefault="00B55C67" w:rsidP="00692AD9">
      <w:pPr>
        <w:numPr>
          <w:ilvl w:val="3"/>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307B</w:t>
      </w:r>
      <w:r w:rsidR="00C67F40" w:rsidRPr="00C67F40">
        <w:rPr>
          <w:rFonts w:ascii="Aptos" w:eastAsia="Aptos" w:hAnsi="Aptos" w:cs="Times New Roman"/>
          <w:kern w:val="2"/>
          <w14:ligatures w14:val="standardContextual"/>
        </w:rPr>
        <w:t xml:space="preserve">Other (please specify): </w:t>
      </w:r>
    </w:p>
    <w:p w14:paraId="6C526F55" w14:textId="3A446C4E" w:rsidR="00C67F40" w:rsidRPr="00C67F40" w:rsidRDefault="00B55C67" w:rsidP="00692AD9">
      <w:pPr>
        <w:numPr>
          <w:ilvl w:val="2"/>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308B</w:t>
      </w:r>
      <w:r w:rsidR="00C67F40" w:rsidRPr="00C67F40">
        <w:rPr>
          <w:rFonts w:ascii="Aptos" w:eastAsia="Aptos" w:hAnsi="Aptos" w:cs="Times New Roman"/>
          <w:kern w:val="2"/>
          <w14:ligatures w14:val="standardContextual"/>
        </w:rPr>
        <w:t xml:space="preserve">Please select your role in the school: </w:t>
      </w:r>
    </w:p>
    <w:p w14:paraId="3185F974" w14:textId="2A91E67F" w:rsidR="00C67F40" w:rsidRPr="00C67F40" w:rsidRDefault="00B55C67" w:rsidP="00692AD9">
      <w:pPr>
        <w:numPr>
          <w:ilvl w:val="3"/>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309B</w:t>
      </w:r>
      <w:r w:rsidR="00C67F40" w:rsidRPr="00C67F40">
        <w:rPr>
          <w:rFonts w:ascii="Aptos" w:eastAsia="Aptos" w:hAnsi="Aptos" w:cs="Times New Roman"/>
          <w:kern w:val="2"/>
          <w14:ligatures w14:val="standardContextual"/>
        </w:rPr>
        <w:t>School Administrator (e.g., Principal, Assistant Principal, Special Education Director, General Education Director, Charter or Private School Director, Director or Coordinator of Curriculum or Assessment)</w:t>
      </w:r>
    </w:p>
    <w:p w14:paraId="7BBFAE6E" w14:textId="0BBE9CCC" w:rsidR="00C67F40" w:rsidRPr="00C67F40" w:rsidRDefault="00B55C67" w:rsidP="00692AD9">
      <w:pPr>
        <w:numPr>
          <w:ilvl w:val="3"/>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310B</w:t>
      </w:r>
      <w:r w:rsidR="00C67F40" w:rsidRPr="00C67F40">
        <w:rPr>
          <w:rFonts w:ascii="Aptos" w:eastAsia="Aptos" w:hAnsi="Aptos" w:cs="Times New Roman"/>
          <w:kern w:val="2"/>
          <w14:ligatures w14:val="standardContextual"/>
        </w:rPr>
        <w:t>Teacher of General Education students</w:t>
      </w:r>
    </w:p>
    <w:p w14:paraId="0393A342" w14:textId="687C831B" w:rsidR="00C67F40" w:rsidRPr="00C67F40" w:rsidRDefault="00B55C67" w:rsidP="00692AD9">
      <w:pPr>
        <w:numPr>
          <w:ilvl w:val="3"/>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311B</w:t>
      </w:r>
      <w:r w:rsidR="00C67F40" w:rsidRPr="00C67F40">
        <w:rPr>
          <w:rFonts w:ascii="Aptos" w:eastAsia="Aptos" w:hAnsi="Aptos" w:cs="Times New Roman"/>
          <w:kern w:val="2"/>
          <w14:ligatures w14:val="standardContextual"/>
        </w:rPr>
        <w:t>Teacher of Special Education students, including Teachers of Students with Visual Impairments (TVIs)</w:t>
      </w:r>
    </w:p>
    <w:p w14:paraId="51EAC0AA" w14:textId="37E5084F" w:rsidR="00C67F40" w:rsidRPr="00C67F40" w:rsidRDefault="00B55C67" w:rsidP="00692AD9">
      <w:pPr>
        <w:numPr>
          <w:ilvl w:val="3"/>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312B</w:t>
      </w:r>
      <w:r w:rsidR="00C67F40" w:rsidRPr="00C67F40">
        <w:rPr>
          <w:rFonts w:ascii="Aptos" w:eastAsia="Aptos" w:hAnsi="Aptos" w:cs="Times New Roman"/>
          <w:kern w:val="2"/>
          <w14:ligatures w14:val="standardContextual"/>
        </w:rPr>
        <w:t>Teacher of both General and Special Education students</w:t>
      </w:r>
    </w:p>
    <w:p w14:paraId="35EE219C" w14:textId="2A7A7B9D" w:rsidR="00C67F40" w:rsidRPr="00C67F40" w:rsidRDefault="00B55C67" w:rsidP="00692AD9">
      <w:pPr>
        <w:numPr>
          <w:ilvl w:val="3"/>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313B</w:t>
      </w:r>
      <w:r w:rsidR="00C67F40" w:rsidRPr="00C67F40">
        <w:rPr>
          <w:rFonts w:ascii="Aptos" w:eastAsia="Aptos" w:hAnsi="Aptos" w:cs="Times New Roman"/>
          <w:kern w:val="2"/>
          <w14:ligatures w14:val="standardContextual"/>
        </w:rPr>
        <w:t>Braillist or paraprofessional</w:t>
      </w:r>
    </w:p>
    <w:p w14:paraId="0B8C2E13" w14:textId="62E947F5" w:rsidR="00C67F40" w:rsidRPr="00C67F40" w:rsidRDefault="00B55C67" w:rsidP="00692AD9">
      <w:pPr>
        <w:numPr>
          <w:ilvl w:val="3"/>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314B</w:t>
      </w:r>
      <w:r w:rsidR="00C67F40" w:rsidRPr="00C67F40">
        <w:rPr>
          <w:rFonts w:ascii="Aptos" w:eastAsia="Aptos" w:hAnsi="Aptos" w:cs="Times New Roman"/>
          <w:kern w:val="2"/>
          <w14:ligatures w14:val="standardContextual"/>
        </w:rPr>
        <w:t>Curriculum coordinator</w:t>
      </w:r>
    </w:p>
    <w:p w14:paraId="1BD03E8F" w14:textId="49B5EA45" w:rsidR="00C67F40" w:rsidRPr="00C67F40" w:rsidRDefault="00B55C67" w:rsidP="00692AD9">
      <w:pPr>
        <w:numPr>
          <w:ilvl w:val="3"/>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315B</w:t>
      </w:r>
      <w:r w:rsidR="00C67F40" w:rsidRPr="00C67F40">
        <w:rPr>
          <w:rFonts w:ascii="Aptos" w:eastAsia="Aptos" w:hAnsi="Aptos" w:cs="Times New Roman"/>
          <w:kern w:val="2"/>
          <w14:ligatures w14:val="standardContextual"/>
        </w:rPr>
        <w:t>Related service provider or specialist (e.g., occupational therapist, school/educational psychologist, speech-language pathologist, IEP support or facilitator, instructional support specialist)</w:t>
      </w:r>
    </w:p>
    <w:p w14:paraId="1EFCBB82" w14:textId="478EBB58" w:rsidR="00C67F40" w:rsidRPr="00C67F40" w:rsidRDefault="00B55C67" w:rsidP="00692AD9">
      <w:pPr>
        <w:numPr>
          <w:ilvl w:val="3"/>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316B</w:t>
      </w:r>
      <w:r w:rsidR="00C67F40" w:rsidRPr="00C67F40">
        <w:rPr>
          <w:rFonts w:ascii="Aptos" w:eastAsia="Aptos" w:hAnsi="Aptos" w:cs="Times New Roman"/>
          <w:kern w:val="2"/>
          <w14:ligatures w14:val="standardContextual"/>
        </w:rPr>
        <w:t>Other (please specify):</w:t>
      </w:r>
    </w:p>
    <w:p w14:paraId="60B22F9C" w14:textId="106D2E1D"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317B</w:t>
      </w:r>
      <w:r w:rsidR="00C67F40" w:rsidRPr="00C67F40">
        <w:rPr>
          <w:rFonts w:ascii="Aptos" w:eastAsia="Aptos" w:hAnsi="Aptos" w:cs="Times New Roman"/>
          <w:kern w:val="2"/>
          <w14:ligatures w14:val="standardContextual"/>
        </w:rPr>
        <w:t>Regional agency or Cooperative Staff (e.g., Northwest Regional Educational Service District, State Support Team)</w:t>
      </w:r>
    </w:p>
    <w:p w14:paraId="2ED95528" w14:textId="2CDC09B5"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318B</w:t>
      </w:r>
      <w:r w:rsidR="00C67F40" w:rsidRPr="00C67F40">
        <w:rPr>
          <w:rFonts w:ascii="Aptos" w:eastAsia="Aptos" w:hAnsi="Aptos" w:cs="Times New Roman"/>
          <w:kern w:val="2"/>
          <w14:ligatures w14:val="standardContextual"/>
        </w:rPr>
        <w:t>Accessible Media Producer (e.g., Bookshare, APH)</w:t>
      </w:r>
    </w:p>
    <w:p w14:paraId="62A49F12" w14:textId="6E361BF9"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319B</w:t>
      </w:r>
      <w:r w:rsidR="00C67F40" w:rsidRPr="00C67F40">
        <w:rPr>
          <w:rFonts w:ascii="Aptos" w:eastAsia="Aptos" w:hAnsi="Aptos" w:cs="Times New Roman"/>
          <w:kern w:val="2"/>
          <w14:ligatures w14:val="standardContextual"/>
        </w:rPr>
        <w:t>Publisher or Conversion Vendor</w:t>
      </w:r>
    </w:p>
    <w:p w14:paraId="60775093" w14:textId="683256BA"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320B</w:t>
      </w:r>
      <w:r w:rsidR="00C67F40" w:rsidRPr="00C67F40">
        <w:rPr>
          <w:rFonts w:ascii="Aptos" w:eastAsia="Aptos" w:hAnsi="Aptos" w:cs="Times New Roman"/>
          <w:kern w:val="2"/>
          <w14:ligatures w14:val="standardContextual"/>
        </w:rPr>
        <w:t>Are you a registered NIMAC User (Authorized User, Accessible Media Producer, or State Coordinator)?</w:t>
      </w:r>
    </w:p>
    <w:p w14:paraId="5C5B0BD7" w14:textId="6BD8689E"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321B</w:t>
      </w:r>
      <w:r w:rsidR="00C67F40" w:rsidRPr="00C67F40">
        <w:rPr>
          <w:rFonts w:ascii="Aptos" w:eastAsia="Aptos" w:hAnsi="Aptos" w:cs="Times New Roman"/>
          <w:kern w:val="2"/>
          <w14:ligatures w14:val="standardContextual"/>
        </w:rPr>
        <w:t>Yes</w:t>
      </w:r>
    </w:p>
    <w:p w14:paraId="2BE21B49" w14:textId="79D141DB"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322B</w:t>
      </w:r>
      <w:r w:rsidR="00C67F40" w:rsidRPr="00C67F40">
        <w:rPr>
          <w:rFonts w:ascii="Aptos" w:eastAsia="Aptos" w:hAnsi="Aptos" w:cs="Times New Roman"/>
          <w:kern w:val="2"/>
          <w14:ligatures w14:val="standardContextual"/>
        </w:rPr>
        <w:t>No</w:t>
      </w:r>
    </w:p>
    <w:p w14:paraId="1C3D93BE" w14:textId="009546FE"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323B</w:t>
      </w:r>
      <w:r w:rsidR="00C67F40" w:rsidRPr="00C67F40">
        <w:rPr>
          <w:rFonts w:ascii="Aptos" w:eastAsia="Aptos" w:hAnsi="Aptos" w:cs="Times New Roman"/>
          <w:kern w:val="2"/>
          <w14:ligatures w14:val="standardContextual"/>
        </w:rPr>
        <w:t>Not sure</w:t>
      </w:r>
    </w:p>
    <w:p w14:paraId="015999CC" w14:textId="334531D3" w:rsidR="00C67F40" w:rsidRPr="00C67F40" w:rsidRDefault="00B55C67" w:rsidP="00C67F40">
      <w:pPr>
        <w:spacing w:after="0" w:line="278" w:lineRule="auto"/>
        <w:jc w:val="center"/>
        <w:rPr>
          <w:rFonts w:ascii="Aptos" w:eastAsia="Aptos" w:hAnsi="Aptos" w:cs="Times New Roman"/>
          <w:b/>
          <w:bCs/>
          <w:kern w:val="2"/>
          <w14:ligatures w14:val="standardContextual"/>
        </w:rPr>
      </w:pPr>
      <w:r>
        <w:rPr>
          <w:rFonts w:ascii="ZWAdobeF" w:eastAsia="Aptos" w:hAnsi="ZWAdobeF" w:cs="ZWAdobeF"/>
          <w:bCs/>
          <w:kern w:val="2"/>
          <w:sz w:val="2"/>
          <w:szCs w:val="2"/>
          <w14:ligatures w14:val="standardContextual"/>
        </w:rPr>
        <w:lastRenderedPageBreak/>
        <w:t>324B</w:t>
      </w:r>
      <w:r w:rsidR="00C67F40" w:rsidRPr="00C67F40">
        <w:rPr>
          <w:rFonts w:ascii="Aptos" w:eastAsia="Aptos" w:hAnsi="Aptos" w:cs="Times New Roman"/>
          <w:b/>
          <w:bCs/>
          <w:kern w:val="2"/>
          <w14:ligatures w14:val="standardContextual"/>
        </w:rPr>
        <w:t xml:space="preserve">Benefits of timely delivery </w:t>
      </w:r>
    </w:p>
    <w:p w14:paraId="656DDC4E" w14:textId="6F5537A9" w:rsidR="00C67F40" w:rsidRPr="00C67F40" w:rsidRDefault="00B55C67" w:rsidP="00C67F40">
      <w:pPr>
        <w:spacing w:line="278" w:lineRule="auto"/>
        <w:jc w:val="center"/>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325</w:t>
      </w:r>
      <w:proofErr w:type="gramStart"/>
      <w:r>
        <w:rPr>
          <w:rFonts w:ascii="ZWAdobeF" w:eastAsia="Aptos" w:hAnsi="ZWAdobeF" w:cs="ZWAdobeF"/>
          <w:kern w:val="2"/>
          <w:sz w:val="2"/>
          <w:szCs w:val="2"/>
          <w14:ligatures w14:val="standardContextual"/>
        </w:rPr>
        <w:t>B</w:t>
      </w:r>
      <w:r w:rsidR="00C67F40" w:rsidRPr="00C67F40">
        <w:rPr>
          <w:rFonts w:ascii="Aptos" w:eastAsia="Aptos" w:hAnsi="Aptos" w:cs="Times New Roman"/>
          <w:kern w:val="2"/>
          <w14:ligatures w14:val="standardContextual"/>
        </w:rPr>
        <w:t>[</w:t>
      </w:r>
      <w:proofErr w:type="gramEnd"/>
      <w:r w:rsidR="00C67F40" w:rsidRPr="00C67F40">
        <w:rPr>
          <w:rFonts w:ascii="Aptos" w:eastAsia="Aptos" w:hAnsi="Aptos" w:cs="Times New Roman"/>
          <w:kern w:val="2"/>
          <w14:ligatures w14:val="standardContextual"/>
        </w:rPr>
        <w:t xml:space="preserve">Case Study Q1; </w:t>
      </w:r>
      <w:r w:rsidR="00C67F40" w:rsidRPr="00C67F40">
        <w:rPr>
          <w:rFonts w:ascii="Aptos" w:eastAsia="Aptos" w:hAnsi="Aptos" w:cs="Times New Roman"/>
          <w:i/>
          <w:iCs/>
          <w:kern w:val="2"/>
          <w14:ligatures w14:val="standardContextual"/>
        </w:rPr>
        <w:t>present to 1a, 1b, 1c, 1d, 1e, 1f, 2a yes</w:t>
      </w:r>
      <w:r w:rsidR="00C67F40" w:rsidRPr="00C67F40">
        <w:rPr>
          <w:rFonts w:ascii="Aptos" w:eastAsia="Aptos" w:hAnsi="Aptos" w:cs="Times New Roman"/>
          <w:kern w:val="2"/>
          <w14:ligatures w14:val="standardContextual"/>
        </w:rPr>
        <w:t>]</w:t>
      </w:r>
    </w:p>
    <w:p w14:paraId="42A99B31" w14:textId="3BA62138"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326B</w:t>
      </w:r>
      <w:r w:rsidR="00C67F40" w:rsidRPr="00C67F40">
        <w:rPr>
          <w:rFonts w:ascii="Aptos" w:eastAsia="Aptos" w:hAnsi="Aptos" w:cs="Times New Roman"/>
          <w:kern w:val="2"/>
          <w14:ligatures w14:val="standardContextual"/>
        </w:rPr>
        <w:t>What are the positive benefits of timely delivery of accessible formats for students with print disabilities? Please select all that apply.</w:t>
      </w:r>
    </w:p>
    <w:p w14:paraId="7FB37998" w14:textId="38B966B6"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327B</w:t>
      </w:r>
      <w:r w:rsidR="00C67F40" w:rsidRPr="00C67F40">
        <w:rPr>
          <w:rFonts w:ascii="Aptos" w:eastAsia="Aptos" w:hAnsi="Aptos" w:cs="Times New Roman"/>
          <w:kern w:val="2"/>
          <w14:ligatures w14:val="standardContextual"/>
        </w:rPr>
        <w:t>Promotes active learning among students with print disabilities.</w:t>
      </w:r>
    </w:p>
    <w:p w14:paraId="234CB169" w14:textId="7495FA8A"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328B</w:t>
      </w:r>
      <w:r w:rsidR="00C67F40" w:rsidRPr="00C67F40">
        <w:rPr>
          <w:rFonts w:ascii="Aptos" w:eastAsia="Aptos" w:hAnsi="Aptos" w:cs="Times New Roman"/>
          <w:kern w:val="2"/>
          <w14:ligatures w14:val="standardContextual"/>
        </w:rPr>
        <w:t>Facilitates ownership of learning among students with print disabilities.</w:t>
      </w:r>
    </w:p>
    <w:p w14:paraId="503EBFEB" w14:textId="2A7F66C2"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329B</w:t>
      </w:r>
      <w:r w:rsidR="00C67F40" w:rsidRPr="00C67F40">
        <w:rPr>
          <w:rFonts w:ascii="Aptos" w:eastAsia="Aptos" w:hAnsi="Aptos" w:cs="Times New Roman"/>
          <w:kern w:val="2"/>
          <w14:ligatures w14:val="standardContextual"/>
        </w:rPr>
        <w:t>Promotes independence among students with print disabilities.</w:t>
      </w:r>
    </w:p>
    <w:p w14:paraId="12556BBF" w14:textId="1A2C2475"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330B</w:t>
      </w:r>
      <w:r w:rsidR="00C67F40" w:rsidRPr="00C67F40">
        <w:rPr>
          <w:rFonts w:ascii="Aptos" w:eastAsia="Aptos" w:hAnsi="Aptos" w:cs="Times New Roman"/>
          <w:kern w:val="2"/>
          <w14:ligatures w14:val="standardContextual"/>
        </w:rPr>
        <w:t>Reduces stigma associated with print disabilities.</w:t>
      </w:r>
    </w:p>
    <w:p w14:paraId="72133BE6" w14:textId="6202A2CB"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331B</w:t>
      </w:r>
      <w:r w:rsidR="00C67F40" w:rsidRPr="00C67F40">
        <w:rPr>
          <w:rFonts w:ascii="Aptos" w:eastAsia="Aptos" w:hAnsi="Aptos" w:cs="Times New Roman"/>
          <w:kern w:val="2"/>
          <w14:ligatures w14:val="standardContextual"/>
        </w:rPr>
        <w:t>Supports positive relationships among students with print disabilities and their peers.</w:t>
      </w:r>
    </w:p>
    <w:p w14:paraId="66EDEBA0" w14:textId="38A9B7F2"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332B</w:t>
      </w:r>
      <w:r w:rsidR="00C67F40" w:rsidRPr="00C67F40">
        <w:rPr>
          <w:rFonts w:ascii="Aptos" w:eastAsia="Aptos" w:hAnsi="Aptos" w:cs="Times New Roman"/>
          <w:kern w:val="2"/>
          <w14:ligatures w14:val="standardContextual"/>
        </w:rPr>
        <w:t>Facilitates academic achievement among students with print disabilities.</w:t>
      </w:r>
    </w:p>
    <w:p w14:paraId="507549BE" w14:textId="1A6891AF"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333B</w:t>
      </w:r>
      <w:r w:rsidR="00C67F40" w:rsidRPr="00C67F40">
        <w:rPr>
          <w:rFonts w:ascii="Aptos" w:eastAsia="Aptos" w:hAnsi="Aptos" w:cs="Times New Roman"/>
          <w:kern w:val="2"/>
          <w14:ligatures w14:val="standardContextual"/>
        </w:rPr>
        <w:t>Promotes equitable access to instructional materials.</w:t>
      </w:r>
    </w:p>
    <w:p w14:paraId="3E9AD816" w14:textId="20ACA5FD"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334B</w:t>
      </w:r>
      <w:r w:rsidR="00C67F40" w:rsidRPr="00C67F40">
        <w:rPr>
          <w:rFonts w:ascii="Aptos" w:eastAsia="Aptos" w:hAnsi="Aptos" w:cs="Times New Roman"/>
          <w:kern w:val="2"/>
          <w14:ligatures w14:val="standardContextual"/>
        </w:rPr>
        <w:t>Supports the psychological well-being of students with print disabilities (e.g., helps them feel valued; reduces students’ anxiety associated with not having accessible formats).</w:t>
      </w:r>
    </w:p>
    <w:p w14:paraId="5560AA91" w14:textId="44C04F3D"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335B</w:t>
      </w:r>
      <w:r w:rsidR="00C67F40" w:rsidRPr="00C67F40">
        <w:rPr>
          <w:rFonts w:ascii="Aptos" w:eastAsia="Aptos" w:hAnsi="Aptos" w:cs="Times New Roman"/>
          <w:kern w:val="2"/>
          <w14:ligatures w14:val="standardContextual"/>
        </w:rPr>
        <w:t>Don’t Know.</w:t>
      </w:r>
    </w:p>
    <w:p w14:paraId="787C7010" w14:textId="5D84A524"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336B</w:t>
      </w:r>
      <w:r w:rsidR="00C67F40" w:rsidRPr="00C67F40">
        <w:rPr>
          <w:rFonts w:ascii="Aptos" w:eastAsia="Aptos" w:hAnsi="Aptos" w:cs="Times New Roman"/>
          <w:kern w:val="2"/>
          <w14:ligatures w14:val="standardContextual"/>
        </w:rPr>
        <w:t>Other: ____</w:t>
      </w:r>
    </w:p>
    <w:p w14:paraId="58E40B86" w14:textId="6D0114B7" w:rsid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337B</w:t>
      </w:r>
      <w:r w:rsidR="00C67F40" w:rsidRPr="00C67F40">
        <w:rPr>
          <w:rFonts w:ascii="Aptos" w:eastAsia="Aptos" w:hAnsi="Aptos" w:cs="Times New Roman"/>
          <w:kern w:val="2"/>
          <w14:ligatures w14:val="standardContextual"/>
        </w:rPr>
        <w:t>Please explain your selection(s) above and offer any additional comments about the positive benefits of timely delivery of accessible formats for students with print disabilities:</w:t>
      </w:r>
    </w:p>
    <w:p w14:paraId="4B886488" w14:textId="77777777" w:rsidR="00022200" w:rsidRPr="00C67F40" w:rsidRDefault="00022200" w:rsidP="00022200">
      <w:pPr>
        <w:spacing w:line="278" w:lineRule="auto"/>
        <w:ind w:left="360"/>
        <w:contextualSpacing/>
        <w:rPr>
          <w:rFonts w:ascii="Aptos" w:eastAsia="Aptos" w:hAnsi="Aptos" w:cs="Times New Roman"/>
          <w:kern w:val="2"/>
          <w14:ligatures w14:val="standardContextual"/>
        </w:rPr>
      </w:pPr>
    </w:p>
    <w:p w14:paraId="3F9AFB4E" w14:textId="49F23C53" w:rsidR="00C67F40" w:rsidRPr="00C67F40" w:rsidRDefault="00B55C67" w:rsidP="00C67F40">
      <w:pPr>
        <w:spacing w:after="0" w:line="278" w:lineRule="auto"/>
        <w:jc w:val="center"/>
        <w:rPr>
          <w:rFonts w:ascii="Aptos" w:eastAsia="Aptos" w:hAnsi="Aptos" w:cs="Times New Roman"/>
          <w:b/>
          <w:bCs/>
          <w:kern w:val="2"/>
          <w14:ligatures w14:val="standardContextual"/>
        </w:rPr>
      </w:pPr>
      <w:r>
        <w:rPr>
          <w:rFonts w:ascii="ZWAdobeF" w:eastAsia="Aptos" w:hAnsi="ZWAdobeF" w:cs="ZWAdobeF"/>
          <w:bCs/>
          <w:kern w:val="2"/>
          <w:sz w:val="2"/>
          <w:szCs w:val="2"/>
          <w14:ligatures w14:val="standardContextual"/>
        </w:rPr>
        <w:t>338B</w:t>
      </w:r>
      <w:r w:rsidR="00C67F40" w:rsidRPr="00C67F40">
        <w:rPr>
          <w:rFonts w:ascii="Aptos" w:eastAsia="Aptos" w:hAnsi="Aptos" w:cs="Times New Roman"/>
          <w:b/>
          <w:bCs/>
          <w:kern w:val="2"/>
          <w14:ligatures w14:val="standardContextual"/>
        </w:rPr>
        <w:t>Timeline for delivery of Accessible Educational Materials (AEM)</w:t>
      </w:r>
    </w:p>
    <w:p w14:paraId="37A7C131" w14:textId="77777777" w:rsidR="00C67F40" w:rsidRPr="00C67F40" w:rsidRDefault="00C67F40" w:rsidP="00C67F40">
      <w:pPr>
        <w:spacing w:after="0" w:line="278" w:lineRule="auto"/>
        <w:jc w:val="center"/>
        <w:rPr>
          <w:rFonts w:ascii="Aptos" w:eastAsia="Aptos" w:hAnsi="Aptos" w:cs="Times New Roman"/>
          <w:b/>
          <w:bCs/>
          <w:kern w:val="2"/>
          <w14:ligatures w14:val="standardContextual"/>
        </w:rPr>
      </w:pPr>
    </w:p>
    <w:p w14:paraId="39AB572F" w14:textId="4D9AE28E"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339</w:t>
      </w:r>
      <w:proofErr w:type="gramStart"/>
      <w:r>
        <w:rPr>
          <w:rFonts w:ascii="ZWAdobeF" w:eastAsia="Aptos" w:hAnsi="ZWAdobeF" w:cs="ZWAdobeF"/>
          <w:kern w:val="2"/>
          <w:sz w:val="2"/>
          <w:szCs w:val="2"/>
          <w14:ligatures w14:val="standardContextual"/>
        </w:rPr>
        <w:t>B</w:t>
      </w:r>
      <w:r w:rsidR="00C67F40" w:rsidRPr="00C67F40">
        <w:rPr>
          <w:rFonts w:ascii="Aptos" w:eastAsia="Aptos" w:hAnsi="Aptos" w:cs="Times New Roman"/>
          <w:kern w:val="2"/>
          <w14:ligatures w14:val="standardContextual"/>
        </w:rPr>
        <w:t>(</w:t>
      </w:r>
      <w:proofErr w:type="gramEnd"/>
      <w:r w:rsidR="00C67F40" w:rsidRPr="00C67F40">
        <w:rPr>
          <w:rFonts w:ascii="Aptos" w:eastAsia="Aptos" w:hAnsi="Aptos" w:cs="Times New Roman"/>
          <w:kern w:val="2"/>
          <w14:ligatures w14:val="standardContextual"/>
        </w:rPr>
        <w:t>1f AMPs and 2a NIMAC users) How familiar are you with general timelines for delivery of newly created accessible formats?</w:t>
      </w:r>
    </w:p>
    <w:p w14:paraId="7D3C6C81" w14:textId="1C1E3318"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340B</w:t>
      </w:r>
      <w:r w:rsidR="00C67F40" w:rsidRPr="00C67F40">
        <w:rPr>
          <w:rFonts w:ascii="Aptos" w:eastAsia="Aptos" w:hAnsi="Aptos" w:cs="Times New Roman"/>
          <w:kern w:val="2"/>
          <w14:ligatures w14:val="standardContextual"/>
        </w:rPr>
        <w:t>Not Familiar</w:t>
      </w:r>
    </w:p>
    <w:p w14:paraId="121B872E" w14:textId="52582F5F"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341B</w:t>
      </w:r>
      <w:r w:rsidR="00C67F40" w:rsidRPr="00C67F40">
        <w:rPr>
          <w:rFonts w:ascii="Aptos" w:eastAsia="Aptos" w:hAnsi="Aptos" w:cs="Times New Roman"/>
          <w:kern w:val="2"/>
          <w14:ligatures w14:val="standardContextual"/>
        </w:rPr>
        <w:t>Slightly Familiar</w:t>
      </w:r>
    </w:p>
    <w:p w14:paraId="451D9BFE" w14:textId="0C9F3245"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342B</w:t>
      </w:r>
      <w:r w:rsidR="00C67F40" w:rsidRPr="00C67F40">
        <w:rPr>
          <w:rFonts w:ascii="Aptos" w:eastAsia="Aptos" w:hAnsi="Aptos" w:cs="Times New Roman"/>
          <w:kern w:val="2"/>
          <w14:ligatures w14:val="standardContextual"/>
        </w:rPr>
        <w:t>Moderately Familiar</w:t>
      </w:r>
    </w:p>
    <w:p w14:paraId="1BF64687" w14:textId="14BF5EA9"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343B</w:t>
      </w:r>
      <w:r w:rsidR="00C67F40" w:rsidRPr="00C67F40">
        <w:rPr>
          <w:rFonts w:ascii="Aptos" w:eastAsia="Aptos" w:hAnsi="Aptos" w:cs="Times New Roman"/>
          <w:kern w:val="2"/>
          <w14:ligatures w14:val="standardContextual"/>
        </w:rPr>
        <w:t>Very Familiar</w:t>
      </w:r>
    </w:p>
    <w:p w14:paraId="51FC680F" w14:textId="6FD9E1FB" w:rsidR="00C67F40" w:rsidRPr="00C67F40" w:rsidRDefault="00C67F40" w:rsidP="00C67F40">
      <w:pPr>
        <w:spacing w:line="278" w:lineRule="auto"/>
        <w:ind w:left="1080"/>
        <w:contextualSpacing/>
        <w:rPr>
          <w:rFonts w:ascii="Aptos" w:eastAsia="Aptos" w:hAnsi="Aptos" w:cs="Times New Roman"/>
          <w:kern w:val="2"/>
          <w14:ligatures w14:val="standardContextual"/>
        </w:rPr>
      </w:pPr>
      <w:r w:rsidRPr="00C67F40">
        <w:rPr>
          <w:rFonts w:ascii="Aptos" w:eastAsia="Aptos" w:hAnsi="Aptos" w:cs="Times New Roman"/>
          <w:kern w:val="2"/>
          <w14:ligatures w14:val="standardContextual"/>
        </w:rPr>
        <w:t xml:space="preserve"> </w:t>
      </w:r>
      <w:r w:rsidR="00B55C67">
        <w:rPr>
          <w:rFonts w:ascii="ZWAdobeF" w:eastAsia="Aptos" w:hAnsi="ZWAdobeF" w:cs="ZWAdobeF"/>
          <w:kern w:val="2"/>
          <w:sz w:val="2"/>
          <w:szCs w:val="2"/>
          <w14:ligatures w14:val="standardContextual"/>
        </w:rPr>
        <w:t>344</w:t>
      </w:r>
      <w:proofErr w:type="gramStart"/>
      <w:r w:rsidR="00B55C67">
        <w:rPr>
          <w:rFonts w:ascii="ZWAdobeF" w:eastAsia="Aptos" w:hAnsi="ZWAdobeF" w:cs="ZWAdobeF"/>
          <w:kern w:val="2"/>
          <w:sz w:val="2"/>
          <w:szCs w:val="2"/>
          <w14:ligatures w14:val="standardContextual"/>
        </w:rPr>
        <w:t>B</w:t>
      </w:r>
      <w:r w:rsidRPr="00C67F40">
        <w:rPr>
          <w:rFonts w:ascii="Aptos" w:eastAsia="Aptos" w:hAnsi="Aptos" w:cs="Times New Roman"/>
          <w:kern w:val="2"/>
          <w14:ligatures w14:val="standardContextual"/>
        </w:rPr>
        <w:t>[</w:t>
      </w:r>
      <w:proofErr w:type="gramEnd"/>
      <w:r w:rsidRPr="00C67F40">
        <w:rPr>
          <w:rFonts w:ascii="Aptos" w:eastAsia="Aptos" w:hAnsi="Aptos" w:cs="Times New Roman"/>
          <w:i/>
          <w:iCs/>
          <w:kern w:val="2"/>
          <w14:ligatures w14:val="standardContextual"/>
        </w:rPr>
        <w:t>If Role 2a (NIMAC user) and ‘not familiar’ skip to Q10 and Q11; If Role 1f AMP, skip to next section</w:t>
      </w:r>
      <w:r w:rsidRPr="00C67F40">
        <w:rPr>
          <w:rFonts w:ascii="Aptos" w:eastAsia="Aptos" w:hAnsi="Aptos" w:cs="Times New Roman"/>
          <w:kern w:val="2"/>
          <w14:ligatures w14:val="standardContextual"/>
        </w:rPr>
        <w:t>]</w:t>
      </w:r>
    </w:p>
    <w:p w14:paraId="5B30D812" w14:textId="1CF7F760"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345</w:t>
      </w:r>
      <w:proofErr w:type="gramStart"/>
      <w:r>
        <w:rPr>
          <w:rFonts w:ascii="ZWAdobeF" w:eastAsia="Aptos" w:hAnsi="ZWAdobeF" w:cs="ZWAdobeF"/>
          <w:kern w:val="2"/>
          <w:sz w:val="2"/>
          <w:szCs w:val="2"/>
          <w14:ligatures w14:val="standardContextual"/>
        </w:rPr>
        <w:t>B</w:t>
      </w:r>
      <w:r w:rsidR="00C67F40" w:rsidRPr="00C67F40">
        <w:rPr>
          <w:rFonts w:ascii="Aptos" w:eastAsia="Aptos" w:hAnsi="Aptos" w:cs="Times New Roman"/>
          <w:kern w:val="2"/>
          <w14:ligatures w14:val="standardContextual"/>
        </w:rPr>
        <w:t>(</w:t>
      </w:r>
      <w:proofErr w:type="gramEnd"/>
      <w:r w:rsidR="00C67F40" w:rsidRPr="00C67F40">
        <w:rPr>
          <w:rFonts w:ascii="Aptos" w:eastAsia="Aptos" w:hAnsi="Aptos" w:cs="Times New Roman"/>
          <w:kern w:val="2"/>
          <w14:ligatures w14:val="standardContextual"/>
        </w:rPr>
        <w:t xml:space="preserve">1f, AMPs only) After your organization downloads a NIMAS file, how long does it take (on average) for the </w:t>
      </w:r>
      <w:r w:rsidR="00C67F40" w:rsidRPr="00C67F40">
        <w:rPr>
          <w:rFonts w:ascii="Aptos" w:eastAsia="Aptos" w:hAnsi="Aptos" w:cs="Times New Roman"/>
          <w:i/>
          <w:iCs/>
          <w:kern w:val="2"/>
          <w14:ligatures w14:val="standardContextual"/>
        </w:rPr>
        <w:t>first-time production</w:t>
      </w:r>
      <w:r w:rsidR="00C67F40" w:rsidRPr="00C67F40">
        <w:rPr>
          <w:rFonts w:ascii="Aptos" w:eastAsia="Aptos" w:hAnsi="Aptos" w:cs="Times New Roman"/>
          <w:kern w:val="2"/>
          <w14:ligatures w14:val="standardContextual"/>
        </w:rPr>
        <w:t xml:space="preserve"> of the following accessible formats? (</w:t>
      </w:r>
      <w:r w:rsidR="00C67F40" w:rsidRPr="00C67F40">
        <w:rPr>
          <w:rFonts w:ascii="Aptos" w:eastAsia="Aptos" w:hAnsi="Aptos" w:cs="Times New Roman"/>
          <w:i/>
          <w:iCs/>
          <w:kern w:val="2"/>
          <w14:ligatures w14:val="standardContextual"/>
        </w:rPr>
        <w:t>Response options for each item below: ___ months and ___ weeks; Don’t Know or Not Applicable; Other or additional comment: ___</w:t>
      </w:r>
      <w:r w:rsidR="00C67F40" w:rsidRPr="00C67F40">
        <w:rPr>
          <w:rFonts w:ascii="Aptos" w:eastAsia="Aptos" w:hAnsi="Aptos" w:cs="Times New Roman"/>
          <w:kern w:val="2"/>
          <w14:ligatures w14:val="standardContextual"/>
        </w:rPr>
        <w:t>)</w:t>
      </w:r>
    </w:p>
    <w:p w14:paraId="7BDE1575" w14:textId="52443026"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346B</w:t>
      </w:r>
      <w:r w:rsidR="00C67F40" w:rsidRPr="00C67F40">
        <w:rPr>
          <w:rFonts w:ascii="Aptos" w:eastAsia="Aptos" w:hAnsi="Aptos" w:cs="Times New Roman"/>
          <w:kern w:val="2"/>
          <w14:ligatures w14:val="standardContextual"/>
        </w:rPr>
        <w:t xml:space="preserve">Braille for STEM materials </w:t>
      </w:r>
    </w:p>
    <w:p w14:paraId="11EA316D" w14:textId="3A6BBD26"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347B</w:t>
      </w:r>
      <w:r w:rsidR="00C67F40" w:rsidRPr="00C67F40">
        <w:rPr>
          <w:rFonts w:ascii="Aptos" w:eastAsia="Aptos" w:hAnsi="Aptos" w:cs="Times New Roman"/>
          <w:kern w:val="2"/>
          <w14:ligatures w14:val="standardContextual"/>
        </w:rPr>
        <w:t>Braille for non-STEM materials</w:t>
      </w:r>
    </w:p>
    <w:p w14:paraId="6076E941" w14:textId="6D56EA69"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348B</w:t>
      </w:r>
      <w:r w:rsidR="00C67F40" w:rsidRPr="00C67F40">
        <w:rPr>
          <w:rFonts w:ascii="Aptos" w:eastAsia="Aptos" w:hAnsi="Aptos" w:cs="Times New Roman"/>
          <w:kern w:val="2"/>
          <w14:ligatures w14:val="standardContextual"/>
        </w:rPr>
        <w:t>Large print</w:t>
      </w:r>
    </w:p>
    <w:p w14:paraId="4CDF4777" w14:textId="6B4C68A1"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349B</w:t>
      </w:r>
      <w:r w:rsidR="00C67F40" w:rsidRPr="00C67F40">
        <w:rPr>
          <w:rFonts w:ascii="Aptos" w:eastAsia="Aptos" w:hAnsi="Aptos" w:cs="Times New Roman"/>
          <w:kern w:val="2"/>
          <w14:ligatures w14:val="standardContextual"/>
        </w:rPr>
        <w:t>Accessible digital text (e.g., DAISY, EPUB)</w:t>
      </w:r>
    </w:p>
    <w:p w14:paraId="2CC58CCE" w14:textId="1E242281"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350B</w:t>
      </w:r>
      <w:r w:rsidR="00C67F40" w:rsidRPr="00C67F40">
        <w:rPr>
          <w:rFonts w:ascii="Aptos" w:eastAsia="Aptos" w:hAnsi="Aptos" w:cs="Times New Roman"/>
          <w:kern w:val="2"/>
          <w14:ligatures w14:val="standardContextual"/>
        </w:rPr>
        <w:t>Additional accessible format (please specify): ____</w:t>
      </w:r>
    </w:p>
    <w:p w14:paraId="31B775E1" w14:textId="72D63109"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351</w:t>
      </w:r>
      <w:proofErr w:type="gramStart"/>
      <w:r>
        <w:rPr>
          <w:rFonts w:ascii="ZWAdobeF" w:eastAsia="Aptos" w:hAnsi="ZWAdobeF" w:cs="ZWAdobeF"/>
          <w:kern w:val="2"/>
          <w:sz w:val="2"/>
          <w:szCs w:val="2"/>
          <w14:ligatures w14:val="standardContextual"/>
        </w:rPr>
        <w:t>B</w:t>
      </w:r>
      <w:r w:rsidR="00C67F40" w:rsidRPr="00C67F40">
        <w:rPr>
          <w:rFonts w:ascii="Aptos" w:eastAsia="Aptos" w:hAnsi="Aptos" w:cs="Times New Roman"/>
          <w:kern w:val="2"/>
          <w14:ligatures w14:val="standardContextual"/>
        </w:rPr>
        <w:t>(</w:t>
      </w:r>
      <w:proofErr w:type="gramEnd"/>
      <w:r w:rsidR="00C67F40" w:rsidRPr="00C67F40">
        <w:rPr>
          <w:rFonts w:ascii="Aptos" w:eastAsia="Aptos" w:hAnsi="Aptos" w:cs="Times New Roman"/>
          <w:kern w:val="2"/>
          <w14:ligatures w14:val="standardContextual"/>
        </w:rPr>
        <w:t xml:space="preserve">2a, NIMAC users only): After an Accessible Media Producer (AMP) downloads a NIMAS file, how long does it take (on average) to deliver the following accessible formats to a student? </w:t>
      </w:r>
      <w:r w:rsidR="00C67F40" w:rsidRPr="00C67F40">
        <w:rPr>
          <w:rFonts w:ascii="Aptos" w:eastAsia="Aptos" w:hAnsi="Aptos" w:cs="Times New Roman"/>
          <w:kern w:val="2"/>
          <w14:ligatures w14:val="standardContextual"/>
        </w:rPr>
        <w:lastRenderedPageBreak/>
        <w:t>(</w:t>
      </w:r>
      <w:r w:rsidR="00C67F40" w:rsidRPr="00C67F40">
        <w:rPr>
          <w:rFonts w:ascii="Aptos" w:eastAsia="Aptos" w:hAnsi="Aptos" w:cs="Times New Roman"/>
          <w:i/>
          <w:iCs/>
          <w:kern w:val="2"/>
          <w14:ligatures w14:val="standardContextual"/>
        </w:rPr>
        <w:t>Response options for each item below: ___ months and ___ weeks; Don’t Know or Not Applicable; Other or additional comment: ___</w:t>
      </w:r>
      <w:r w:rsidR="00C67F40" w:rsidRPr="00C67F40">
        <w:rPr>
          <w:rFonts w:ascii="Aptos" w:eastAsia="Aptos" w:hAnsi="Aptos" w:cs="Times New Roman"/>
          <w:kern w:val="2"/>
          <w14:ligatures w14:val="standardContextual"/>
        </w:rPr>
        <w:t>)</w:t>
      </w:r>
    </w:p>
    <w:p w14:paraId="663217AC" w14:textId="31F72F16"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352B</w:t>
      </w:r>
      <w:r w:rsidR="00C67F40" w:rsidRPr="00C67F40">
        <w:rPr>
          <w:rFonts w:ascii="Aptos" w:eastAsia="Aptos" w:hAnsi="Aptos" w:cs="Times New Roman"/>
          <w:kern w:val="2"/>
          <w14:ligatures w14:val="standardContextual"/>
        </w:rPr>
        <w:t xml:space="preserve">Braille for STEM materials </w:t>
      </w:r>
    </w:p>
    <w:p w14:paraId="2AC300A5" w14:textId="430BACF6"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353B</w:t>
      </w:r>
      <w:r w:rsidR="00C67F40" w:rsidRPr="00C67F40">
        <w:rPr>
          <w:rFonts w:ascii="Aptos" w:eastAsia="Aptos" w:hAnsi="Aptos" w:cs="Times New Roman"/>
          <w:kern w:val="2"/>
          <w14:ligatures w14:val="standardContextual"/>
        </w:rPr>
        <w:t>Braille for non-STEM materials</w:t>
      </w:r>
    </w:p>
    <w:p w14:paraId="15FC87A5" w14:textId="4939A214"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354B</w:t>
      </w:r>
      <w:r w:rsidR="00C67F40" w:rsidRPr="00C67F40">
        <w:rPr>
          <w:rFonts w:ascii="Aptos" w:eastAsia="Aptos" w:hAnsi="Aptos" w:cs="Times New Roman"/>
          <w:kern w:val="2"/>
          <w14:ligatures w14:val="standardContextual"/>
        </w:rPr>
        <w:t>Large print</w:t>
      </w:r>
    </w:p>
    <w:p w14:paraId="13EC8648" w14:textId="2875C5FF"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355B</w:t>
      </w:r>
      <w:r w:rsidR="00C67F40" w:rsidRPr="00C67F40">
        <w:rPr>
          <w:rFonts w:ascii="Aptos" w:eastAsia="Aptos" w:hAnsi="Aptos" w:cs="Times New Roman"/>
          <w:kern w:val="2"/>
          <w14:ligatures w14:val="standardContextual"/>
        </w:rPr>
        <w:t>Accessible digital text (e.g., DAISY, EPUB)</w:t>
      </w:r>
    </w:p>
    <w:p w14:paraId="73E83A9D" w14:textId="029BA782"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356B</w:t>
      </w:r>
      <w:r w:rsidR="00C67F40" w:rsidRPr="00C67F40">
        <w:rPr>
          <w:rFonts w:ascii="Aptos" w:eastAsia="Aptos" w:hAnsi="Aptos" w:cs="Times New Roman"/>
          <w:kern w:val="2"/>
          <w14:ligatures w14:val="standardContextual"/>
        </w:rPr>
        <w:t>Additional accessible format (please specify): ____</w:t>
      </w:r>
    </w:p>
    <w:p w14:paraId="2F1D9DA9" w14:textId="1C65A5F0"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357</w:t>
      </w:r>
      <w:proofErr w:type="gramStart"/>
      <w:r>
        <w:rPr>
          <w:rFonts w:ascii="ZWAdobeF" w:eastAsia="Aptos" w:hAnsi="ZWAdobeF" w:cs="ZWAdobeF"/>
          <w:kern w:val="2"/>
          <w:sz w:val="2"/>
          <w:szCs w:val="2"/>
          <w14:ligatures w14:val="standardContextual"/>
        </w:rPr>
        <w:t>B</w:t>
      </w:r>
      <w:r w:rsidR="00C67F40" w:rsidRPr="00C67F40">
        <w:rPr>
          <w:rFonts w:ascii="Aptos" w:eastAsia="Aptos" w:hAnsi="Aptos" w:cs="Times New Roman"/>
          <w:kern w:val="2"/>
          <w14:ligatures w14:val="standardContextual"/>
        </w:rPr>
        <w:t>(</w:t>
      </w:r>
      <w:proofErr w:type="gramEnd"/>
      <w:r w:rsidR="00C67F40" w:rsidRPr="00C67F40">
        <w:rPr>
          <w:rFonts w:ascii="Aptos" w:eastAsia="Aptos" w:hAnsi="Aptos" w:cs="Times New Roman"/>
          <w:kern w:val="2"/>
          <w14:ligatures w14:val="standardContextual"/>
        </w:rPr>
        <w:t xml:space="preserve">2a, NIMAC users only) What is the timeline for delivery (on average) of the following newly created accessible formats when NIMAS files are </w:t>
      </w:r>
      <w:r w:rsidR="00C67F40" w:rsidRPr="00C67F40">
        <w:rPr>
          <w:rFonts w:ascii="Aptos" w:eastAsia="Aptos" w:hAnsi="Aptos" w:cs="Times New Roman"/>
          <w:i/>
          <w:iCs/>
          <w:kern w:val="2"/>
          <w14:ligatures w14:val="standardContextual"/>
        </w:rPr>
        <w:t>already</w:t>
      </w:r>
      <w:r w:rsidR="00C67F40" w:rsidRPr="00C67F40">
        <w:rPr>
          <w:rFonts w:ascii="Aptos" w:eastAsia="Aptos" w:hAnsi="Aptos" w:cs="Times New Roman"/>
          <w:kern w:val="2"/>
          <w14:ligatures w14:val="standardContextual"/>
        </w:rPr>
        <w:t xml:space="preserve"> in the NIMAC system? (</w:t>
      </w:r>
      <w:r w:rsidR="00C67F40" w:rsidRPr="00C67F40">
        <w:rPr>
          <w:rFonts w:ascii="Aptos" w:eastAsia="Aptos" w:hAnsi="Aptos" w:cs="Times New Roman"/>
          <w:i/>
          <w:iCs/>
          <w:kern w:val="2"/>
          <w14:ligatures w14:val="standardContextual"/>
        </w:rPr>
        <w:t>Response options for each item below: ___ months and ___ weeks; Don’t Know or Not Applicable; Other or additional comment: ___</w:t>
      </w:r>
      <w:r w:rsidR="00C67F40" w:rsidRPr="00C67F40">
        <w:rPr>
          <w:rFonts w:ascii="Aptos" w:eastAsia="Aptos" w:hAnsi="Aptos" w:cs="Times New Roman"/>
          <w:kern w:val="2"/>
          <w14:ligatures w14:val="standardContextual"/>
        </w:rPr>
        <w:t>)</w:t>
      </w:r>
    </w:p>
    <w:p w14:paraId="1E36235B" w14:textId="48025437"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358B</w:t>
      </w:r>
      <w:r w:rsidR="00C67F40" w:rsidRPr="00C67F40">
        <w:rPr>
          <w:rFonts w:ascii="Aptos" w:eastAsia="Aptos" w:hAnsi="Aptos" w:cs="Times New Roman"/>
          <w:kern w:val="2"/>
          <w14:ligatures w14:val="standardContextual"/>
        </w:rPr>
        <w:t xml:space="preserve">Braille for STEM materials </w:t>
      </w:r>
    </w:p>
    <w:p w14:paraId="1DF70E10" w14:textId="23ECA1A7"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359B</w:t>
      </w:r>
      <w:r w:rsidR="00C67F40" w:rsidRPr="00C67F40">
        <w:rPr>
          <w:rFonts w:ascii="Aptos" w:eastAsia="Aptos" w:hAnsi="Aptos" w:cs="Times New Roman"/>
          <w:kern w:val="2"/>
          <w14:ligatures w14:val="standardContextual"/>
        </w:rPr>
        <w:t>Braille for non-STEM materials</w:t>
      </w:r>
    </w:p>
    <w:p w14:paraId="29E3318A" w14:textId="2C03AC10"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360B</w:t>
      </w:r>
      <w:r w:rsidR="00C67F40" w:rsidRPr="00C67F40">
        <w:rPr>
          <w:rFonts w:ascii="Aptos" w:eastAsia="Aptos" w:hAnsi="Aptos" w:cs="Times New Roman"/>
          <w:kern w:val="2"/>
          <w14:ligatures w14:val="standardContextual"/>
        </w:rPr>
        <w:t>Large print</w:t>
      </w:r>
    </w:p>
    <w:p w14:paraId="0BF037AE" w14:textId="5DCD6760"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361B</w:t>
      </w:r>
      <w:r w:rsidR="00C67F40" w:rsidRPr="00C67F40">
        <w:rPr>
          <w:rFonts w:ascii="Aptos" w:eastAsia="Aptos" w:hAnsi="Aptos" w:cs="Times New Roman"/>
          <w:kern w:val="2"/>
          <w14:ligatures w14:val="standardContextual"/>
        </w:rPr>
        <w:t>Accessible digital text (e.g., DAISY, EPUB)</w:t>
      </w:r>
    </w:p>
    <w:p w14:paraId="1994B8B3" w14:textId="5D3BE502"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362B</w:t>
      </w:r>
      <w:r w:rsidR="00C67F40" w:rsidRPr="00C67F40">
        <w:rPr>
          <w:rFonts w:ascii="Aptos" w:eastAsia="Aptos" w:hAnsi="Aptos" w:cs="Times New Roman"/>
          <w:kern w:val="2"/>
          <w14:ligatures w14:val="standardContextual"/>
        </w:rPr>
        <w:t>Additional accessible format (please specify): ____</w:t>
      </w:r>
    </w:p>
    <w:p w14:paraId="797E5E20" w14:textId="29E1F9E1"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363</w:t>
      </w:r>
      <w:proofErr w:type="gramStart"/>
      <w:r>
        <w:rPr>
          <w:rFonts w:ascii="ZWAdobeF" w:eastAsia="Aptos" w:hAnsi="ZWAdobeF" w:cs="ZWAdobeF"/>
          <w:kern w:val="2"/>
          <w:sz w:val="2"/>
          <w:szCs w:val="2"/>
          <w14:ligatures w14:val="standardContextual"/>
        </w:rPr>
        <w:t>B</w:t>
      </w:r>
      <w:r w:rsidR="00C67F40" w:rsidRPr="00C67F40">
        <w:rPr>
          <w:rFonts w:ascii="Aptos" w:eastAsia="Aptos" w:hAnsi="Aptos" w:cs="Times New Roman"/>
          <w:kern w:val="2"/>
          <w14:ligatures w14:val="standardContextual"/>
        </w:rPr>
        <w:t>(</w:t>
      </w:r>
      <w:proofErr w:type="gramEnd"/>
      <w:r w:rsidR="00C67F40" w:rsidRPr="00C67F40">
        <w:rPr>
          <w:rFonts w:ascii="Aptos" w:eastAsia="Aptos" w:hAnsi="Aptos" w:cs="Times New Roman"/>
          <w:kern w:val="2"/>
          <w14:ligatures w14:val="standardContextual"/>
        </w:rPr>
        <w:t xml:space="preserve">2a, NIMAC users only) What is the timeline for delivery (on average) of the following newly created accessible formats </w:t>
      </w:r>
      <w:bookmarkStart w:id="111" w:name="_Hlk204673189"/>
      <w:r w:rsidR="00C67F40" w:rsidRPr="00C67F40">
        <w:rPr>
          <w:rFonts w:ascii="Aptos" w:eastAsia="Aptos" w:hAnsi="Aptos" w:cs="Times New Roman"/>
          <w:kern w:val="2"/>
          <w14:ligatures w14:val="standardContextual"/>
        </w:rPr>
        <w:t xml:space="preserve">when NIMAS files are </w:t>
      </w:r>
      <w:r w:rsidR="00C67F40" w:rsidRPr="00C67F40">
        <w:rPr>
          <w:rFonts w:ascii="Aptos" w:eastAsia="Aptos" w:hAnsi="Aptos" w:cs="Times New Roman"/>
          <w:i/>
          <w:iCs/>
          <w:kern w:val="2"/>
          <w14:ligatures w14:val="standardContextual"/>
        </w:rPr>
        <w:t>not</w:t>
      </w:r>
      <w:r w:rsidR="00C67F40" w:rsidRPr="00C67F40">
        <w:rPr>
          <w:rFonts w:ascii="Aptos" w:eastAsia="Aptos" w:hAnsi="Aptos" w:cs="Times New Roman"/>
          <w:kern w:val="2"/>
          <w14:ligatures w14:val="standardContextual"/>
        </w:rPr>
        <w:t xml:space="preserve"> in the NIMAC system and materials are added to the Watchlist? </w:t>
      </w:r>
      <w:bookmarkEnd w:id="111"/>
      <w:r w:rsidR="00C67F40" w:rsidRPr="00C67F40">
        <w:rPr>
          <w:rFonts w:ascii="Aptos" w:eastAsia="Aptos" w:hAnsi="Aptos" w:cs="Times New Roman"/>
          <w:kern w:val="2"/>
          <w14:ligatures w14:val="standardContextual"/>
        </w:rPr>
        <w:t>(</w:t>
      </w:r>
      <w:r w:rsidR="00C67F40" w:rsidRPr="00C67F40">
        <w:rPr>
          <w:rFonts w:ascii="Aptos" w:eastAsia="Aptos" w:hAnsi="Aptos" w:cs="Times New Roman"/>
          <w:i/>
          <w:iCs/>
          <w:kern w:val="2"/>
          <w14:ligatures w14:val="standardContextual"/>
        </w:rPr>
        <w:t>Response options for each item below: ___ months and ___ weeks; Don’t Know or Not Applicable; Other or additional comment: ___</w:t>
      </w:r>
      <w:r w:rsidR="00C67F40" w:rsidRPr="00C67F40">
        <w:rPr>
          <w:rFonts w:ascii="Aptos" w:eastAsia="Aptos" w:hAnsi="Aptos" w:cs="Times New Roman"/>
          <w:kern w:val="2"/>
          <w14:ligatures w14:val="standardContextual"/>
        </w:rPr>
        <w:t>)</w:t>
      </w:r>
    </w:p>
    <w:p w14:paraId="7FEDED2E" w14:textId="04E03F1D"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364B</w:t>
      </w:r>
      <w:r w:rsidR="00C67F40" w:rsidRPr="00C67F40">
        <w:rPr>
          <w:rFonts w:ascii="Aptos" w:eastAsia="Aptos" w:hAnsi="Aptos" w:cs="Times New Roman"/>
          <w:kern w:val="2"/>
          <w14:ligatures w14:val="standardContextual"/>
        </w:rPr>
        <w:t xml:space="preserve">Braille for STEM materials </w:t>
      </w:r>
    </w:p>
    <w:p w14:paraId="65B0EBC7" w14:textId="09FE8926"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365B</w:t>
      </w:r>
      <w:r w:rsidR="00C67F40" w:rsidRPr="00C67F40">
        <w:rPr>
          <w:rFonts w:ascii="Aptos" w:eastAsia="Aptos" w:hAnsi="Aptos" w:cs="Times New Roman"/>
          <w:kern w:val="2"/>
          <w14:ligatures w14:val="standardContextual"/>
        </w:rPr>
        <w:t>Braille for non-STEM materials</w:t>
      </w:r>
    </w:p>
    <w:p w14:paraId="4F522B0D" w14:textId="579854EA"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366B</w:t>
      </w:r>
      <w:r w:rsidR="00C67F40" w:rsidRPr="00C67F40">
        <w:rPr>
          <w:rFonts w:ascii="Aptos" w:eastAsia="Aptos" w:hAnsi="Aptos" w:cs="Times New Roman"/>
          <w:kern w:val="2"/>
          <w14:ligatures w14:val="standardContextual"/>
        </w:rPr>
        <w:t>Large print</w:t>
      </w:r>
    </w:p>
    <w:p w14:paraId="1E4A71EF" w14:textId="5ECC1D99"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367B</w:t>
      </w:r>
      <w:r w:rsidR="00C67F40" w:rsidRPr="00C67F40">
        <w:rPr>
          <w:rFonts w:ascii="Aptos" w:eastAsia="Aptos" w:hAnsi="Aptos" w:cs="Times New Roman"/>
          <w:kern w:val="2"/>
          <w14:ligatures w14:val="standardContextual"/>
        </w:rPr>
        <w:t>Accessible digital text (e.g., DAISY, EPUB)</w:t>
      </w:r>
    </w:p>
    <w:p w14:paraId="290199FE" w14:textId="7A926F7E"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368B</w:t>
      </w:r>
      <w:r w:rsidR="00C67F40" w:rsidRPr="00C67F40">
        <w:rPr>
          <w:rFonts w:ascii="Aptos" w:eastAsia="Aptos" w:hAnsi="Aptos" w:cs="Times New Roman"/>
          <w:kern w:val="2"/>
          <w14:ligatures w14:val="standardContextual"/>
        </w:rPr>
        <w:t>Additional accessible format (please specify): ____</w:t>
      </w:r>
    </w:p>
    <w:p w14:paraId="3D7D79A5" w14:textId="5B703447"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369</w:t>
      </w:r>
      <w:proofErr w:type="gramStart"/>
      <w:r>
        <w:rPr>
          <w:rFonts w:ascii="ZWAdobeF" w:eastAsia="Aptos" w:hAnsi="ZWAdobeF" w:cs="ZWAdobeF"/>
          <w:kern w:val="2"/>
          <w:sz w:val="2"/>
          <w:szCs w:val="2"/>
          <w14:ligatures w14:val="standardContextual"/>
        </w:rPr>
        <w:t>B</w:t>
      </w:r>
      <w:r w:rsidR="00C67F40" w:rsidRPr="00C67F40">
        <w:rPr>
          <w:rFonts w:ascii="Aptos" w:eastAsia="Aptos" w:hAnsi="Aptos" w:cs="Times New Roman"/>
          <w:kern w:val="2"/>
          <w14:ligatures w14:val="standardContextual"/>
        </w:rPr>
        <w:t>(</w:t>
      </w:r>
      <w:proofErr w:type="gramEnd"/>
      <w:r w:rsidR="00C67F40" w:rsidRPr="00C67F40">
        <w:rPr>
          <w:rFonts w:ascii="Aptos" w:eastAsia="Aptos" w:hAnsi="Aptos" w:cs="Times New Roman"/>
          <w:kern w:val="2"/>
          <w14:ligatures w14:val="standardContextual"/>
        </w:rPr>
        <w:t>2a, NIMAC users only) To what extent do you agree with the following statements? (</w:t>
      </w:r>
      <w:r w:rsidR="00C67F40" w:rsidRPr="00C67F40">
        <w:rPr>
          <w:rFonts w:ascii="Aptos" w:eastAsia="Aptos" w:hAnsi="Aptos" w:cs="Times New Roman"/>
          <w:i/>
          <w:iCs/>
          <w:kern w:val="2"/>
          <w14:ligatures w14:val="standardContextual"/>
        </w:rPr>
        <w:t>Response options for each item below: Strongly Disagree; Disagree; Agree; Strongly Agree; Don’t Know</w:t>
      </w:r>
      <w:r w:rsidR="00C67F40" w:rsidRPr="00C67F40">
        <w:rPr>
          <w:rFonts w:ascii="Aptos" w:eastAsia="Aptos" w:hAnsi="Aptos" w:cs="Times New Roman"/>
          <w:kern w:val="2"/>
          <w14:ligatures w14:val="standardContextual"/>
        </w:rPr>
        <w:t>)</w:t>
      </w:r>
    </w:p>
    <w:p w14:paraId="11B076A7" w14:textId="12C2EFA4"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370B</w:t>
      </w:r>
      <w:r w:rsidR="00C67F40" w:rsidRPr="00C67F40">
        <w:rPr>
          <w:rFonts w:ascii="Aptos" w:eastAsia="Aptos" w:hAnsi="Aptos" w:cs="Times New Roman"/>
          <w:kern w:val="2"/>
          <w14:ligatures w14:val="standardContextual"/>
        </w:rPr>
        <w:t xml:space="preserve">I am satisfied with the timeline for delivery of braille for STEM materials/braille for non-STEM materials/large print/accessible digital text (e.g., DAISY, EPUB) when the NIMAS file is </w:t>
      </w:r>
      <w:r w:rsidR="00C67F40" w:rsidRPr="00C67F40">
        <w:rPr>
          <w:rFonts w:ascii="Aptos" w:eastAsia="Aptos" w:hAnsi="Aptos" w:cs="Times New Roman"/>
          <w:i/>
          <w:iCs/>
          <w:kern w:val="2"/>
          <w14:ligatures w14:val="standardContextual"/>
        </w:rPr>
        <w:t>already</w:t>
      </w:r>
      <w:r w:rsidR="00C67F40" w:rsidRPr="00C67F40">
        <w:rPr>
          <w:rFonts w:ascii="Aptos" w:eastAsia="Aptos" w:hAnsi="Aptos" w:cs="Times New Roman"/>
          <w:kern w:val="2"/>
          <w14:ligatures w14:val="standardContextual"/>
        </w:rPr>
        <w:t xml:space="preserve"> in the NIMAC system. </w:t>
      </w:r>
    </w:p>
    <w:p w14:paraId="39C491A0" w14:textId="776903C7"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371B</w:t>
      </w:r>
      <w:r w:rsidR="00C67F40" w:rsidRPr="00C67F40">
        <w:rPr>
          <w:rFonts w:ascii="Aptos" w:eastAsia="Aptos" w:hAnsi="Aptos" w:cs="Times New Roman"/>
          <w:kern w:val="2"/>
          <w14:ligatures w14:val="standardContextual"/>
        </w:rPr>
        <w:t xml:space="preserve">I am satisfied with the timeline for delivery of braille for STEM materials/braille for non-STEM materials/large print/accessible digital text (e.g., DAISY, EPUB) when the NIMAS file is </w:t>
      </w:r>
      <w:r w:rsidR="00C67F40" w:rsidRPr="00C67F40">
        <w:rPr>
          <w:rFonts w:ascii="Aptos" w:eastAsia="Aptos" w:hAnsi="Aptos" w:cs="Times New Roman"/>
          <w:i/>
          <w:iCs/>
          <w:kern w:val="2"/>
          <w14:ligatures w14:val="standardContextual"/>
        </w:rPr>
        <w:t>not</w:t>
      </w:r>
      <w:r w:rsidR="00C67F40" w:rsidRPr="00C67F40">
        <w:rPr>
          <w:rFonts w:ascii="Aptos" w:eastAsia="Aptos" w:hAnsi="Aptos" w:cs="Times New Roman"/>
          <w:kern w:val="2"/>
          <w14:ligatures w14:val="standardContextual"/>
        </w:rPr>
        <w:t xml:space="preserve"> in the NIMAC system and is added to the NIMAC Watchlist.</w:t>
      </w:r>
    </w:p>
    <w:p w14:paraId="4513805D" w14:textId="3084F2F2"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372B</w:t>
      </w:r>
      <w:r w:rsidR="00C67F40" w:rsidRPr="00C67F40">
        <w:rPr>
          <w:rFonts w:ascii="Aptos" w:eastAsia="Aptos" w:hAnsi="Aptos" w:cs="Times New Roman"/>
          <w:kern w:val="2"/>
          <w14:ligatures w14:val="standardContextual"/>
        </w:rPr>
        <w:t>I am satisfied with the timeline for delivery of accessible formats when they are not within the scope for NIMAS (e.g., online educational materials, trade materials, some digital files).</w:t>
      </w:r>
    </w:p>
    <w:p w14:paraId="18305671" w14:textId="3C840A1E"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373</w:t>
      </w:r>
      <w:proofErr w:type="gramStart"/>
      <w:r>
        <w:rPr>
          <w:rFonts w:ascii="ZWAdobeF" w:eastAsia="Aptos" w:hAnsi="ZWAdobeF" w:cs="ZWAdobeF"/>
          <w:kern w:val="2"/>
          <w:sz w:val="2"/>
          <w:szCs w:val="2"/>
          <w14:ligatures w14:val="standardContextual"/>
        </w:rPr>
        <w:t>B</w:t>
      </w:r>
      <w:r w:rsidR="00C67F40" w:rsidRPr="00C67F40">
        <w:rPr>
          <w:rFonts w:ascii="Aptos" w:eastAsia="Aptos" w:hAnsi="Aptos" w:cs="Times New Roman"/>
          <w:kern w:val="2"/>
          <w14:ligatures w14:val="standardContextual"/>
        </w:rPr>
        <w:t>(</w:t>
      </w:r>
      <w:proofErr w:type="gramEnd"/>
      <w:r w:rsidR="00C67F40" w:rsidRPr="00C67F40">
        <w:rPr>
          <w:rFonts w:ascii="Aptos" w:eastAsia="Aptos" w:hAnsi="Aptos" w:cs="Times New Roman"/>
          <w:kern w:val="2"/>
          <w14:ligatures w14:val="standardContextual"/>
        </w:rPr>
        <w:t>1f AMPs and 2a NIMAC users) Please explain any of your ratings above, including suggestions for ways to facilitate more timely delivery of accessible formats:</w:t>
      </w:r>
    </w:p>
    <w:p w14:paraId="1170DAAF" w14:textId="77777777" w:rsidR="00C67F40" w:rsidRPr="00C67F40" w:rsidRDefault="00C67F40" w:rsidP="00C67F40">
      <w:pPr>
        <w:spacing w:line="278" w:lineRule="auto"/>
        <w:rPr>
          <w:rFonts w:ascii="Aptos" w:eastAsia="Aptos" w:hAnsi="Aptos" w:cs="Times New Roman"/>
          <w:b/>
          <w:bCs/>
          <w:kern w:val="2"/>
          <w14:ligatures w14:val="standardContextual"/>
        </w:rPr>
      </w:pPr>
      <w:r w:rsidRPr="00C67F40">
        <w:rPr>
          <w:rFonts w:ascii="Aptos" w:eastAsia="Aptos" w:hAnsi="Aptos" w:cs="Times New Roman"/>
          <w:b/>
          <w:bCs/>
          <w:kern w:val="2"/>
          <w14:ligatures w14:val="standardContextual"/>
        </w:rPr>
        <w:br w:type="page"/>
      </w:r>
    </w:p>
    <w:p w14:paraId="318236CE" w14:textId="6699FCCC" w:rsidR="00C67F40" w:rsidRPr="00C67F40" w:rsidRDefault="00B55C67" w:rsidP="00C67F40">
      <w:pPr>
        <w:spacing w:after="0" w:line="278" w:lineRule="auto"/>
        <w:jc w:val="center"/>
        <w:rPr>
          <w:rFonts w:ascii="Aptos" w:eastAsia="Aptos" w:hAnsi="Aptos" w:cs="Times New Roman"/>
          <w:b/>
          <w:bCs/>
          <w:kern w:val="2"/>
          <w14:ligatures w14:val="standardContextual"/>
        </w:rPr>
      </w:pPr>
      <w:r>
        <w:rPr>
          <w:rFonts w:ascii="ZWAdobeF" w:eastAsia="Aptos" w:hAnsi="ZWAdobeF" w:cs="ZWAdobeF"/>
          <w:bCs/>
          <w:kern w:val="2"/>
          <w:sz w:val="2"/>
          <w:szCs w:val="2"/>
          <w14:ligatures w14:val="standardContextual"/>
        </w:rPr>
        <w:lastRenderedPageBreak/>
        <w:t>374B</w:t>
      </w:r>
      <w:r w:rsidR="00C67F40" w:rsidRPr="00C67F40">
        <w:rPr>
          <w:rFonts w:ascii="Aptos" w:eastAsia="Aptos" w:hAnsi="Aptos" w:cs="Times New Roman"/>
          <w:b/>
          <w:bCs/>
          <w:kern w:val="2"/>
          <w14:ligatures w14:val="standardContextual"/>
        </w:rPr>
        <w:t>Impacts of timely delivery and use of Accessible Educational Materials (AEM)</w:t>
      </w:r>
    </w:p>
    <w:p w14:paraId="6B7D3E65" w14:textId="00054E50" w:rsidR="00C67F40" w:rsidRPr="00C67F40" w:rsidRDefault="00B55C67" w:rsidP="00C67F40">
      <w:pPr>
        <w:spacing w:line="278" w:lineRule="auto"/>
        <w:jc w:val="center"/>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375</w:t>
      </w:r>
      <w:proofErr w:type="gramStart"/>
      <w:r>
        <w:rPr>
          <w:rFonts w:ascii="ZWAdobeF" w:eastAsia="Aptos" w:hAnsi="ZWAdobeF" w:cs="ZWAdobeF"/>
          <w:kern w:val="2"/>
          <w:sz w:val="2"/>
          <w:szCs w:val="2"/>
          <w14:ligatures w14:val="standardContextual"/>
        </w:rPr>
        <w:t>B</w:t>
      </w:r>
      <w:r w:rsidR="00C67F40" w:rsidRPr="00C67F40">
        <w:rPr>
          <w:rFonts w:ascii="Aptos" w:eastAsia="Aptos" w:hAnsi="Aptos" w:cs="Times New Roman"/>
          <w:kern w:val="2"/>
          <w14:ligatures w14:val="standardContextual"/>
        </w:rPr>
        <w:t>[</w:t>
      </w:r>
      <w:proofErr w:type="gramEnd"/>
      <w:r w:rsidR="00C67F40" w:rsidRPr="00C67F40">
        <w:rPr>
          <w:rFonts w:ascii="Aptos" w:eastAsia="Aptos" w:hAnsi="Aptos" w:cs="Times New Roman"/>
          <w:kern w:val="2"/>
          <w14:ligatures w14:val="standardContextual"/>
        </w:rPr>
        <w:t xml:space="preserve">Case Study Q1b; </w:t>
      </w:r>
      <w:r w:rsidR="00C67F40" w:rsidRPr="00C67F40">
        <w:rPr>
          <w:rFonts w:ascii="Aptos" w:eastAsia="Aptos" w:hAnsi="Aptos" w:cs="Times New Roman"/>
          <w:i/>
          <w:iCs/>
          <w:kern w:val="2"/>
          <w14:ligatures w14:val="standardContextual"/>
        </w:rPr>
        <w:t>present to 1a, 1b, 1c, 1d, 1e, 2a yes</w:t>
      </w:r>
      <w:r w:rsidR="00C67F40" w:rsidRPr="00C67F40">
        <w:rPr>
          <w:rFonts w:ascii="Aptos" w:eastAsia="Aptos" w:hAnsi="Aptos" w:cs="Times New Roman"/>
          <w:kern w:val="2"/>
          <w14:ligatures w14:val="standardContextual"/>
        </w:rPr>
        <w:t>]</w:t>
      </w:r>
    </w:p>
    <w:p w14:paraId="3ECFA66C" w14:textId="015A4B3F"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376B</w:t>
      </w:r>
      <w:r w:rsidR="00C67F40" w:rsidRPr="00C67F40">
        <w:rPr>
          <w:rFonts w:ascii="Aptos" w:eastAsia="Aptos" w:hAnsi="Aptos" w:cs="Times New Roman"/>
          <w:kern w:val="2"/>
          <w14:ligatures w14:val="standardContextual"/>
        </w:rPr>
        <w:t xml:space="preserve">How often do students with print disabilities or visual impairments use an accessible format that is less than ideal based on their Individualized Education Programs (IEPs)? </w:t>
      </w:r>
    </w:p>
    <w:p w14:paraId="3F304F48" w14:textId="335C9203"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377B</w:t>
      </w:r>
      <w:r w:rsidR="00C67F40" w:rsidRPr="00C67F40">
        <w:rPr>
          <w:rFonts w:ascii="Aptos" w:eastAsia="Aptos" w:hAnsi="Aptos" w:cs="Times New Roman"/>
          <w:kern w:val="2"/>
          <w14:ligatures w14:val="standardContextual"/>
        </w:rPr>
        <w:t>Never or Rarely</w:t>
      </w:r>
    </w:p>
    <w:p w14:paraId="3B5E5306" w14:textId="7DEE205D"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378B</w:t>
      </w:r>
      <w:r w:rsidR="00C67F40" w:rsidRPr="00C67F40">
        <w:rPr>
          <w:rFonts w:ascii="Aptos" w:eastAsia="Aptos" w:hAnsi="Aptos" w:cs="Times New Roman"/>
          <w:kern w:val="2"/>
          <w14:ligatures w14:val="standardContextual"/>
        </w:rPr>
        <w:t>Sometimes</w:t>
      </w:r>
    </w:p>
    <w:p w14:paraId="2CA3ED2A" w14:textId="0B6A0929"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379B</w:t>
      </w:r>
      <w:r w:rsidR="00C67F40" w:rsidRPr="00C67F40">
        <w:rPr>
          <w:rFonts w:ascii="Aptos" w:eastAsia="Aptos" w:hAnsi="Aptos" w:cs="Times New Roman"/>
          <w:kern w:val="2"/>
          <w14:ligatures w14:val="standardContextual"/>
        </w:rPr>
        <w:t>Often</w:t>
      </w:r>
    </w:p>
    <w:p w14:paraId="27CE31E3" w14:textId="4BA1709D"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380B</w:t>
      </w:r>
      <w:r w:rsidR="00C67F40" w:rsidRPr="00C67F40">
        <w:rPr>
          <w:rFonts w:ascii="Aptos" w:eastAsia="Aptos" w:hAnsi="Aptos" w:cs="Times New Roman"/>
          <w:kern w:val="2"/>
          <w14:ligatures w14:val="standardContextual"/>
        </w:rPr>
        <w:t>Always</w:t>
      </w:r>
    </w:p>
    <w:p w14:paraId="2C5C8BD6" w14:textId="4D5EDF18"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381B</w:t>
      </w:r>
      <w:r w:rsidR="00C67F40" w:rsidRPr="00C67F40">
        <w:rPr>
          <w:rFonts w:ascii="Aptos" w:eastAsia="Aptos" w:hAnsi="Aptos" w:cs="Times New Roman"/>
          <w:kern w:val="2"/>
          <w14:ligatures w14:val="standardContextual"/>
        </w:rPr>
        <w:t xml:space="preserve">Don’t Know </w:t>
      </w:r>
    </w:p>
    <w:p w14:paraId="756D5752" w14:textId="6D0AAB69"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382B</w:t>
      </w:r>
      <w:r w:rsidR="00C67F40" w:rsidRPr="00C67F40">
        <w:rPr>
          <w:rFonts w:ascii="Aptos" w:eastAsia="Aptos" w:hAnsi="Aptos" w:cs="Times New Roman"/>
          <w:kern w:val="2"/>
          <w14:ligatures w14:val="standardContextual"/>
        </w:rPr>
        <w:t xml:space="preserve">How often are students with print disabilities or visual impairments provided a different curriculum from their class due to a lack of available accessible materials? </w:t>
      </w:r>
    </w:p>
    <w:p w14:paraId="7EBBE909" w14:textId="48151D1D"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383B</w:t>
      </w:r>
      <w:r w:rsidR="00C67F40" w:rsidRPr="00C67F40">
        <w:rPr>
          <w:rFonts w:ascii="Aptos" w:eastAsia="Aptos" w:hAnsi="Aptos" w:cs="Times New Roman"/>
          <w:kern w:val="2"/>
          <w14:ligatures w14:val="standardContextual"/>
        </w:rPr>
        <w:t>Never or Rarely</w:t>
      </w:r>
    </w:p>
    <w:p w14:paraId="09E7EF0A" w14:textId="4477EEE8"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384B</w:t>
      </w:r>
      <w:r w:rsidR="00C67F40" w:rsidRPr="00C67F40">
        <w:rPr>
          <w:rFonts w:ascii="Aptos" w:eastAsia="Aptos" w:hAnsi="Aptos" w:cs="Times New Roman"/>
          <w:kern w:val="2"/>
          <w14:ligatures w14:val="standardContextual"/>
        </w:rPr>
        <w:t>Sometimes</w:t>
      </w:r>
    </w:p>
    <w:p w14:paraId="21CA1459" w14:textId="6CF66B1B"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385B</w:t>
      </w:r>
      <w:r w:rsidR="00C67F40" w:rsidRPr="00C67F40">
        <w:rPr>
          <w:rFonts w:ascii="Aptos" w:eastAsia="Aptos" w:hAnsi="Aptos" w:cs="Times New Roman"/>
          <w:kern w:val="2"/>
          <w14:ligatures w14:val="standardContextual"/>
        </w:rPr>
        <w:t>Often</w:t>
      </w:r>
    </w:p>
    <w:p w14:paraId="607B5945" w14:textId="30F61E55"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386B</w:t>
      </w:r>
      <w:r w:rsidR="00C67F40" w:rsidRPr="00C67F40">
        <w:rPr>
          <w:rFonts w:ascii="Aptos" w:eastAsia="Aptos" w:hAnsi="Aptos" w:cs="Times New Roman"/>
          <w:kern w:val="2"/>
          <w14:ligatures w14:val="standardContextual"/>
        </w:rPr>
        <w:t>Always</w:t>
      </w:r>
    </w:p>
    <w:p w14:paraId="771C9C15" w14:textId="1678BCF7"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387B</w:t>
      </w:r>
      <w:r w:rsidR="00C67F40" w:rsidRPr="00C67F40">
        <w:rPr>
          <w:rFonts w:ascii="Aptos" w:eastAsia="Aptos" w:hAnsi="Aptos" w:cs="Times New Roman"/>
          <w:kern w:val="2"/>
          <w14:ligatures w14:val="standardContextual"/>
        </w:rPr>
        <w:t xml:space="preserve">Don’t Know </w:t>
      </w:r>
    </w:p>
    <w:p w14:paraId="1F9CC0AD" w14:textId="7B91766A"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388B</w:t>
      </w:r>
      <w:r w:rsidR="00C67F40" w:rsidRPr="00C67F40">
        <w:rPr>
          <w:rFonts w:ascii="Aptos" w:eastAsia="Aptos" w:hAnsi="Aptos" w:cs="Times New Roman"/>
          <w:kern w:val="2"/>
          <w14:ligatures w14:val="standardContextual"/>
        </w:rPr>
        <w:t xml:space="preserve">To what extent do you agree with the following statement? I am satisfied with the ability of students to access and use accessible formats that are best formatted to meet their needs, as specified in their IEPs. </w:t>
      </w:r>
    </w:p>
    <w:p w14:paraId="5B9867D1" w14:textId="0ED424B9"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389B</w:t>
      </w:r>
      <w:r w:rsidR="00C67F40" w:rsidRPr="00C67F40">
        <w:rPr>
          <w:rFonts w:ascii="Aptos" w:eastAsia="Aptos" w:hAnsi="Aptos" w:cs="Times New Roman"/>
          <w:kern w:val="2"/>
          <w14:ligatures w14:val="standardContextual"/>
        </w:rPr>
        <w:t>Strongly Disagree</w:t>
      </w:r>
    </w:p>
    <w:p w14:paraId="00D394E5" w14:textId="43898C32"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390B</w:t>
      </w:r>
      <w:r w:rsidR="00C67F40" w:rsidRPr="00C67F40">
        <w:rPr>
          <w:rFonts w:ascii="Aptos" w:eastAsia="Aptos" w:hAnsi="Aptos" w:cs="Times New Roman"/>
          <w:kern w:val="2"/>
          <w14:ligatures w14:val="standardContextual"/>
        </w:rPr>
        <w:t>Disagree</w:t>
      </w:r>
    </w:p>
    <w:p w14:paraId="5003D21C" w14:textId="788FE678"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391B</w:t>
      </w:r>
      <w:r w:rsidR="00C67F40" w:rsidRPr="00C67F40">
        <w:rPr>
          <w:rFonts w:ascii="Aptos" w:eastAsia="Aptos" w:hAnsi="Aptos" w:cs="Times New Roman"/>
          <w:kern w:val="2"/>
          <w14:ligatures w14:val="standardContextual"/>
        </w:rPr>
        <w:t>Agree</w:t>
      </w:r>
    </w:p>
    <w:p w14:paraId="3DA04980" w14:textId="7BA4B3BA"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392B</w:t>
      </w:r>
      <w:r w:rsidR="00C67F40" w:rsidRPr="00C67F40">
        <w:rPr>
          <w:rFonts w:ascii="Aptos" w:eastAsia="Aptos" w:hAnsi="Aptos" w:cs="Times New Roman"/>
          <w:kern w:val="2"/>
          <w14:ligatures w14:val="standardContextual"/>
        </w:rPr>
        <w:t>Strongly Agree</w:t>
      </w:r>
    </w:p>
    <w:p w14:paraId="493083D3" w14:textId="62052D38"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393B</w:t>
      </w:r>
      <w:r w:rsidR="00C67F40" w:rsidRPr="00C67F40">
        <w:rPr>
          <w:rFonts w:ascii="Aptos" w:eastAsia="Aptos" w:hAnsi="Aptos" w:cs="Times New Roman"/>
          <w:kern w:val="2"/>
          <w14:ligatures w14:val="standardContextual"/>
        </w:rPr>
        <w:t>Don’t Know</w:t>
      </w:r>
    </w:p>
    <w:p w14:paraId="653E04B3" w14:textId="552AB240"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394B</w:t>
      </w:r>
      <w:r w:rsidR="00C67F40" w:rsidRPr="00C67F40">
        <w:rPr>
          <w:rFonts w:ascii="Aptos" w:eastAsia="Aptos" w:hAnsi="Aptos" w:cs="Times New Roman"/>
          <w:kern w:val="2"/>
          <w14:ligatures w14:val="standardContextual"/>
        </w:rPr>
        <w:t>Which of the following negatively impact the use of accessible formats that are best formatted to meet students’ needs, as specified in their IEPs? Please select all that apply.</w:t>
      </w:r>
    </w:p>
    <w:p w14:paraId="17473912" w14:textId="582D1926"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395B</w:t>
      </w:r>
      <w:r w:rsidR="00C67F40" w:rsidRPr="00C67F40">
        <w:rPr>
          <w:rFonts w:ascii="Aptos" w:eastAsia="Aptos" w:hAnsi="Aptos" w:cs="Times New Roman"/>
          <w:kern w:val="2"/>
          <w14:ligatures w14:val="standardContextual"/>
        </w:rPr>
        <w:t>Lack of availability of assistive technology (AT), such as a refreshable braille device.</w:t>
      </w:r>
    </w:p>
    <w:p w14:paraId="22652C8D" w14:textId="584E8ABB"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396B</w:t>
      </w:r>
      <w:r w:rsidR="00C67F40" w:rsidRPr="00C67F40">
        <w:rPr>
          <w:rFonts w:ascii="Aptos" w:eastAsia="Aptos" w:hAnsi="Aptos" w:cs="Times New Roman"/>
          <w:kern w:val="2"/>
          <w14:ligatures w14:val="standardContextual"/>
        </w:rPr>
        <w:t>Pressure on teachers to use most readily-available/least expensive format.</w:t>
      </w:r>
    </w:p>
    <w:p w14:paraId="1E6ADBDD" w14:textId="0DF05737"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397B</w:t>
      </w:r>
      <w:r w:rsidR="00C67F40" w:rsidRPr="00C67F40">
        <w:rPr>
          <w:rFonts w:ascii="Aptos" w:eastAsia="Aptos" w:hAnsi="Aptos" w:cs="Times New Roman"/>
          <w:kern w:val="2"/>
          <w14:ligatures w14:val="standardContextual"/>
        </w:rPr>
        <w:t>Accessible formats (e.g., braille products) that are available but of poor quality.</w:t>
      </w:r>
    </w:p>
    <w:p w14:paraId="0481816F" w14:textId="2487EF34"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398B</w:t>
      </w:r>
      <w:r w:rsidR="00C67F40" w:rsidRPr="00C67F40">
        <w:rPr>
          <w:rFonts w:ascii="Aptos" w:eastAsia="Aptos" w:hAnsi="Aptos" w:cs="Times New Roman"/>
          <w:kern w:val="2"/>
          <w14:ligatures w14:val="standardContextual"/>
        </w:rPr>
        <w:t>Students do not know how to use some accessible formats.</w:t>
      </w:r>
    </w:p>
    <w:p w14:paraId="774F321F" w14:textId="7A90EAAD"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399B</w:t>
      </w:r>
      <w:r w:rsidR="00C67F40" w:rsidRPr="00C67F40">
        <w:rPr>
          <w:rFonts w:ascii="Aptos" w:eastAsia="Aptos" w:hAnsi="Aptos" w:cs="Times New Roman"/>
          <w:kern w:val="2"/>
          <w14:ligatures w14:val="standardContextual"/>
        </w:rPr>
        <w:t>Lack of instructional support for students to effectively use the accessible formats.</w:t>
      </w:r>
    </w:p>
    <w:p w14:paraId="3442D54F" w14:textId="2D143062"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400B</w:t>
      </w:r>
      <w:r w:rsidR="00C67F40" w:rsidRPr="00C67F40">
        <w:rPr>
          <w:rFonts w:ascii="Aptos" w:eastAsia="Aptos" w:hAnsi="Aptos" w:cs="Times New Roman"/>
          <w:kern w:val="2"/>
          <w14:ligatures w14:val="standardContextual"/>
        </w:rPr>
        <w:t xml:space="preserve">Stigma </w:t>
      </w:r>
      <w:proofErr w:type="gramStart"/>
      <w:r w:rsidR="00C67F40" w:rsidRPr="00C67F40">
        <w:rPr>
          <w:rFonts w:ascii="Aptos" w:eastAsia="Aptos" w:hAnsi="Aptos" w:cs="Times New Roman"/>
          <w:kern w:val="2"/>
          <w14:ligatures w14:val="standardContextual"/>
        </w:rPr>
        <w:t>associated</w:t>
      </w:r>
      <w:proofErr w:type="gramEnd"/>
      <w:r w:rsidR="00C67F40" w:rsidRPr="00C67F40">
        <w:rPr>
          <w:rFonts w:ascii="Aptos" w:eastAsia="Aptos" w:hAnsi="Aptos" w:cs="Times New Roman"/>
          <w:kern w:val="2"/>
          <w14:ligatures w14:val="standardContextual"/>
        </w:rPr>
        <w:t xml:space="preserve"> with using accessible formats.</w:t>
      </w:r>
    </w:p>
    <w:p w14:paraId="02FE0FE5" w14:textId="217BFFE1"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401B</w:t>
      </w:r>
      <w:r w:rsidR="00C67F40" w:rsidRPr="00C67F40">
        <w:rPr>
          <w:rFonts w:ascii="Aptos" w:eastAsia="Aptos" w:hAnsi="Aptos" w:cs="Times New Roman"/>
          <w:kern w:val="2"/>
          <w14:ligatures w14:val="standardContextual"/>
        </w:rPr>
        <w:t>Some accessible formats can be cumbersome when using and transporting (e.g., hard copy braille).</w:t>
      </w:r>
    </w:p>
    <w:p w14:paraId="67B46FA6" w14:textId="10AEEB0D"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402B</w:t>
      </w:r>
      <w:r w:rsidR="00C67F40" w:rsidRPr="00C67F40">
        <w:rPr>
          <w:rFonts w:ascii="Aptos" w:eastAsia="Aptos" w:hAnsi="Aptos" w:cs="Times New Roman"/>
          <w:kern w:val="2"/>
          <w14:ligatures w14:val="standardContextual"/>
        </w:rPr>
        <w:t>Use of “backup” materials as students wait for appropriate accessible formats (e.g., quick converted braille).</w:t>
      </w:r>
    </w:p>
    <w:p w14:paraId="102C1AA3" w14:textId="03C3FC33"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403B</w:t>
      </w:r>
      <w:r w:rsidR="00C67F40" w:rsidRPr="00C67F40">
        <w:rPr>
          <w:rFonts w:ascii="Aptos" w:eastAsia="Aptos" w:hAnsi="Aptos" w:cs="Times New Roman"/>
          <w:kern w:val="2"/>
          <w14:ligatures w14:val="standardContextual"/>
        </w:rPr>
        <w:t>Don’t Know.</w:t>
      </w:r>
    </w:p>
    <w:p w14:paraId="070695D7" w14:textId="65297D97"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404B</w:t>
      </w:r>
      <w:r w:rsidR="00C67F40" w:rsidRPr="00C67F40">
        <w:rPr>
          <w:rFonts w:ascii="Aptos" w:eastAsia="Aptos" w:hAnsi="Aptos" w:cs="Times New Roman"/>
          <w:kern w:val="2"/>
          <w14:ligatures w14:val="standardContextual"/>
        </w:rPr>
        <w:t xml:space="preserve">Other: ____ </w:t>
      </w:r>
    </w:p>
    <w:p w14:paraId="22AF1C8B" w14:textId="35F3CDC3"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405B</w:t>
      </w:r>
      <w:r w:rsidR="00C67F40" w:rsidRPr="00C67F40">
        <w:rPr>
          <w:rFonts w:ascii="Aptos" w:eastAsia="Aptos" w:hAnsi="Aptos" w:cs="Times New Roman"/>
          <w:kern w:val="2"/>
          <w14:ligatures w14:val="standardContextual"/>
        </w:rPr>
        <w:t xml:space="preserve">Please explain your selection(s) above and offer any additional comments about factors that hinder the use of accessible formats best formatted to meet students’ needs, as specified in their IEPs: </w:t>
      </w:r>
    </w:p>
    <w:p w14:paraId="32E6C641" w14:textId="2C14D31D" w:rsidR="00C67F40" w:rsidRPr="00C67F40" w:rsidRDefault="00B55C67" w:rsidP="00C67F40">
      <w:pPr>
        <w:spacing w:after="0" w:line="278" w:lineRule="auto"/>
        <w:jc w:val="center"/>
        <w:rPr>
          <w:rFonts w:ascii="Aptos" w:eastAsia="Aptos" w:hAnsi="Aptos" w:cs="Times New Roman"/>
          <w:b/>
          <w:bCs/>
          <w:kern w:val="2"/>
          <w14:ligatures w14:val="standardContextual"/>
        </w:rPr>
      </w:pPr>
      <w:r>
        <w:rPr>
          <w:rFonts w:ascii="ZWAdobeF" w:eastAsia="Aptos" w:hAnsi="ZWAdobeF" w:cs="ZWAdobeF"/>
          <w:bCs/>
          <w:kern w:val="2"/>
          <w:sz w:val="2"/>
          <w:szCs w:val="2"/>
          <w14:ligatures w14:val="standardContextual"/>
        </w:rPr>
        <w:lastRenderedPageBreak/>
        <w:t>406B</w:t>
      </w:r>
      <w:r w:rsidR="00C67F40" w:rsidRPr="00C67F40">
        <w:rPr>
          <w:rFonts w:ascii="Aptos" w:eastAsia="Aptos" w:hAnsi="Aptos" w:cs="Times New Roman"/>
          <w:b/>
          <w:bCs/>
          <w:kern w:val="2"/>
          <w14:ligatures w14:val="standardContextual"/>
        </w:rPr>
        <w:t>Practices that facilitate timely delivery</w:t>
      </w:r>
    </w:p>
    <w:p w14:paraId="5A508992" w14:textId="25CFB30D" w:rsidR="00C67F40" w:rsidRPr="00C67F40" w:rsidRDefault="00B55C67" w:rsidP="00C67F40">
      <w:pPr>
        <w:spacing w:line="278" w:lineRule="auto"/>
        <w:jc w:val="center"/>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407</w:t>
      </w:r>
      <w:proofErr w:type="gramStart"/>
      <w:r>
        <w:rPr>
          <w:rFonts w:ascii="ZWAdobeF" w:eastAsia="Aptos" w:hAnsi="ZWAdobeF" w:cs="ZWAdobeF"/>
          <w:kern w:val="2"/>
          <w:sz w:val="2"/>
          <w:szCs w:val="2"/>
          <w14:ligatures w14:val="standardContextual"/>
        </w:rPr>
        <w:t>B</w:t>
      </w:r>
      <w:r w:rsidR="00C67F40" w:rsidRPr="00C67F40">
        <w:rPr>
          <w:rFonts w:ascii="Aptos" w:eastAsia="Aptos" w:hAnsi="Aptos" w:cs="Times New Roman"/>
          <w:kern w:val="2"/>
          <w14:ligatures w14:val="standardContextual"/>
        </w:rPr>
        <w:t>[</w:t>
      </w:r>
      <w:proofErr w:type="gramEnd"/>
      <w:r w:rsidR="00C67F40" w:rsidRPr="00C67F40">
        <w:rPr>
          <w:rFonts w:ascii="Aptos" w:eastAsia="Aptos" w:hAnsi="Aptos" w:cs="Times New Roman"/>
          <w:kern w:val="2"/>
          <w14:ligatures w14:val="standardContextual"/>
        </w:rPr>
        <w:t xml:space="preserve">Case Study Q2; </w:t>
      </w:r>
      <w:r w:rsidR="00C67F40" w:rsidRPr="00C67F40">
        <w:rPr>
          <w:rFonts w:ascii="Aptos" w:eastAsia="Aptos" w:hAnsi="Aptos" w:cs="Times New Roman"/>
          <w:i/>
          <w:iCs/>
          <w:kern w:val="2"/>
          <w14:ligatures w14:val="standardContextual"/>
        </w:rPr>
        <w:t>present to 1a, 1b, 1c, 1d, 1e, 1f, 2a yes</w:t>
      </w:r>
      <w:r w:rsidR="00C67F40" w:rsidRPr="00C67F40">
        <w:rPr>
          <w:rFonts w:ascii="Aptos" w:eastAsia="Aptos" w:hAnsi="Aptos" w:cs="Times New Roman"/>
          <w:kern w:val="2"/>
          <w14:ligatures w14:val="standardContextual"/>
        </w:rPr>
        <w:t>]</w:t>
      </w:r>
    </w:p>
    <w:p w14:paraId="5EBA9DB3" w14:textId="6F297DE5"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408B</w:t>
      </w:r>
      <w:r w:rsidR="00C67F40" w:rsidRPr="00C67F40">
        <w:rPr>
          <w:rFonts w:ascii="Aptos" w:eastAsia="Aptos" w:hAnsi="Aptos" w:cs="Times New Roman"/>
          <w:kern w:val="2"/>
          <w14:ligatures w14:val="standardContextual"/>
        </w:rPr>
        <w:t xml:space="preserve">How familiar are you with procurement contract processes for educational materials? </w:t>
      </w:r>
    </w:p>
    <w:p w14:paraId="3840B8F0" w14:textId="4A064FA0"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409B</w:t>
      </w:r>
      <w:r w:rsidR="00C67F40" w:rsidRPr="00C67F40">
        <w:rPr>
          <w:rFonts w:ascii="Aptos" w:eastAsia="Aptos" w:hAnsi="Aptos" w:cs="Times New Roman"/>
          <w:kern w:val="2"/>
          <w14:ligatures w14:val="standardContextual"/>
        </w:rPr>
        <w:t>Not Familiar</w:t>
      </w:r>
    </w:p>
    <w:p w14:paraId="2603B205" w14:textId="5A1DF329"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410B</w:t>
      </w:r>
      <w:r w:rsidR="00C67F40" w:rsidRPr="00C67F40">
        <w:rPr>
          <w:rFonts w:ascii="Aptos" w:eastAsia="Aptos" w:hAnsi="Aptos" w:cs="Times New Roman"/>
          <w:kern w:val="2"/>
          <w14:ligatures w14:val="standardContextual"/>
        </w:rPr>
        <w:t>Slightly Familiar</w:t>
      </w:r>
    </w:p>
    <w:p w14:paraId="76D133B1" w14:textId="6C9CE584"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411B</w:t>
      </w:r>
      <w:r w:rsidR="00C67F40" w:rsidRPr="00C67F40">
        <w:rPr>
          <w:rFonts w:ascii="Aptos" w:eastAsia="Aptos" w:hAnsi="Aptos" w:cs="Times New Roman"/>
          <w:kern w:val="2"/>
          <w14:ligatures w14:val="standardContextual"/>
        </w:rPr>
        <w:t>Moderately Familiar</w:t>
      </w:r>
    </w:p>
    <w:p w14:paraId="52B91140" w14:textId="6F74BDA9"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412B</w:t>
      </w:r>
      <w:r w:rsidR="00C67F40" w:rsidRPr="00C67F40">
        <w:rPr>
          <w:rFonts w:ascii="Aptos" w:eastAsia="Aptos" w:hAnsi="Aptos" w:cs="Times New Roman"/>
          <w:kern w:val="2"/>
          <w14:ligatures w14:val="standardContextual"/>
        </w:rPr>
        <w:t>Very Familiar</w:t>
      </w:r>
    </w:p>
    <w:p w14:paraId="20D79925" w14:textId="46F2E62A"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413</w:t>
      </w:r>
      <w:proofErr w:type="gramStart"/>
      <w:r>
        <w:rPr>
          <w:rFonts w:ascii="ZWAdobeF" w:eastAsia="Aptos" w:hAnsi="ZWAdobeF" w:cs="ZWAdobeF"/>
          <w:kern w:val="2"/>
          <w:sz w:val="2"/>
          <w:szCs w:val="2"/>
          <w14:ligatures w14:val="standardContextual"/>
        </w:rPr>
        <w:t>B</w:t>
      </w:r>
      <w:r w:rsidR="00C67F40" w:rsidRPr="00C67F40">
        <w:rPr>
          <w:rFonts w:ascii="Aptos" w:eastAsia="Aptos" w:hAnsi="Aptos" w:cs="Times New Roman"/>
          <w:kern w:val="2"/>
          <w14:ligatures w14:val="standardContextual"/>
        </w:rPr>
        <w:t>(</w:t>
      </w:r>
      <w:proofErr w:type="gramEnd"/>
      <w:r w:rsidR="00C67F40" w:rsidRPr="00C67F40">
        <w:rPr>
          <w:rFonts w:ascii="Aptos" w:eastAsia="Aptos" w:hAnsi="Aptos" w:cs="Times New Roman"/>
          <w:kern w:val="2"/>
          <w14:ligatures w14:val="standardContextual"/>
        </w:rPr>
        <w:t xml:space="preserve">1g publishers and 2a NIMAC users) Which of the following </w:t>
      </w:r>
      <w:r w:rsidR="00C67F40" w:rsidRPr="00C67F40">
        <w:rPr>
          <w:rFonts w:ascii="Aptos" w:eastAsia="Aptos" w:hAnsi="Aptos" w:cs="Times New Roman"/>
          <w:i/>
          <w:iCs/>
          <w:kern w:val="2"/>
          <w14:ligatures w14:val="standardContextual"/>
        </w:rPr>
        <w:t>practices related to the NIMAC</w:t>
      </w:r>
      <w:r w:rsidR="00C67F40" w:rsidRPr="00C67F40">
        <w:rPr>
          <w:rFonts w:ascii="Aptos" w:eastAsia="Aptos" w:hAnsi="Aptos" w:cs="Times New Roman"/>
          <w:kern w:val="2"/>
          <w14:ligatures w14:val="standardContextual"/>
        </w:rPr>
        <w:t xml:space="preserve"> facilitate the timely delivery of accessible formats? Please select all that apply, whether or not they are currently used in your area.</w:t>
      </w:r>
      <w:r w:rsidR="00B15D22">
        <w:rPr>
          <w:rFonts w:ascii="Aptos" w:eastAsia="Aptos" w:hAnsi="Aptos" w:cs="Times New Roman"/>
          <w:kern w:val="2"/>
          <w14:ligatures w14:val="standardContextual"/>
        </w:rPr>
        <w:t xml:space="preserve"> </w:t>
      </w:r>
    </w:p>
    <w:p w14:paraId="0A1AF291" w14:textId="30B5BBD0"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414B</w:t>
      </w:r>
      <w:r w:rsidR="00C67F40" w:rsidRPr="00C67F40">
        <w:rPr>
          <w:rFonts w:ascii="Aptos" w:eastAsia="Aptos" w:hAnsi="Aptos" w:cs="Times New Roman"/>
          <w:kern w:val="2"/>
          <w14:ligatures w14:val="standardContextual"/>
        </w:rPr>
        <w:t>When accessible formats need to be produced for the first time, the NIMAS file is already available in the NIMAC system.</w:t>
      </w:r>
    </w:p>
    <w:p w14:paraId="46D85B26" w14:textId="3C47FCB0"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415B</w:t>
      </w:r>
      <w:r w:rsidR="00C67F40" w:rsidRPr="00C67F40">
        <w:rPr>
          <w:rFonts w:ascii="Aptos" w:eastAsia="Aptos" w:hAnsi="Aptos" w:cs="Times New Roman"/>
          <w:kern w:val="2"/>
          <w14:ligatures w14:val="standardContextual"/>
        </w:rPr>
        <w:t>Publishers submit NIMAS files to the NIMAC system before they are needed by students.</w:t>
      </w:r>
    </w:p>
    <w:p w14:paraId="752D9CAA" w14:textId="0A781846"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416B</w:t>
      </w:r>
      <w:r w:rsidR="00C67F40" w:rsidRPr="00C67F40">
        <w:rPr>
          <w:rFonts w:ascii="Aptos" w:eastAsia="Aptos" w:hAnsi="Aptos" w:cs="Times New Roman"/>
          <w:kern w:val="2"/>
          <w14:ligatures w14:val="standardContextual"/>
        </w:rPr>
        <w:t>Publishers hold vendors to a timeline (e.g., 10 days) for NIMAS conversion.</w:t>
      </w:r>
    </w:p>
    <w:p w14:paraId="71E01A1E" w14:textId="7B51C178"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417B</w:t>
      </w:r>
      <w:r w:rsidR="00C67F40" w:rsidRPr="00C67F40">
        <w:rPr>
          <w:rFonts w:ascii="Aptos" w:eastAsia="Aptos" w:hAnsi="Aptos" w:cs="Times New Roman"/>
          <w:kern w:val="2"/>
          <w14:ligatures w14:val="standardContextual"/>
        </w:rPr>
        <w:t xml:space="preserve">NIMAC staff </w:t>
      </w:r>
      <w:proofErr w:type="gramStart"/>
      <w:r w:rsidR="00C67F40" w:rsidRPr="00C67F40">
        <w:rPr>
          <w:rFonts w:ascii="Aptos" w:eastAsia="Aptos" w:hAnsi="Aptos" w:cs="Times New Roman"/>
          <w:kern w:val="2"/>
          <w14:ligatures w14:val="standardContextual"/>
        </w:rPr>
        <w:t>providing</w:t>
      </w:r>
      <w:proofErr w:type="gramEnd"/>
      <w:r w:rsidR="00C67F40" w:rsidRPr="00C67F40">
        <w:rPr>
          <w:rFonts w:ascii="Aptos" w:eastAsia="Aptos" w:hAnsi="Aptos" w:cs="Times New Roman"/>
          <w:kern w:val="2"/>
          <w14:ligatures w14:val="standardContextual"/>
        </w:rPr>
        <w:t xml:space="preserve"> effective and timely technical assistance.</w:t>
      </w:r>
    </w:p>
    <w:p w14:paraId="3D56F48C" w14:textId="3C008742"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418B</w:t>
      </w:r>
      <w:r w:rsidR="00C67F40" w:rsidRPr="00C67F40">
        <w:rPr>
          <w:rFonts w:ascii="Aptos" w:eastAsia="Aptos" w:hAnsi="Aptos" w:cs="Times New Roman"/>
          <w:kern w:val="2"/>
          <w14:ligatures w14:val="standardContextual"/>
        </w:rPr>
        <w:t>Don’t Know.</w:t>
      </w:r>
    </w:p>
    <w:p w14:paraId="4BF07E3E" w14:textId="04C2B0AD"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419</w:t>
      </w:r>
      <w:proofErr w:type="gramStart"/>
      <w:r>
        <w:rPr>
          <w:rFonts w:ascii="ZWAdobeF" w:eastAsia="Aptos" w:hAnsi="ZWAdobeF" w:cs="ZWAdobeF"/>
          <w:kern w:val="2"/>
          <w:sz w:val="2"/>
          <w:szCs w:val="2"/>
          <w14:ligatures w14:val="standardContextual"/>
        </w:rPr>
        <w:t>B</w:t>
      </w:r>
      <w:r w:rsidR="00C67F40" w:rsidRPr="00C67F40">
        <w:rPr>
          <w:rFonts w:ascii="Aptos" w:eastAsia="Aptos" w:hAnsi="Aptos" w:cs="Times New Roman"/>
          <w:kern w:val="2"/>
          <w14:ligatures w14:val="standardContextual"/>
        </w:rPr>
        <w:t>Other: _</w:t>
      </w:r>
      <w:proofErr w:type="gramEnd"/>
      <w:r w:rsidR="00C67F40" w:rsidRPr="00C67F40">
        <w:rPr>
          <w:rFonts w:ascii="Aptos" w:eastAsia="Aptos" w:hAnsi="Aptos" w:cs="Times New Roman"/>
          <w:kern w:val="2"/>
          <w14:ligatures w14:val="standardContextual"/>
        </w:rPr>
        <w:t>_____</w:t>
      </w:r>
    </w:p>
    <w:p w14:paraId="6427F321" w14:textId="5FBA2FA5"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420B</w:t>
      </w:r>
      <w:r w:rsidR="00C67F40" w:rsidRPr="00C67F40">
        <w:rPr>
          <w:rFonts w:ascii="Aptos" w:eastAsia="Aptos" w:hAnsi="Aptos" w:cs="Times New Roman"/>
          <w:kern w:val="2"/>
          <w14:ligatures w14:val="standardContextual"/>
        </w:rPr>
        <w:t xml:space="preserve">Which of the following </w:t>
      </w:r>
      <w:r w:rsidR="00C67F40" w:rsidRPr="00C67F40">
        <w:rPr>
          <w:rFonts w:ascii="Aptos" w:eastAsia="Aptos" w:hAnsi="Aptos" w:cs="Times New Roman"/>
          <w:i/>
          <w:iCs/>
          <w:kern w:val="2"/>
          <w14:ligatures w14:val="standardContextual"/>
        </w:rPr>
        <w:t xml:space="preserve">practices related to the production of accessible formats </w:t>
      </w:r>
      <w:r w:rsidR="00C67F40" w:rsidRPr="00C67F40">
        <w:rPr>
          <w:rFonts w:ascii="Aptos" w:eastAsia="Aptos" w:hAnsi="Aptos" w:cs="Times New Roman"/>
          <w:kern w:val="2"/>
          <w14:ligatures w14:val="standardContextual"/>
        </w:rPr>
        <w:t xml:space="preserve">facilitate the timely delivery of accessible formats? Please select all that apply, whether or not they are currently used in your area. </w:t>
      </w:r>
    </w:p>
    <w:p w14:paraId="6BA71453" w14:textId="2B7FC520"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421B</w:t>
      </w:r>
      <w:r w:rsidR="00C67F40" w:rsidRPr="00C67F40">
        <w:rPr>
          <w:rFonts w:ascii="Aptos" w:eastAsia="Aptos" w:hAnsi="Aptos" w:cs="Times New Roman"/>
          <w:kern w:val="2"/>
          <w14:ligatures w14:val="standardContextual"/>
        </w:rPr>
        <w:t>Use of the national Louis Database of Accessible Materials to quickly locate accessible formats.</w:t>
      </w:r>
    </w:p>
    <w:p w14:paraId="03C39E1B" w14:textId="623522AA"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422B</w:t>
      </w:r>
      <w:r w:rsidR="00C67F40" w:rsidRPr="00C67F40">
        <w:rPr>
          <w:rFonts w:ascii="Aptos" w:eastAsia="Aptos" w:hAnsi="Aptos" w:cs="Times New Roman"/>
          <w:kern w:val="2"/>
          <w14:ligatures w14:val="standardContextual"/>
        </w:rPr>
        <w:t>Accessible Media Producers (AMPs) submit data to Louis Database of Accessible Materials, so it is searchable nationwide.</w:t>
      </w:r>
    </w:p>
    <w:p w14:paraId="02951F4B" w14:textId="652BF3CE"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423B</w:t>
      </w:r>
      <w:r w:rsidR="00C67F40" w:rsidRPr="00C67F40">
        <w:rPr>
          <w:rFonts w:ascii="Aptos" w:eastAsia="Aptos" w:hAnsi="Aptos" w:cs="Times New Roman"/>
          <w:kern w:val="2"/>
          <w14:ligatures w14:val="standardContextual"/>
        </w:rPr>
        <w:t>Accessible formats are already available at a central location in the state or district (e.g., an Instructional Resource Center) for immediate distribution.</w:t>
      </w:r>
    </w:p>
    <w:p w14:paraId="2DDE3D8A" w14:textId="4EA32E16"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424B</w:t>
      </w:r>
      <w:r w:rsidR="00C67F40" w:rsidRPr="00C67F40">
        <w:rPr>
          <w:rFonts w:ascii="Aptos" w:eastAsia="Aptos" w:hAnsi="Aptos" w:cs="Times New Roman"/>
          <w:kern w:val="2"/>
          <w14:ligatures w14:val="standardContextual"/>
        </w:rPr>
        <w:t>Practices/processes that provide students with portions of accessible formats while waiting for the full textbook to be completed.</w:t>
      </w:r>
    </w:p>
    <w:p w14:paraId="41EBA0F1" w14:textId="0B40C3C6"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425B</w:t>
      </w:r>
      <w:r w:rsidR="00C67F40" w:rsidRPr="00C67F40">
        <w:rPr>
          <w:rFonts w:ascii="Aptos" w:eastAsia="Aptos" w:hAnsi="Aptos" w:cs="Times New Roman"/>
          <w:kern w:val="2"/>
          <w14:ligatures w14:val="standardContextual"/>
        </w:rPr>
        <w:t>Practices/processes that provide students with portions of accessible formats when only portions of the material are being used in the classroom.</w:t>
      </w:r>
    </w:p>
    <w:p w14:paraId="078A04D0" w14:textId="307B74E8"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426B</w:t>
      </w:r>
      <w:r w:rsidR="00C67F40" w:rsidRPr="00C67F40">
        <w:rPr>
          <w:rFonts w:ascii="Aptos" w:eastAsia="Aptos" w:hAnsi="Aptos" w:cs="Times New Roman"/>
          <w:kern w:val="2"/>
          <w14:ligatures w14:val="standardContextual"/>
        </w:rPr>
        <w:t>Accessible formats are already available at a central location in the state or district (e.g., an Instructional Resource Center) for immediate distribution.</w:t>
      </w:r>
    </w:p>
    <w:p w14:paraId="54E74912" w14:textId="4A1F5E8F"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427B</w:t>
      </w:r>
      <w:r w:rsidR="00C67F40" w:rsidRPr="00C67F40">
        <w:rPr>
          <w:rFonts w:ascii="Aptos" w:eastAsia="Aptos" w:hAnsi="Aptos" w:cs="Times New Roman"/>
          <w:kern w:val="2"/>
          <w14:ligatures w14:val="standardContextual"/>
        </w:rPr>
        <w:t>Don’t Know.</w:t>
      </w:r>
    </w:p>
    <w:p w14:paraId="47EB2981" w14:textId="5C6FDA87"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428B</w:t>
      </w:r>
      <w:r w:rsidR="00C67F40" w:rsidRPr="00C67F40">
        <w:rPr>
          <w:rFonts w:ascii="Aptos" w:eastAsia="Aptos" w:hAnsi="Aptos" w:cs="Times New Roman"/>
          <w:kern w:val="2"/>
          <w14:ligatures w14:val="standardContextual"/>
        </w:rPr>
        <w:t>Other: ______</w:t>
      </w:r>
    </w:p>
    <w:p w14:paraId="23A41E45" w14:textId="737EA43E"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429B</w:t>
      </w:r>
      <w:r w:rsidR="00C67F40" w:rsidRPr="00C67F40">
        <w:rPr>
          <w:rFonts w:ascii="Aptos" w:eastAsia="Aptos" w:hAnsi="Aptos" w:cs="Times New Roman"/>
          <w:kern w:val="2"/>
          <w14:ligatures w14:val="standardContextual"/>
        </w:rPr>
        <w:t xml:space="preserve">Which of the following </w:t>
      </w:r>
      <w:r w:rsidR="00C67F40" w:rsidRPr="00C67F40">
        <w:rPr>
          <w:rFonts w:ascii="Aptos" w:eastAsia="Aptos" w:hAnsi="Aptos" w:cs="Times New Roman"/>
          <w:i/>
          <w:iCs/>
          <w:kern w:val="2"/>
          <w14:ligatures w14:val="standardContextual"/>
        </w:rPr>
        <w:t xml:space="preserve">state, regional, district, or school-level practices </w:t>
      </w:r>
      <w:r w:rsidR="00C67F40" w:rsidRPr="00C67F40">
        <w:rPr>
          <w:rFonts w:ascii="Aptos" w:eastAsia="Aptos" w:hAnsi="Aptos" w:cs="Times New Roman"/>
          <w:kern w:val="2"/>
          <w14:ligatures w14:val="standardContextual"/>
        </w:rPr>
        <w:t>facilitate the timely delivery of accessible formats? Please select all that apply, whether or not they are currently used in your area.</w:t>
      </w:r>
    </w:p>
    <w:p w14:paraId="6A29FFD3" w14:textId="7F657D23"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430B</w:t>
      </w:r>
      <w:r w:rsidR="00C67F40" w:rsidRPr="00C67F40">
        <w:rPr>
          <w:rFonts w:ascii="Aptos" w:eastAsia="Aptos" w:hAnsi="Aptos" w:cs="Times New Roman"/>
          <w:kern w:val="2"/>
          <w14:ligatures w14:val="standardContextual"/>
        </w:rPr>
        <w:t>Inclusion of NIMAS requirement in procurement contracts for educational materials.</w:t>
      </w:r>
    </w:p>
    <w:p w14:paraId="68483BC9" w14:textId="494F39B4"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431B</w:t>
      </w:r>
      <w:r w:rsidR="00C67F40" w:rsidRPr="00C67F40">
        <w:rPr>
          <w:rFonts w:ascii="Aptos" w:eastAsia="Aptos" w:hAnsi="Aptos" w:cs="Times New Roman"/>
          <w:kern w:val="2"/>
          <w14:ligatures w14:val="standardContextual"/>
        </w:rPr>
        <w:t>Requests for first-time production of accessible formats are made well in advance before they are needed by students.</w:t>
      </w:r>
    </w:p>
    <w:p w14:paraId="362A6AB5" w14:textId="7BF6E229"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lastRenderedPageBreak/>
        <w:t>432B</w:t>
      </w:r>
      <w:r w:rsidR="00C67F40" w:rsidRPr="00C67F40">
        <w:rPr>
          <w:rFonts w:ascii="Aptos" w:eastAsia="Aptos" w:hAnsi="Aptos" w:cs="Times New Roman"/>
          <w:kern w:val="2"/>
          <w14:ligatures w14:val="standardContextual"/>
        </w:rPr>
        <w:t>A centralized workflow within a State Education Agency (SEA), Local Education Agency (LEA), or Regional/District system to process requests for accessible formats.</w:t>
      </w:r>
    </w:p>
    <w:p w14:paraId="144C6FAF" w14:textId="75028009"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433B</w:t>
      </w:r>
      <w:r w:rsidR="00C67F40" w:rsidRPr="00C67F40">
        <w:rPr>
          <w:rFonts w:ascii="Aptos" w:eastAsia="Aptos" w:hAnsi="Aptos" w:cs="Times New Roman"/>
          <w:kern w:val="2"/>
          <w14:ligatures w14:val="standardContextual"/>
        </w:rPr>
        <w:t>A streamlined system for working with AMPs.</w:t>
      </w:r>
    </w:p>
    <w:p w14:paraId="53653C74" w14:textId="2C41D7DA"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434B</w:t>
      </w:r>
      <w:r w:rsidR="00C67F40" w:rsidRPr="00C67F40">
        <w:rPr>
          <w:rFonts w:ascii="Aptos" w:eastAsia="Aptos" w:hAnsi="Aptos" w:cs="Times New Roman"/>
          <w:kern w:val="2"/>
          <w14:ligatures w14:val="standardContextual"/>
        </w:rPr>
        <w:t>State processes that support and train AMPs who are producing accessible formats.</w:t>
      </w:r>
    </w:p>
    <w:p w14:paraId="6DCD0A9A" w14:textId="42896704"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435B</w:t>
      </w:r>
      <w:r w:rsidR="00C67F40" w:rsidRPr="00C67F40">
        <w:rPr>
          <w:rFonts w:ascii="Aptos" w:eastAsia="Aptos" w:hAnsi="Aptos" w:cs="Times New Roman"/>
          <w:kern w:val="2"/>
          <w14:ligatures w14:val="standardContextual"/>
        </w:rPr>
        <w:t>Don’t Know.</w:t>
      </w:r>
    </w:p>
    <w:p w14:paraId="6E1C9554" w14:textId="24649A8A"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436B</w:t>
      </w:r>
      <w:r w:rsidR="00C67F40" w:rsidRPr="00C67F40">
        <w:rPr>
          <w:rFonts w:ascii="Aptos" w:eastAsia="Aptos" w:hAnsi="Aptos" w:cs="Times New Roman"/>
          <w:kern w:val="2"/>
          <w14:ligatures w14:val="standardContextual"/>
        </w:rPr>
        <w:t>Other: ______</w:t>
      </w:r>
    </w:p>
    <w:p w14:paraId="59999A32" w14:textId="51116BE2"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437B</w:t>
      </w:r>
      <w:r w:rsidR="00C67F40" w:rsidRPr="00C67F40">
        <w:rPr>
          <w:rFonts w:ascii="Aptos" w:eastAsia="Aptos" w:hAnsi="Aptos" w:cs="Times New Roman"/>
          <w:kern w:val="2"/>
          <w14:ligatures w14:val="standardContextual"/>
        </w:rPr>
        <w:t xml:space="preserve">Please explain your selection(s) above and offer any additional comments about practices that facilitate the timely delivery of accessible formats: </w:t>
      </w:r>
    </w:p>
    <w:p w14:paraId="74BD528B" w14:textId="7EAD1527"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bookmarkStart w:id="112" w:name="_Hlk191246121"/>
      <w:r>
        <w:rPr>
          <w:rFonts w:ascii="ZWAdobeF" w:eastAsia="Aptos" w:hAnsi="ZWAdobeF" w:cs="ZWAdobeF"/>
          <w:kern w:val="2"/>
          <w:sz w:val="2"/>
          <w:szCs w:val="2"/>
          <w14:ligatures w14:val="standardContextual"/>
        </w:rPr>
        <w:t>438</w:t>
      </w:r>
      <w:proofErr w:type="gramStart"/>
      <w:r>
        <w:rPr>
          <w:rFonts w:ascii="ZWAdobeF" w:eastAsia="Aptos" w:hAnsi="ZWAdobeF" w:cs="ZWAdobeF"/>
          <w:kern w:val="2"/>
          <w:sz w:val="2"/>
          <w:szCs w:val="2"/>
          <w14:ligatures w14:val="standardContextual"/>
        </w:rPr>
        <w:t>B</w:t>
      </w:r>
      <w:r w:rsidR="00C67F40" w:rsidRPr="00C67F40">
        <w:rPr>
          <w:rFonts w:ascii="Aptos" w:eastAsia="Aptos" w:hAnsi="Aptos" w:cs="Times New Roman"/>
          <w:kern w:val="2"/>
          <w14:ligatures w14:val="standardContextual"/>
        </w:rPr>
        <w:t>(</w:t>
      </w:r>
      <w:proofErr w:type="gramEnd"/>
      <w:r w:rsidR="00C67F40" w:rsidRPr="00C67F40">
        <w:rPr>
          <w:rFonts w:ascii="Aptos" w:eastAsia="Aptos" w:hAnsi="Aptos" w:cs="Times New Roman"/>
          <w:kern w:val="2"/>
          <w14:ligatures w14:val="standardContextual"/>
        </w:rPr>
        <w:t>2a, NIMAC users only) To what extent do you agree with the following statement? The NIMAC Watchlist request system is a valuable service for serving students when NIMAS files have not been received by the publisher</w:t>
      </w:r>
      <w:bookmarkEnd w:id="112"/>
      <w:r w:rsidR="00C67F40" w:rsidRPr="00C67F40">
        <w:rPr>
          <w:rFonts w:ascii="Aptos" w:eastAsia="Aptos" w:hAnsi="Aptos" w:cs="Times New Roman"/>
          <w:kern w:val="2"/>
          <w14:ligatures w14:val="standardContextual"/>
        </w:rPr>
        <w:t>.</w:t>
      </w:r>
    </w:p>
    <w:p w14:paraId="1E148B4B" w14:textId="501CDF3D"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439B</w:t>
      </w:r>
      <w:r w:rsidR="00C67F40" w:rsidRPr="00C67F40">
        <w:rPr>
          <w:rFonts w:ascii="Aptos" w:eastAsia="Aptos" w:hAnsi="Aptos" w:cs="Times New Roman"/>
          <w:kern w:val="2"/>
          <w14:ligatures w14:val="standardContextual"/>
        </w:rPr>
        <w:t>Strongly Disagree</w:t>
      </w:r>
    </w:p>
    <w:p w14:paraId="15308C33" w14:textId="5991F97C"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440B</w:t>
      </w:r>
      <w:r w:rsidR="00C67F40" w:rsidRPr="00C67F40">
        <w:rPr>
          <w:rFonts w:ascii="Aptos" w:eastAsia="Aptos" w:hAnsi="Aptos" w:cs="Times New Roman"/>
          <w:kern w:val="2"/>
          <w14:ligatures w14:val="standardContextual"/>
        </w:rPr>
        <w:t>Disagree</w:t>
      </w:r>
    </w:p>
    <w:p w14:paraId="027F2CBD" w14:textId="0570F5CA"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441B</w:t>
      </w:r>
      <w:r w:rsidR="00C67F40" w:rsidRPr="00C67F40">
        <w:rPr>
          <w:rFonts w:ascii="Aptos" w:eastAsia="Aptos" w:hAnsi="Aptos" w:cs="Times New Roman"/>
          <w:kern w:val="2"/>
          <w14:ligatures w14:val="standardContextual"/>
        </w:rPr>
        <w:t>Agree</w:t>
      </w:r>
    </w:p>
    <w:p w14:paraId="63E40894" w14:textId="615E9B19"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442B</w:t>
      </w:r>
      <w:r w:rsidR="00C67F40" w:rsidRPr="00C67F40">
        <w:rPr>
          <w:rFonts w:ascii="Aptos" w:eastAsia="Aptos" w:hAnsi="Aptos" w:cs="Times New Roman"/>
          <w:kern w:val="2"/>
          <w14:ligatures w14:val="standardContextual"/>
        </w:rPr>
        <w:t>Strongly Agree</w:t>
      </w:r>
    </w:p>
    <w:p w14:paraId="3E29FF44" w14:textId="0340A09F"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443B</w:t>
      </w:r>
      <w:r w:rsidR="00C67F40" w:rsidRPr="00C67F40">
        <w:rPr>
          <w:rFonts w:ascii="Aptos" w:eastAsia="Aptos" w:hAnsi="Aptos" w:cs="Times New Roman"/>
          <w:kern w:val="2"/>
          <w14:ligatures w14:val="standardContextual"/>
        </w:rPr>
        <w:t>Don’t Know</w:t>
      </w:r>
    </w:p>
    <w:p w14:paraId="6C32BAF4" w14:textId="5E5F25F9"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444</w:t>
      </w:r>
      <w:proofErr w:type="gramStart"/>
      <w:r>
        <w:rPr>
          <w:rFonts w:ascii="ZWAdobeF" w:eastAsia="Aptos" w:hAnsi="ZWAdobeF" w:cs="ZWAdobeF"/>
          <w:kern w:val="2"/>
          <w:sz w:val="2"/>
          <w:szCs w:val="2"/>
          <w14:ligatures w14:val="standardContextual"/>
        </w:rPr>
        <w:t>B</w:t>
      </w:r>
      <w:r w:rsidR="00C67F40" w:rsidRPr="00C67F40">
        <w:rPr>
          <w:rFonts w:ascii="Aptos" w:eastAsia="Aptos" w:hAnsi="Aptos" w:cs="Times New Roman"/>
          <w:kern w:val="2"/>
          <w14:ligatures w14:val="standardContextual"/>
        </w:rPr>
        <w:t>(</w:t>
      </w:r>
      <w:proofErr w:type="gramEnd"/>
      <w:r w:rsidR="00C67F40" w:rsidRPr="00C67F40">
        <w:rPr>
          <w:rFonts w:ascii="Aptos" w:eastAsia="Aptos" w:hAnsi="Aptos" w:cs="Times New Roman"/>
          <w:kern w:val="2"/>
          <w14:ligatures w14:val="standardContextual"/>
        </w:rPr>
        <w:t xml:space="preserve">2a, NIMAC users only) To what extent do you agree with the following statement? NIMAS files help facilitate the timely delivery of accessible formats. </w:t>
      </w:r>
    </w:p>
    <w:p w14:paraId="713B0804" w14:textId="22DB9E93"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445B</w:t>
      </w:r>
      <w:r w:rsidR="00C67F40" w:rsidRPr="00C67F40">
        <w:rPr>
          <w:rFonts w:ascii="Aptos" w:eastAsia="Aptos" w:hAnsi="Aptos" w:cs="Times New Roman"/>
          <w:kern w:val="2"/>
          <w14:ligatures w14:val="standardContextual"/>
        </w:rPr>
        <w:t>Strongly Disagree</w:t>
      </w:r>
    </w:p>
    <w:p w14:paraId="00AF7885" w14:textId="52124B32"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446B</w:t>
      </w:r>
      <w:r w:rsidR="00C67F40" w:rsidRPr="00C67F40">
        <w:rPr>
          <w:rFonts w:ascii="Aptos" w:eastAsia="Aptos" w:hAnsi="Aptos" w:cs="Times New Roman"/>
          <w:kern w:val="2"/>
          <w14:ligatures w14:val="standardContextual"/>
        </w:rPr>
        <w:t>Disagree</w:t>
      </w:r>
    </w:p>
    <w:p w14:paraId="66AF2B8E" w14:textId="5573AF20"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447B</w:t>
      </w:r>
      <w:r w:rsidR="00C67F40" w:rsidRPr="00C67F40">
        <w:rPr>
          <w:rFonts w:ascii="Aptos" w:eastAsia="Aptos" w:hAnsi="Aptos" w:cs="Times New Roman"/>
          <w:kern w:val="2"/>
          <w14:ligatures w14:val="standardContextual"/>
        </w:rPr>
        <w:t>Agree</w:t>
      </w:r>
    </w:p>
    <w:p w14:paraId="6926CAFD" w14:textId="1A8402FF"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448B</w:t>
      </w:r>
      <w:r w:rsidR="00C67F40" w:rsidRPr="00C67F40">
        <w:rPr>
          <w:rFonts w:ascii="Aptos" w:eastAsia="Aptos" w:hAnsi="Aptos" w:cs="Times New Roman"/>
          <w:kern w:val="2"/>
          <w14:ligatures w14:val="standardContextual"/>
        </w:rPr>
        <w:t>Strongly Agree</w:t>
      </w:r>
    </w:p>
    <w:p w14:paraId="10464080" w14:textId="55C8FC4D"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449B</w:t>
      </w:r>
      <w:r w:rsidR="00C67F40" w:rsidRPr="00C67F40">
        <w:rPr>
          <w:rFonts w:ascii="Aptos" w:eastAsia="Aptos" w:hAnsi="Aptos" w:cs="Times New Roman"/>
          <w:kern w:val="2"/>
          <w14:ligatures w14:val="standardContextual"/>
        </w:rPr>
        <w:t xml:space="preserve">Don’t Know </w:t>
      </w:r>
    </w:p>
    <w:p w14:paraId="72253A40" w14:textId="4E4F5DA9" w:rsid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450</w:t>
      </w:r>
      <w:proofErr w:type="gramStart"/>
      <w:r>
        <w:rPr>
          <w:rFonts w:ascii="ZWAdobeF" w:eastAsia="Aptos" w:hAnsi="ZWAdobeF" w:cs="ZWAdobeF"/>
          <w:kern w:val="2"/>
          <w:sz w:val="2"/>
          <w:szCs w:val="2"/>
          <w14:ligatures w14:val="standardContextual"/>
        </w:rPr>
        <w:t>B</w:t>
      </w:r>
      <w:r w:rsidR="00C67F40" w:rsidRPr="00C67F40">
        <w:rPr>
          <w:rFonts w:ascii="Aptos" w:eastAsia="Aptos" w:hAnsi="Aptos" w:cs="Times New Roman"/>
          <w:kern w:val="2"/>
          <w14:ligatures w14:val="standardContextual"/>
        </w:rPr>
        <w:t>(</w:t>
      </w:r>
      <w:proofErr w:type="gramEnd"/>
      <w:r w:rsidR="00C67F40" w:rsidRPr="00C67F40">
        <w:rPr>
          <w:rFonts w:ascii="Aptos" w:eastAsia="Aptos" w:hAnsi="Aptos" w:cs="Times New Roman"/>
          <w:kern w:val="2"/>
          <w14:ligatures w14:val="standardContextual"/>
        </w:rPr>
        <w:t>2a, NIMAC users only) Please explain your selection above regarding how well NIMAS files help facilitate the timely delivery of accessible formats:</w:t>
      </w:r>
    </w:p>
    <w:p w14:paraId="1897ED08" w14:textId="77777777" w:rsidR="00022200" w:rsidRPr="00C67F40" w:rsidRDefault="00022200" w:rsidP="00022200">
      <w:pPr>
        <w:spacing w:line="278" w:lineRule="auto"/>
        <w:ind w:left="360"/>
        <w:contextualSpacing/>
        <w:rPr>
          <w:rFonts w:ascii="Aptos" w:eastAsia="Aptos" w:hAnsi="Aptos" w:cs="Times New Roman"/>
          <w:kern w:val="2"/>
          <w14:ligatures w14:val="standardContextual"/>
        </w:rPr>
      </w:pPr>
    </w:p>
    <w:p w14:paraId="19389B98" w14:textId="05274359" w:rsidR="00C67F40" w:rsidRPr="00C67F40" w:rsidRDefault="00B55C67" w:rsidP="00C67F40">
      <w:pPr>
        <w:spacing w:after="0" w:line="278" w:lineRule="auto"/>
        <w:jc w:val="center"/>
        <w:rPr>
          <w:rFonts w:ascii="Aptos" w:eastAsia="Aptos" w:hAnsi="Aptos" w:cs="Times New Roman"/>
          <w:b/>
          <w:bCs/>
          <w:kern w:val="2"/>
          <w14:ligatures w14:val="standardContextual"/>
        </w:rPr>
      </w:pPr>
      <w:r>
        <w:rPr>
          <w:rFonts w:ascii="ZWAdobeF" w:eastAsia="Aptos" w:hAnsi="ZWAdobeF" w:cs="ZWAdobeF"/>
          <w:bCs/>
          <w:kern w:val="2"/>
          <w:sz w:val="2"/>
          <w:szCs w:val="2"/>
          <w14:ligatures w14:val="standardContextual"/>
        </w:rPr>
        <w:t>451B</w:t>
      </w:r>
      <w:r w:rsidR="00C67F40" w:rsidRPr="00C67F40">
        <w:rPr>
          <w:rFonts w:ascii="Aptos" w:eastAsia="Aptos" w:hAnsi="Aptos" w:cs="Times New Roman"/>
          <w:b/>
          <w:bCs/>
          <w:kern w:val="2"/>
          <w14:ligatures w14:val="standardContextual"/>
        </w:rPr>
        <w:t>Practices that hinder timely delivery</w:t>
      </w:r>
    </w:p>
    <w:p w14:paraId="2BB5D0E4" w14:textId="768C7311" w:rsidR="00C67F40" w:rsidRPr="00C67F40" w:rsidRDefault="00B55C67" w:rsidP="00C67F40">
      <w:pPr>
        <w:spacing w:line="278" w:lineRule="auto"/>
        <w:jc w:val="center"/>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452</w:t>
      </w:r>
      <w:proofErr w:type="gramStart"/>
      <w:r>
        <w:rPr>
          <w:rFonts w:ascii="ZWAdobeF" w:eastAsia="Aptos" w:hAnsi="ZWAdobeF" w:cs="ZWAdobeF"/>
          <w:kern w:val="2"/>
          <w:sz w:val="2"/>
          <w:szCs w:val="2"/>
          <w14:ligatures w14:val="standardContextual"/>
        </w:rPr>
        <w:t>B</w:t>
      </w:r>
      <w:r w:rsidR="00C67F40" w:rsidRPr="00C67F40">
        <w:rPr>
          <w:rFonts w:ascii="Aptos" w:eastAsia="Aptos" w:hAnsi="Aptos" w:cs="Times New Roman"/>
          <w:kern w:val="2"/>
          <w14:ligatures w14:val="standardContextual"/>
        </w:rPr>
        <w:t>[</w:t>
      </w:r>
      <w:proofErr w:type="gramEnd"/>
      <w:r w:rsidR="00C67F40" w:rsidRPr="00C67F40">
        <w:rPr>
          <w:rFonts w:ascii="Aptos" w:eastAsia="Aptos" w:hAnsi="Aptos" w:cs="Times New Roman"/>
          <w:kern w:val="2"/>
          <w14:ligatures w14:val="standardContextual"/>
        </w:rPr>
        <w:t xml:space="preserve">Case Study Q2a; </w:t>
      </w:r>
      <w:r w:rsidR="00C67F40" w:rsidRPr="00C67F40">
        <w:rPr>
          <w:rFonts w:ascii="Aptos" w:eastAsia="Aptos" w:hAnsi="Aptos" w:cs="Times New Roman"/>
          <w:i/>
          <w:iCs/>
          <w:kern w:val="2"/>
          <w14:ligatures w14:val="standardContextual"/>
        </w:rPr>
        <w:t>present to 1a, 1b, 1c, 1d, 1e, 1f, 2a yes</w:t>
      </w:r>
      <w:r w:rsidR="00C67F40" w:rsidRPr="00C67F40">
        <w:rPr>
          <w:rFonts w:ascii="Aptos" w:eastAsia="Aptos" w:hAnsi="Aptos" w:cs="Times New Roman"/>
          <w:kern w:val="2"/>
          <w14:ligatures w14:val="standardContextual"/>
        </w:rPr>
        <w:t>]</w:t>
      </w:r>
    </w:p>
    <w:p w14:paraId="791B76EB" w14:textId="1A0CC273"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453B</w:t>
      </w:r>
      <w:r w:rsidR="00C67F40" w:rsidRPr="00C67F40">
        <w:rPr>
          <w:rFonts w:ascii="Aptos" w:eastAsia="Aptos" w:hAnsi="Aptos" w:cs="Times New Roman"/>
          <w:kern w:val="2"/>
          <w14:ligatures w14:val="standardContextual"/>
        </w:rPr>
        <w:t xml:space="preserve">Which of the following </w:t>
      </w:r>
      <w:r w:rsidR="00C67F40" w:rsidRPr="00C67F40">
        <w:rPr>
          <w:rFonts w:ascii="Aptos" w:eastAsia="Aptos" w:hAnsi="Aptos" w:cs="Times New Roman"/>
          <w:i/>
          <w:iCs/>
          <w:kern w:val="2"/>
          <w14:ligatures w14:val="standardContextual"/>
        </w:rPr>
        <w:t>factors related to procurement</w:t>
      </w:r>
      <w:r w:rsidR="00C67F40" w:rsidRPr="00C67F40">
        <w:rPr>
          <w:rFonts w:ascii="Aptos" w:eastAsia="Aptos" w:hAnsi="Aptos" w:cs="Times New Roman"/>
          <w:kern w:val="2"/>
          <w14:ligatures w14:val="standardContextual"/>
        </w:rPr>
        <w:t xml:space="preserve"> hinder the timely delivery of accessible formats? Please select all that apply.</w:t>
      </w:r>
    </w:p>
    <w:p w14:paraId="2DAE0923" w14:textId="1F444B62"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bookmarkStart w:id="113" w:name="_Hlk201826424"/>
      <w:r>
        <w:rPr>
          <w:rFonts w:ascii="ZWAdobeF" w:eastAsia="Aptos" w:hAnsi="ZWAdobeF" w:cs="ZWAdobeF"/>
          <w:kern w:val="2"/>
          <w:sz w:val="2"/>
          <w:szCs w:val="2"/>
          <w14:ligatures w14:val="standardContextual"/>
        </w:rPr>
        <w:t>454B</w:t>
      </w:r>
      <w:r w:rsidR="00C67F40" w:rsidRPr="00C67F40">
        <w:rPr>
          <w:rFonts w:ascii="Aptos" w:eastAsia="Aptos" w:hAnsi="Aptos" w:cs="Times New Roman"/>
          <w:kern w:val="2"/>
          <w14:ligatures w14:val="standardContextual"/>
        </w:rPr>
        <w:t>NIMAS requirement is not consistently included in procurement contracts for educational materials.</w:t>
      </w:r>
    </w:p>
    <w:p w14:paraId="08A14F9F" w14:textId="77AC123B"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455B</w:t>
      </w:r>
      <w:r w:rsidR="00C67F40" w:rsidRPr="00C67F40">
        <w:rPr>
          <w:rFonts w:ascii="Aptos" w:eastAsia="Aptos" w:hAnsi="Aptos" w:cs="Times New Roman"/>
          <w:kern w:val="2"/>
          <w14:ligatures w14:val="standardContextual"/>
        </w:rPr>
        <w:t>The SEA/LEA staff who coordinate procurement contracts for educational materials are not aware that the NIMAS language should be included in procurement contracts.</w:t>
      </w:r>
    </w:p>
    <w:p w14:paraId="2F783A50" w14:textId="15083A2A"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456B</w:t>
      </w:r>
      <w:r w:rsidR="00C67F40" w:rsidRPr="00C67F40">
        <w:rPr>
          <w:rFonts w:ascii="Aptos" w:eastAsia="Aptos" w:hAnsi="Aptos" w:cs="Times New Roman"/>
          <w:kern w:val="2"/>
          <w14:ligatures w14:val="standardContextual"/>
        </w:rPr>
        <w:t>Turnover of SEA/LEA staff who are responsible for procurement contracts for educational materials (without knowledge transfer to new staff).</w:t>
      </w:r>
    </w:p>
    <w:p w14:paraId="3261E7B4" w14:textId="6F9A7F08"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457B</w:t>
      </w:r>
      <w:r w:rsidR="00C67F40" w:rsidRPr="00C67F40">
        <w:rPr>
          <w:rFonts w:ascii="Aptos" w:eastAsia="Aptos" w:hAnsi="Aptos" w:cs="Times New Roman"/>
          <w:kern w:val="2"/>
          <w14:ligatures w14:val="standardContextual"/>
        </w:rPr>
        <w:t>Materials are purchased at the school level and do not include the NIMAS requirement in procurement contracts.</w:t>
      </w:r>
    </w:p>
    <w:p w14:paraId="7102B9A8" w14:textId="56DCCC67"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458B</w:t>
      </w:r>
      <w:r w:rsidR="00C67F40" w:rsidRPr="00C67F40">
        <w:rPr>
          <w:rFonts w:ascii="Aptos" w:eastAsia="Aptos" w:hAnsi="Aptos" w:cs="Times New Roman"/>
          <w:kern w:val="2"/>
          <w14:ligatures w14:val="standardContextual"/>
        </w:rPr>
        <w:t>Deadlines for NIMAS file production are not included in procurement contracts.</w:t>
      </w:r>
    </w:p>
    <w:p w14:paraId="109956FF" w14:textId="5C30CAB1"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459B</w:t>
      </w:r>
      <w:r w:rsidR="00C67F40" w:rsidRPr="00C67F40">
        <w:rPr>
          <w:rFonts w:ascii="Aptos" w:eastAsia="Aptos" w:hAnsi="Aptos" w:cs="Times New Roman"/>
          <w:kern w:val="2"/>
          <w14:ligatures w14:val="standardContextual"/>
        </w:rPr>
        <w:t>Don’t Know.</w:t>
      </w:r>
    </w:p>
    <w:p w14:paraId="65AB3CF1" w14:textId="06393848"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460B</w:t>
      </w:r>
      <w:r w:rsidR="00C67F40" w:rsidRPr="00C67F40">
        <w:rPr>
          <w:rFonts w:ascii="Aptos" w:eastAsia="Aptos" w:hAnsi="Aptos" w:cs="Times New Roman"/>
          <w:kern w:val="2"/>
          <w14:ligatures w14:val="standardContextual"/>
        </w:rPr>
        <w:t>Other: ______</w:t>
      </w:r>
    </w:p>
    <w:p w14:paraId="754DCE40" w14:textId="77334DB6"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lastRenderedPageBreak/>
        <w:t>461</w:t>
      </w:r>
      <w:proofErr w:type="gramStart"/>
      <w:r>
        <w:rPr>
          <w:rFonts w:ascii="ZWAdobeF" w:eastAsia="Aptos" w:hAnsi="ZWAdobeF" w:cs="ZWAdobeF"/>
          <w:kern w:val="2"/>
          <w:sz w:val="2"/>
          <w:szCs w:val="2"/>
          <w14:ligatures w14:val="standardContextual"/>
        </w:rPr>
        <w:t>B</w:t>
      </w:r>
      <w:r w:rsidR="00C67F40" w:rsidRPr="00C67F40">
        <w:rPr>
          <w:rFonts w:ascii="Aptos" w:eastAsia="Aptos" w:hAnsi="Aptos" w:cs="Times New Roman"/>
          <w:kern w:val="2"/>
          <w14:ligatures w14:val="standardContextual"/>
        </w:rPr>
        <w:t>(</w:t>
      </w:r>
      <w:proofErr w:type="gramEnd"/>
      <w:r w:rsidR="00C67F40" w:rsidRPr="00C67F40">
        <w:rPr>
          <w:rFonts w:ascii="Aptos" w:eastAsia="Aptos" w:hAnsi="Aptos" w:cs="Times New Roman"/>
          <w:kern w:val="2"/>
          <w14:ligatures w14:val="standardContextual"/>
        </w:rPr>
        <w:t xml:space="preserve">2a, NIMAC users only) Which of the following </w:t>
      </w:r>
      <w:r w:rsidR="00C67F40" w:rsidRPr="00C67F40">
        <w:rPr>
          <w:rFonts w:ascii="Aptos" w:eastAsia="Aptos" w:hAnsi="Aptos" w:cs="Times New Roman"/>
          <w:i/>
          <w:iCs/>
          <w:kern w:val="2"/>
          <w14:ligatures w14:val="standardContextual"/>
        </w:rPr>
        <w:t>factors related to the NIMAC</w:t>
      </w:r>
      <w:r w:rsidR="00C67F40" w:rsidRPr="00C67F40">
        <w:rPr>
          <w:rFonts w:ascii="Aptos" w:eastAsia="Aptos" w:hAnsi="Aptos" w:cs="Times New Roman"/>
          <w:kern w:val="2"/>
          <w14:ligatures w14:val="standardContextual"/>
        </w:rPr>
        <w:t xml:space="preserve"> hinder the timely delivery of accessible formats? Please select all that apply.</w:t>
      </w:r>
    </w:p>
    <w:p w14:paraId="44EE723F" w14:textId="6A2A6360"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462B</w:t>
      </w:r>
      <w:r w:rsidR="00C67F40" w:rsidRPr="00C67F40">
        <w:rPr>
          <w:rFonts w:ascii="Aptos" w:eastAsia="Aptos" w:hAnsi="Aptos" w:cs="Times New Roman"/>
          <w:kern w:val="2"/>
          <w14:ligatures w14:val="standardContextual"/>
        </w:rPr>
        <w:t>The NIMAC does not generally receive files for Open Educational Resources (OER).</w:t>
      </w:r>
    </w:p>
    <w:p w14:paraId="0AA1C49D" w14:textId="261E0ECC"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463B</w:t>
      </w:r>
      <w:r w:rsidR="00C67F40" w:rsidRPr="00C67F40">
        <w:rPr>
          <w:rFonts w:ascii="Aptos" w:eastAsia="Aptos" w:hAnsi="Aptos" w:cs="Times New Roman"/>
          <w:kern w:val="2"/>
          <w14:ligatures w14:val="standardContextual"/>
        </w:rPr>
        <w:t>Teacher- or district-created curricula are not provided to the NIMAC.</w:t>
      </w:r>
    </w:p>
    <w:p w14:paraId="7B0079D2" w14:textId="5A87C85A"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464B</w:t>
      </w:r>
      <w:r w:rsidR="00C67F40" w:rsidRPr="00C67F40">
        <w:rPr>
          <w:rFonts w:ascii="Aptos" w:eastAsia="Aptos" w:hAnsi="Aptos" w:cs="Times New Roman"/>
          <w:kern w:val="2"/>
          <w14:ligatures w14:val="standardContextual"/>
        </w:rPr>
        <w:t>Differences between printings of the textbook in the NIMAC and the textbook being used in the classroom (same ISBN).</w:t>
      </w:r>
    </w:p>
    <w:p w14:paraId="5C4E75BB" w14:textId="42192AB2"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465B</w:t>
      </w:r>
      <w:r w:rsidR="00C67F40" w:rsidRPr="00C67F40">
        <w:rPr>
          <w:rFonts w:ascii="Aptos" w:eastAsia="Aptos" w:hAnsi="Aptos" w:cs="Times New Roman"/>
          <w:kern w:val="2"/>
          <w14:ligatures w14:val="standardContextual"/>
        </w:rPr>
        <w:t>Lack of understanding or awareness of the NIMAC.</w:t>
      </w:r>
    </w:p>
    <w:p w14:paraId="49077E4B" w14:textId="4499247A"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466B</w:t>
      </w:r>
      <w:r w:rsidR="00C67F40" w:rsidRPr="00C67F40">
        <w:rPr>
          <w:rFonts w:ascii="Aptos" w:eastAsia="Aptos" w:hAnsi="Aptos" w:cs="Times New Roman"/>
          <w:kern w:val="2"/>
          <w14:ligatures w14:val="standardContextual"/>
        </w:rPr>
        <w:t>Delays in getting files assigned by Authorized User.</w:t>
      </w:r>
    </w:p>
    <w:p w14:paraId="3F84EAA6" w14:textId="46BFBBEC"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467B</w:t>
      </w:r>
      <w:r w:rsidR="00C67F40" w:rsidRPr="00C67F40">
        <w:rPr>
          <w:rFonts w:ascii="Aptos" w:eastAsia="Aptos" w:hAnsi="Aptos" w:cs="Times New Roman"/>
          <w:kern w:val="2"/>
          <w14:ligatures w14:val="standardContextual"/>
        </w:rPr>
        <w:t>Misunderstandings about the NIMAC and NIMAS files (e.g., the misconceptions that the NIMAC system contains large print or braille that can be readily accessed or that NIMAS is a student-ready accessible format).</w:t>
      </w:r>
    </w:p>
    <w:p w14:paraId="692AAF41" w14:textId="6318BAB6"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468B</w:t>
      </w:r>
      <w:r w:rsidR="00C67F40" w:rsidRPr="00C67F40">
        <w:rPr>
          <w:rFonts w:ascii="Aptos" w:eastAsia="Aptos" w:hAnsi="Aptos" w:cs="Times New Roman"/>
          <w:kern w:val="2"/>
          <w14:ligatures w14:val="standardContextual"/>
        </w:rPr>
        <w:t>Difficulties in working with NIMAS files (e.g., lack of conversion software).</w:t>
      </w:r>
    </w:p>
    <w:p w14:paraId="25923F5C" w14:textId="63237A53"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469B</w:t>
      </w:r>
      <w:r w:rsidR="00C67F40" w:rsidRPr="00C67F40">
        <w:rPr>
          <w:rFonts w:ascii="Aptos" w:eastAsia="Aptos" w:hAnsi="Aptos" w:cs="Times New Roman"/>
          <w:kern w:val="2"/>
          <w14:ligatures w14:val="standardContextual"/>
        </w:rPr>
        <w:t>Don’t Know.</w:t>
      </w:r>
    </w:p>
    <w:p w14:paraId="769571BA" w14:textId="1136172B"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470B</w:t>
      </w:r>
      <w:r w:rsidR="00C67F40" w:rsidRPr="00C67F40">
        <w:rPr>
          <w:rFonts w:ascii="Aptos" w:eastAsia="Aptos" w:hAnsi="Aptos" w:cs="Times New Roman"/>
          <w:kern w:val="2"/>
          <w14:ligatures w14:val="standardContextual"/>
        </w:rPr>
        <w:t>Other: ______</w:t>
      </w:r>
    </w:p>
    <w:p w14:paraId="5E38ED72" w14:textId="6399754E"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471B</w:t>
      </w:r>
      <w:r w:rsidR="00C67F40" w:rsidRPr="00C67F40">
        <w:rPr>
          <w:rFonts w:ascii="Aptos" w:eastAsia="Aptos" w:hAnsi="Aptos" w:cs="Times New Roman"/>
          <w:kern w:val="2"/>
          <w14:ligatures w14:val="standardContextual"/>
        </w:rPr>
        <w:t xml:space="preserve">Which of the following </w:t>
      </w:r>
      <w:r w:rsidR="00C67F40" w:rsidRPr="00C67F40">
        <w:rPr>
          <w:rFonts w:ascii="Aptos" w:eastAsia="Aptos" w:hAnsi="Aptos" w:cs="Times New Roman"/>
          <w:i/>
          <w:iCs/>
          <w:kern w:val="2"/>
          <w14:ligatures w14:val="standardContextual"/>
        </w:rPr>
        <w:t>factors related to production</w:t>
      </w:r>
      <w:r w:rsidR="00C67F40" w:rsidRPr="00C67F40">
        <w:rPr>
          <w:rFonts w:ascii="Aptos" w:eastAsia="Aptos" w:hAnsi="Aptos" w:cs="Times New Roman"/>
          <w:kern w:val="2"/>
          <w14:ligatures w14:val="standardContextual"/>
        </w:rPr>
        <w:t xml:space="preserve"> hinder the timely delivery of accessible formats? Please select all that apply.</w:t>
      </w:r>
    </w:p>
    <w:p w14:paraId="48FA1870" w14:textId="7C6FAEFF"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472B</w:t>
      </w:r>
      <w:r w:rsidR="00C67F40" w:rsidRPr="00C67F40">
        <w:rPr>
          <w:rFonts w:ascii="Aptos" w:eastAsia="Aptos" w:hAnsi="Aptos" w:cs="Times New Roman"/>
          <w:kern w:val="2"/>
          <w14:ligatures w14:val="standardContextual"/>
        </w:rPr>
        <w:t>Limited capability of AMPs (e.g., lack of staff) to produce some accessible formats (e.g., braille for STEM materials).</w:t>
      </w:r>
    </w:p>
    <w:p w14:paraId="3D885B5A" w14:textId="2802547B"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473B</w:t>
      </w:r>
      <w:r w:rsidR="00C67F40" w:rsidRPr="00C67F40">
        <w:rPr>
          <w:rFonts w:ascii="Aptos" w:eastAsia="Aptos" w:hAnsi="Aptos" w:cs="Times New Roman"/>
          <w:kern w:val="2"/>
          <w14:ligatures w14:val="standardContextual"/>
        </w:rPr>
        <w:t>Staffing challenges (e.g., hiring and training new transcribers, parental leave) that impact the capability of AMPs to produce accessible formats.</w:t>
      </w:r>
    </w:p>
    <w:p w14:paraId="33255D4B" w14:textId="2240B8E8"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474B</w:t>
      </w:r>
      <w:r w:rsidR="00C67F40" w:rsidRPr="00C67F40">
        <w:rPr>
          <w:rFonts w:ascii="Aptos" w:eastAsia="Aptos" w:hAnsi="Aptos" w:cs="Times New Roman"/>
          <w:kern w:val="2"/>
          <w14:ligatures w14:val="standardContextual"/>
        </w:rPr>
        <w:t>Delays associated with obtaining a physical copy of the instructional material before the accessible format can be created.</w:t>
      </w:r>
    </w:p>
    <w:p w14:paraId="3B78D8AB" w14:textId="09732AE1"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475B</w:t>
      </w:r>
      <w:r w:rsidR="00C67F40" w:rsidRPr="00C67F40">
        <w:rPr>
          <w:rFonts w:ascii="Aptos" w:eastAsia="Aptos" w:hAnsi="Aptos" w:cs="Times New Roman"/>
          <w:kern w:val="2"/>
          <w14:ligatures w14:val="standardContextual"/>
        </w:rPr>
        <w:t>Timelines for instructional materials adoptions (not enough lead time to produce accessible formats).</w:t>
      </w:r>
    </w:p>
    <w:p w14:paraId="261CEA78" w14:textId="0633B9FF"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476B</w:t>
      </w:r>
      <w:r w:rsidR="00C67F40" w:rsidRPr="00C67F40">
        <w:rPr>
          <w:rFonts w:ascii="Aptos" w:eastAsia="Aptos" w:hAnsi="Aptos" w:cs="Times New Roman"/>
          <w:kern w:val="2"/>
          <w14:ligatures w14:val="standardContextual"/>
        </w:rPr>
        <w:t>Lack of communication between those making curriculum decisions (e.g., districts) and publishers.</w:t>
      </w:r>
    </w:p>
    <w:p w14:paraId="3E5BC8F9" w14:textId="4C9188A3"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477B</w:t>
      </w:r>
      <w:r w:rsidR="00C67F40" w:rsidRPr="00C67F40">
        <w:rPr>
          <w:rFonts w:ascii="Aptos" w:eastAsia="Aptos" w:hAnsi="Aptos" w:cs="Times New Roman"/>
          <w:kern w:val="2"/>
          <w14:ligatures w14:val="standardContextual"/>
        </w:rPr>
        <w:t>Accessible format requests that do not include sufficient information, which lead to delays as the required information is sought from teachers/schools.</w:t>
      </w:r>
    </w:p>
    <w:p w14:paraId="6239C7F4" w14:textId="3AF46348"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478B</w:t>
      </w:r>
      <w:r w:rsidR="00C67F40" w:rsidRPr="00C67F40">
        <w:rPr>
          <w:rFonts w:ascii="Aptos" w:eastAsia="Aptos" w:hAnsi="Aptos" w:cs="Times New Roman"/>
          <w:kern w:val="2"/>
          <w14:ligatures w14:val="standardContextual"/>
        </w:rPr>
        <w:t>Don’t Know.</w:t>
      </w:r>
    </w:p>
    <w:p w14:paraId="5DB8D120" w14:textId="2B461730"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479B</w:t>
      </w:r>
      <w:r w:rsidR="00C67F40" w:rsidRPr="00C67F40">
        <w:rPr>
          <w:rFonts w:ascii="Aptos" w:eastAsia="Aptos" w:hAnsi="Aptos" w:cs="Times New Roman"/>
          <w:kern w:val="2"/>
          <w14:ligatures w14:val="standardContextual"/>
        </w:rPr>
        <w:t>Other: ______</w:t>
      </w:r>
    </w:p>
    <w:p w14:paraId="163BB1A3" w14:textId="6AF099B8"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480B</w:t>
      </w:r>
      <w:r w:rsidR="00C67F40" w:rsidRPr="00C67F40">
        <w:rPr>
          <w:rFonts w:ascii="Aptos" w:eastAsia="Aptos" w:hAnsi="Aptos" w:cs="Times New Roman"/>
          <w:kern w:val="2"/>
          <w14:ligatures w14:val="standardContextual"/>
        </w:rPr>
        <w:t xml:space="preserve">Which of the following </w:t>
      </w:r>
      <w:r w:rsidR="00C67F40" w:rsidRPr="00C67F40">
        <w:rPr>
          <w:rFonts w:ascii="Aptos" w:eastAsia="Aptos" w:hAnsi="Aptos" w:cs="Times New Roman"/>
          <w:i/>
          <w:iCs/>
          <w:kern w:val="2"/>
          <w14:ligatures w14:val="standardContextual"/>
        </w:rPr>
        <w:t xml:space="preserve">factors related to state, regional, district, or school-level practices </w:t>
      </w:r>
      <w:r w:rsidR="00C67F40" w:rsidRPr="00C67F40">
        <w:rPr>
          <w:rFonts w:ascii="Aptos" w:eastAsia="Aptos" w:hAnsi="Aptos" w:cs="Times New Roman"/>
          <w:kern w:val="2"/>
          <w14:ligatures w14:val="standardContextual"/>
        </w:rPr>
        <w:t>hinder the timely delivery of accessible formats? Please select all that apply.</w:t>
      </w:r>
    </w:p>
    <w:p w14:paraId="0B1A7B1B" w14:textId="0E3D9101"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481B</w:t>
      </w:r>
      <w:r w:rsidR="00C67F40" w:rsidRPr="00C67F40">
        <w:rPr>
          <w:rFonts w:ascii="Aptos" w:eastAsia="Aptos" w:hAnsi="Aptos" w:cs="Times New Roman"/>
          <w:kern w:val="2"/>
          <w14:ligatures w14:val="standardContextual"/>
        </w:rPr>
        <w:t>District-level or itinerant teachers (e.g., TVIs) who are unlikely to learn about district curriculum decisions by the time requests for accessible formats need to be submitted.</w:t>
      </w:r>
    </w:p>
    <w:p w14:paraId="11F179D4" w14:textId="27EB703D"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482B</w:t>
      </w:r>
      <w:r w:rsidR="00C67F40" w:rsidRPr="00C67F40">
        <w:rPr>
          <w:rFonts w:ascii="Aptos" w:eastAsia="Aptos" w:hAnsi="Aptos" w:cs="Times New Roman"/>
          <w:kern w:val="2"/>
          <w14:ligatures w14:val="standardContextual"/>
        </w:rPr>
        <w:t>Lack of assistive technology (AT) that allows access to accessible formats.</w:t>
      </w:r>
    </w:p>
    <w:p w14:paraId="77DB6446" w14:textId="0AF65A1B"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bookmarkStart w:id="114" w:name="_Hlk191617860"/>
      <w:r>
        <w:rPr>
          <w:rFonts w:ascii="ZWAdobeF" w:eastAsia="Aptos" w:hAnsi="ZWAdobeF" w:cs="ZWAdobeF"/>
          <w:kern w:val="2"/>
          <w:sz w:val="2"/>
          <w:szCs w:val="2"/>
          <w14:ligatures w14:val="standardContextual"/>
        </w:rPr>
        <w:t>483B</w:t>
      </w:r>
      <w:r w:rsidR="00C67F40" w:rsidRPr="00C67F40">
        <w:rPr>
          <w:rFonts w:ascii="Aptos" w:eastAsia="Aptos" w:hAnsi="Aptos" w:cs="Times New Roman"/>
          <w:kern w:val="2"/>
          <w14:ligatures w14:val="standardContextual"/>
        </w:rPr>
        <w:t>Students change schools or districts which negatively impacts the request for, or delivery of, accessible formats</w:t>
      </w:r>
      <w:bookmarkEnd w:id="114"/>
      <w:r w:rsidR="00C67F40" w:rsidRPr="00C67F40">
        <w:rPr>
          <w:rFonts w:ascii="Aptos" w:eastAsia="Aptos" w:hAnsi="Aptos" w:cs="Times New Roman"/>
          <w:kern w:val="2"/>
          <w14:ligatures w14:val="standardContextual"/>
        </w:rPr>
        <w:t>.</w:t>
      </w:r>
    </w:p>
    <w:p w14:paraId="36A2BC5A" w14:textId="2EA4FFCE"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484B</w:t>
      </w:r>
      <w:r w:rsidR="00C67F40" w:rsidRPr="00C67F40">
        <w:rPr>
          <w:rFonts w:ascii="Aptos" w:eastAsia="Aptos" w:hAnsi="Aptos" w:cs="Times New Roman"/>
          <w:kern w:val="2"/>
          <w14:ligatures w14:val="standardContextual"/>
        </w:rPr>
        <w:t>Curriculum changes at the state or district level that are not communicated to schools/teachers by the time that requests for accessible formats need to be submitted.</w:t>
      </w:r>
    </w:p>
    <w:p w14:paraId="1C20AA54" w14:textId="22E4628A"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lastRenderedPageBreak/>
        <w:t>485B</w:t>
      </w:r>
      <w:r w:rsidR="00C67F40" w:rsidRPr="00C67F40">
        <w:rPr>
          <w:rFonts w:ascii="Aptos" w:eastAsia="Aptos" w:hAnsi="Aptos" w:cs="Times New Roman"/>
          <w:kern w:val="2"/>
          <w14:ligatures w14:val="standardContextual"/>
        </w:rPr>
        <w:t>LEAs and schools need to wait for enrollment data before finalizing class offerings, which results in delayed requests for accessible formats.</w:t>
      </w:r>
    </w:p>
    <w:p w14:paraId="2C3325FE" w14:textId="7397D572"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486B</w:t>
      </w:r>
      <w:r w:rsidR="00C67F40" w:rsidRPr="00C67F40">
        <w:rPr>
          <w:rFonts w:ascii="Aptos" w:eastAsia="Aptos" w:hAnsi="Aptos" w:cs="Times New Roman"/>
          <w:kern w:val="2"/>
          <w14:ligatures w14:val="standardContextual"/>
        </w:rPr>
        <w:t>High teacher turnover which negatively impacts the request for, or delivery of, accessible formats (including unexpected curriculum changes when a new teacher decides to use a different curriculum).</w:t>
      </w:r>
      <w:bookmarkStart w:id="115" w:name="_Hlk191618000"/>
    </w:p>
    <w:p w14:paraId="41455412" w14:textId="761DE2EF"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487B</w:t>
      </w:r>
      <w:r w:rsidR="00C67F40" w:rsidRPr="00C67F40">
        <w:rPr>
          <w:rFonts w:ascii="Aptos" w:eastAsia="Aptos" w:hAnsi="Aptos" w:cs="Times New Roman"/>
          <w:kern w:val="2"/>
          <w14:ligatures w14:val="standardContextual"/>
        </w:rPr>
        <w:t xml:space="preserve">Lack of funding for the production of accessible formats. </w:t>
      </w:r>
    </w:p>
    <w:p w14:paraId="1BB7055E" w14:textId="5FCDD2D3"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488</w:t>
      </w:r>
      <w:proofErr w:type="gramStart"/>
      <w:r>
        <w:rPr>
          <w:rFonts w:ascii="ZWAdobeF" w:eastAsia="Aptos" w:hAnsi="ZWAdobeF" w:cs="ZWAdobeF"/>
          <w:kern w:val="2"/>
          <w:sz w:val="2"/>
          <w:szCs w:val="2"/>
          <w14:ligatures w14:val="standardContextual"/>
        </w:rPr>
        <w:t>B</w:t>
      </w:r>
      <w:r w:rsidR="00C67F40" w:rsidRPr="00C67F40">
        <w:rPr>
          <w:rFonts w:ascii="Aptos" w:eastAsia="Aptos" w:hAnsi="Aptos" w:cs="Times New Roman"/>
          <w:kern w:val="2"/>
          <w14:ligatures w14:val="standardContextual"/>
        </w:rPr>
        <w:t>“</w:t>
      </w:r>
      <w:proofErr w:type="gramEnd"/>
      <w:r w:rsidR="00C67F40" w:rsidRPr="00C67F40">
        <w:rPr>
          <w:rFonts w:ascii="Aptos" w:eastAsia="Aptos" w:hAnsi="Aptos" w:cs="Times New Roman"/>
          <w:kern w:val="2"/>
          <w14:ligatures w14:val="standardContextual"/>
        </w:rPr>
        <w:t>Open territory” policies (i.e., any curriculum may be used as long as it meets state standards) often lead to a large number of rotating requests for accessible formats for many different instructional materials.</w:t>
      </w:r>
    </w:p>
    <w:bookmarkEnd w:id="115"/>
    <w:p w14:paraId="57559DEC" w14:textId="5FE7EF22"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489B</w:t>
      </w:r>
      <w:r w:rsidR="00C67F40" w:rsidRPr="00C67F40">
        <w:rPr>
          <w:rFonts w:ascii="Aptos" w:eastAsia="Aptos" w:hAnsi="Aptos" w:cs="Times New Roman"/>
          <w:kern w:val="2"/>
          <w14:ligatures w14:val="standardContextual"/>
        </w:rPr>
        <w:t>Don’t Know.</w:t>
      </w:r>
    </w:p>
    <w:p w14:paraId="0A98381C" w14:textId="07A4FF6F"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490</w:t>
      </w:r>
      <w:proofErr w:type="gramStart"/>
      <w:r>
        <w:rPr>
          <w:rFonts w:ascii="ZWAdobeF" w:eastAsia="Aptos" w:hAnsi="ZWAdobeF" w:cs="ZWAdobeF"/>
          <w:kern w:val="2"/>
          <w:sz w:val="2"/>
          <w:szCs w:val="2"/>
          <w14:ligatures w14:val="standardContextual"/>
        </w:rPr>
        <w:t>B</w:t>
      </w:r>
      <w:r w:rsidR="00C67F40" w:rsidRPr="00C67F40">
        <w:rPr>
          <w:rFonts w:ascii="Aptos" w:eastAsia="Aptos" w:hAnsi="Aptos" w:cs="Times New Roman"/>
          <w:kern w:val="2"/>
          <w14:ligatures w14:val="standardContextual"/>
        </w:rPr>
        <w:t>Other: _</w:t>
      </w:r>
      <w:proofErr w:type="gramEnd"/>
      <w:r w:rsidR="00C67F40" w:rsidRPr="00C67F40">
        <w:rPr>
          <w:rFonts w:ascii="Aptos" w:eastAsia="Aptos" w:hAnsi="Aptos" w:cs="Times New Roman"/>
          <w:kern w:val="2"/>
          <w14:ligatures w14:val="standardContextual"/>
        </w:rPr>
        <w:t>_____</w:t>
      </w:r>
    </w:p>
    <w:bookmarkEnd w:id="113"/>
    <w:p w14:paraId="0CAD47B1" w14:textId="057F81D8"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491B</w:t>
      </w:r>
      <w:r w:rsidR="00C67F40" w:rsidRPr="00C67F40">
        <w:rPr>
          <w:rFonts w:ascii="Aptos" w:eastAsia="Aptos" w:hAnsi="Aptos" w:cs="Times New Roman"/>
          <w:kern w:val="2"/>
          <w14:ligatures w14:val="standardContextual"/>
        </w:rPr>
        <w:t>Please explain your selection(s) above and offer any additional comments about factors that hinder the timely delivery of accessible formats:</w:t>
      </w:r>
    </w:p>
    <w:p w14:paraId="6EA409A5" w14:textId="6D558941"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492B</w:t>
      </w:r>
      <w:r w:rsidR="00C67F40" w:rsidRPr="00C67F40">
        <w:rPr>
          <w:rFonts w:ascii="Aptos" w:eastAsia="Aptos" w:hAnsi="Aptos" w:cs="Times New Roman"/>
          <w:kern w:val="2"/>
          <w14:ligatures w14:val="standardContextual"/>
        </w:rPr>
        <w:t xml:space="preserve">Which of the following factors hinder the timely delivery of accessible formats for students in charter schools? </w:t>
      </w:r>
    </w:p>
    <w:p w14:paraId="2612EF8F" w14:textId="0CC49A06"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493B</w:t>
      </w:r>
      <w:r w:rsidR="00C67F40" w:rsidRPr="00C67F40">
        <w:rPr>
          <w:rFonts w:ascii="Aptos" w:eastAsia="Aptos" w:hAnsi="Aptos" w:cs="Times New Roman"/>
          <w:kern w:val="2"/>
          <w14:ligatures w14:val="standardContextual"/>
        </w:rPr>
        <w:t>Lack of familiarity with special education and the process for obtaining accessible formats among charter school administrators.</w:t>
      </w:r>
    </w:p>
    <w:p w14:paraId="3F7D1B17" w14:textId="5BCE19E7"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494B</w:t>
      </w:r>
      <w:r w:rsidR="00C67F40" w:rsidRPr="00C67F40">
        <w:rPr>
          <w:rFonts w:ascii="Aptos" w:eastAsia="Aptos" w:hAnsi="Aptos" w:cs="Times New Roman"/>
          <w:kern w:val="2"/>
          <w14:ligatures w14:val="standardContextual"/>
        </w:rPr>
        <w:t>Lack of resources needed to obtain accessible formats.</w:t>
      </w:r>
    </w:p>
    <w:p w14:paraId="3D85088A" w14:textId="142B4A4D"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495B</w:t>
      </w:r>
      <w:r w:rsidR="00C67F40" w:rsidRPr="00C67F40">
        <w:rPr>
          <w:rFonts w:ascii="Aptos" w:eastAsia="Aptos" w:hAnsi="Aptos" w:cs="Times New Roman"/>
          <w:kern w:val="2"/>
          <w14:ligatures w14:val="standardContextual"/>
        </w:rPr>
        <w:t>Lack of accountability systems to promote timely delivery of accessible formats.</w:t>
      </w:r>
    </w:p>
    <w:p w14:paraId="33A55F0A" w14:textId="45C791A5"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496B</w:t>
      </w:r>
      <w:r w:rsidR="00C67F40" w:rsidRPr="00C67F40">
        <w:rPr>
          <w:rFonts w:ascii="Aptos" w:eastAsia="Aptos" w:hAnsi="Aptos" w:cs="Times New Roman"/>
          <w:kern w:val="2"/>
          <w14:ligatures w14:val="standardContextual"/>
        </w:rPr>
        <w:t>Don’t Know.</w:t>
      </w:r>
    </w:p>
    <w:p w14:paraId="6A3BD25B" w14:textId="5616DA75"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497B</w:t>
      </w:r>
      <w:r w:rsidR="00C67F40" w:rsidRPr="00C67F40">
        <w:rPr>
          <w:rFonts w:ascii="Aptos" w:eastAsia="Aptos" w:hAnsi="Aptos" w:cs="Times New Roman"/>
          <w:kern w:val="2"/>
          <w14:ligatures w14:val="standardContextual"/>
        </w:rPr>
        <w:t>Other: _______</w:t>
      </w:r>
    </w:p>
    <w:p w14:paraId="1401D117" w14:textId="6EEEB15B"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498B</w:t>
      </w:r>
      <w:r w:rsidR="00C67F40" w:rsidRPr="00C67F40">
        <w:rPr>
          <w:rFonts w:ascii="Aptos" w:eastAsia="Aptos" w:hAnsi="Aptos" w:cs="Times New Roman"/>
          <w:kern w:val="2"/>
          <w14:ligatures w14:val="standardContextual"/>
        </w:rPr>
        <w:t>Please explain your selection(s) above and offer any additional comments about factors that hinder the timely delivery of accessible formats for students in charter schools:</w:t>
      </w:r>
      <w:r w:rsidR="00B15D22">
        <w:rPr>
          <w:rFonts w:ascii="Aptos" w:eastAsia="Aptos" w:hAnsi="Aptos" w:cs="Times New Roman"/>
          <w:kern w:val="2"/>
          <w14:ligatures w14:val="standardContextual"/>
        </w:rPr>
        <w:t xml:space="preserve"> </w:t>
      </w:r>
    </w:p>
    <w:p w14:paraId="24BF25A4" w14:textId="4944C963"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499</w:t>
      </w:r>
      <w:proofErr w:type="gramStart"/>
      <w:r>
        <w:rPr>
          <w:rFonts w:ascii="ZWAdobeF" w:eastAsia="Aptos" w:hAnsi="ZWAdobeF" w:cs="ZWAdobeF"/>
          <w:kern w:val="2"/>
          <w:sz w:val="2"/>
          <w:szCs w:val="2"/>
          <w14:ligatures w14:val="standardContextual"/>
        </w:rPr>
        <w:t>B</w:t>
      </w:r>
      <w:r w:rsidR="00C67F40" w:rsidRPr="00C67F40">
        <w:rPr>
          <w:rFonts w:ascii="Aptos" w:eastAsia="Aptos" w:hAnsi="Aptos" w:cs="Times New Roman"/>
          <w:kern w:val="2"/>
          <w14:ligatures w14:val="standardContextual"/>
        </w:rPr>
        <w:t>(</w:t>
      </w:r>
      <w:proofErr w:type="gramEnd"/>
      <w:r w:rsidR="00C67F40" w:rsidRPr="00C67F40">
        <w:rPr>
          <w:rFonts w:ascii="Aptos" w:eastAsia="Aptos" w:hAnsi="Aptos" w:cs="Times New Roman"/>
          <w:kern w:val="2"/>
          <w14:ligatures w14:val="standardContextual"/>
        </w:rPr>
        <w:t>1c, 1f, and 2a) To what extent do you agree with the following statement? The capacity of AMPs is generally sufficient to produce all accessible format production requests in a timely manner.</w:t>
      </w:r>
    </w:p>
    <w:p w14:paraId="5413C697" w14:textId="778876DC"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500B</w:t>
      </w:r>
      <w:r w:rsidR="00C67F40" w:rsidRPr="00C67F40">
        <w:rPr>
          <w:rFonts w:ascii="Aptos" w:eastAsia="Aptos" w:hAnsi="Aptos" w:cs="Times New Roman"/>
          <w:kern w:val="2"/>
          <w14:ligatures w14:val="standardContextual"/>
        </w:rPr>
        <w:t xml:space="preserve">Strongly Disagree </w:t>
      </w:r>
    </w:p>
    <w:p w14:paraId="15B669AC" w14:textId="4C230BCC"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501B</w:t>
      </w:r>
      <w:r w:rsidR="00C67F40" w:rsidRPr="00C67F40">
        <w:rPr>
          <w:rFonts w:ascii="Aptos" w:eastAsia="Aptos" w:hAnsi="Aptos" w:cs="Times New Roman"/>
          <w:kern w:val="2"/>
          <w14:ligatures w14:val="standardContextual"/>
        </w:rPr>
        <w:t>Disagree</w:t>
      </w:r>
    </w:p>
    <w:p w14:paraId="1200A4A8" w14:textId="4A9B8AA7"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502B</w:t>
      </w:r>
      <w:r w:rsidR="00C67F40" w:rsidRPr="00C67F40">
        <w:rPr>
          <w:rFonts w:ascii="Aptos" w:eastAsia="Aptos" w:hAnsi="Aptos" w:cs="Times New Roman"/>
          <w:kern w:val="2"/>
          <w14:ligatures w14:val="standardContextual"/>
        </w:rPr>
        <w:t>Agree</w:t>
      </w:r>
    </w:p>
    <w:p w14:paraId="3DB98B36" w14:textId="0A2F1093"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503B</w:t>
      </w:r>
      <w:r w:rsidR="00C67F40" w:rsidRPr="00C67F40">
        <w:rPr>
          <w:rFonts w:ascii="Aptos" w:eastAsia="Aptos" w:hAnsi="Aptos" w:cs="Times New Roman"/>
          <w:kern w:val="2"/>
          <w14:ligatures w14:val="standardContextual"/>
        </w:rPr>
        <w:t>Strongly Agree</w:t>
      </w:r>
    </w:p>
    <w:p w14:paraId="121E69B7" w14:textId="2FB692EB"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504B</w:t>
      </w:r>
      <w:r w:rsidR="00C67F40" w:rsidRPr="00C67F40">
        <w:rPr>
          <w:rFonts w:ascii="Aptos" w:eastAsia="Aptos" w:hAnsi="Aptos" w:cs="Times New Roman"/>
          <w:kern w:val="2"/>
          <w14:ligatures w14:val="standardContextual"/>
        </w:rPr>
        <w:t>Don’t Know</w:t>
      </w:r>
    </w:p>
    <w:p w14:paraId="33CA55D1" w14:textId="69605555" w:rsid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505</w:t>
      </w:r>
      <w:proofErr w:type="gramStart"/>
      <w:r>
        <w:rPr>
          <w:rFonts w:ascii="ZWAdobeF" w:eastAsia="Aptos" w:hAnsi="ZWAdobeF" w:cs="ZWAdobeF"/>
          <w:kern w:val="2"/>
          <w:sz w:val="2"/>
          <w:szCs w:val="2"/>
          <w14:ligatures w14:val="standardContextual"/>
        </w:rPr>
        <w:t>B</w:t>
      </w:r>
      <w:r w:rsidR="00C67F40" w:rsidRPr="00C67F40">
        <w:rPr>
          <w:rFonts w:ascii="Aptos" w:eastAsia="Aptos" w:hAnsi="Aptos" w:cs="Times New Roman"/>
          <w:kern w:val="2"/>
          <w14:ligatures w14:val="standardContextual"/>
        </w:rPr>
        <w:t>(</w:t>
      </w:r>
      <w:proofErr w:type="gramEnd"/>
      <w:r w:rsidR="00C67F40" w:rsidRPr="00C67F40">
        <w:rPr>
          <w:rFonts w:ascii="Aptos" w:eastAsia="Aptos" w:hAnsi="Aptos" w:cs="Times New Roman"/>
          <w:kern w:val="2"/>
          <w14:ligatures w14:val="standardContextual"/>
        </w:rPr>
        <w:t>1c, 1f, and 2a) Please describe your rating and the limitations of AMP production capabilities that you have noticed:</w:t>
      </w:r>
    </w:p>
    <w:p w14:paraId="1BDF5615" w14:textId="77777777" w:rsidR="00022200" w:rsidRPr="00C67F40" w:rsidRDefault="00022200" w:rsidP="00022200">
      <w:pPr>
        <w:spacing w:line="278" w:lineRule="auto"/>
        <w:ind w:left="360"/>
        <w:contextualSpacing/>
        <w:rPr>
          <w:rFonts w:ascii="Aptos" w:eastAsia="Aptos" w:hAnsi="Aptos" w:cs="Times New Roman"/>
          <w:kern w:val="2"/>
          <w14:ligatures w14:val="standardContextual"/>
        </w:rPr>
      </w:pPr>
    </w:p>
    <w:p w14:paraId="744AFF93" w14:textId="40932E34" w:rsidR="00C67F40" w:rsidRPr="00C67F40" w:rsidRDefault="00B55C67" w:rsidP="00C67F40">
      <w:pPr>
        <w:spacing w:after="0" w:line="278" w:lineRule="auto"/>
        <w:jc w:val="center"/>
        <w:rPr>
          <w:rFonts w:ascii="Aptos" w:eastAsia="Aptos" w:hAnsi="Aptos" w:cs="Times New Roman"/>
          <w:b/>
          <w:bCs/>
          <w:kern w:val="2"/>
          <w14:ligatures w14:val="standardContextual"/>
        </w:rPr>
      </w:pPr>
      <w:r>
        <w:rPr>
          <w:rFonts w:ascii="ZWAdobeF" w:eastAsia="Aptos" w:hAnsi="ZWAdobeF" w:cs="ZWAdobeF"/>
          <w:bCs/>
          <w:kern w:val="2"/>
          <w:sz w:val="2"/>
          <w:szCs w:val="2"/>
          <w14:ligatures w14:val="standardContextual"/>
        </w:rPr>
        <w:t>506B</w:t>
      </w:r>
      <w:r w:rsidR="00C67F40" w:rsidRPr="00C67F40">
        <w:rPr>
          <w:rFonts w:ascii="Aptos" w:eastAsia="Aptos" w:hAnsi="Aptos" w:cs="Times New Roman"/>
          <w:b/>
          <w:bCs/>
          <w:kern w:val="2"/>
          <w14:ligatures w14:val="standardContextual"/>
        </w:rPr>
        <w:t>NIMAS and procurement</w:t>
      </w:r>
    </w:p>
    <w:p w14:paraId="7C3BA3A2" w14:textId="422FD88B" w:rsidR="00C67F40" w:rsidRPr="00C67F40" w:rsidRDefault="00B55C67" w:rsidP="00C67F40">
      <w:pPr>
        <w:spacing w:line="278" w:lineRule="auto"/>
        <w:jc w:val="center"/>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507</w:t>
      </w:r>
      <w:proofErr w:type="gramStart"/>
      <w:r>
        <w:rPr>
          <w:rFonts w:ascii="ZWAdobeF" w:eastAsia="Aptos" w:hAnsi="ZWAdobeF" w:cs="ZWAdobeF"/>
          <w:kern w:val="2"/>
          <w:sz w:val="2"/>
          <w:szCs w:val="2"/>
          <w14:ligatures w14:val="standardContextual"/>
        </w:rPr>
        <w:t>B</w:t>
      </w:r>
      <w:r w:rsidR="00C67F40" w:rsidRPr="00C67F40">
        <w:rPr>
          <w:rFonts w:ascii="Aptos" w:eastAsia="Aptos" w:hAnsi="Aptos" w:cs="Times New Roman"/>
          <w:kern w:val="2"/>
          <w14:ligatures w14:val="standardContextual"/>
        </w:rPr>
        <w:t>[</w:t>
      </w:r>
      <w:proofErr w:type="gramEnd"/>
      <w:r w:rsidR="00C67F40" w:rsidRPr="00C67F40">
        <w:rPr>
          <w:rFonts w:ascii="Aptos" w:eastAsia="Aptos" w:hAnsi="Aptos" w:cs="Times New Roman"/>
          <w:kern w:val="2"/>
          <w14:ligatures w14:val="standardContextual"/>
        </w:rPr>
        <w:t xml:space="preserve">Case Study Q2b; </w:t>
      </w:r>
      <w:r w:rsidR="00C67F40" w:rsidRPr="00C67F40">
        <w:rPr>
          <w:rFonts w:ascii="Aptos" w:eastAsia="Aptos" w:hAnsi="Aptos" w:cs="Times New Roman"/>
          <w:i/>
          <w:iCs/>
          <w:kern w:val="2"/>
          <w14:ligatures w14:val="standardContextual"/>
        </w:rPr>
        <w:t>present to 1g Publishers</w:t>
      </w:r>
      <w:r w:rsidR="00C67F40" w:rsidRPr="00C67F40">
        <w:rPr>
          <w:rFonts w:ascii="Aptos" w:eastAsia="Aptos" w:hAnsi="Aptos" w:cs="Times New Roman"/>
          <w:kern w:val="2"/>
          <w14:ligatures w14:val="standardContextual"/>
        </w:rPr>
        <w:t>]</w:t>
      </w:r>
    </w:p>
    <w:p w14:paraId="17017A29" w14:textId="1C569F74"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508B</w:t>
      </w:r>
      <w:r w:rsidR="00C67F40" w:rsidRPr="00C67F40">
        <w:rPr>
          <w:rFonts w:ascii="Aptos" w:eastAsia="Aptos" w:hAnsi="Aptos" w:cs="Times New Roman"/>
          <w:kern w:val="2"/>
          <w14:ligatures w14:val="standardContextual"/>
        </w:rPr>
        <w:t xml:space="preserve">Have you been directly involved in the procurement contract process for educational materials within at least one SEA or LEA? </w:t>
      </w:r>
    </w:p>
    <w:p w14:paraId="2EB8378F" w14:textId="02FF6F1F"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509B</w:t>
      </w:r>
      <w:r w:rsidR="00C67F40" w:rsidRPr="00C67F40">
        <w:rPr>
          <w:rFonts w:ascii="Aptos" w:eastAsia="Aptos" w:hAnsi="Aptos" w:cs="Times New Roman"/>
          <w:kern w:val="2"/>
          <w14:ligatures w14:val="standardContextual"/>
        </w:rPr>
        <w:t>Yes</w:t>
      </w:r>
    </w:p>
    <w:p w14:paraId="6C38396B" w14:textId="6D4173AC"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510B</w:t>
      </w:r>
      <w:r w:rsidR="00C67F40" w:rsidRPr="00C67F40">
        <w:rPr>
          <w:rFonts w:ascii="Aptos" w:eastAsia="Aptos" w:hAnsi="Aptos" w:cs="Times New Roman"/>
          <w:kern w:val="2"/>
          <w14:ligatures w14:val="standardContextual"/>
        </w:rPr>
        <w:t>No</w:t>
      </w:r>
    </w:p>
    <w:p w14:paraId="43FFC138" w14:textId="1A3E90B0"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511B</w:t>
      </w:r>
      <w:r w:rsidR="00C67F40" w:rsidRPr="00C67F40">
        <w:rPr>
          <w:rFonts w:ascii="Aptos" w:eastAsia="Aptos" w:hAnsi="Aptos" w:cs="Times New Roman"/>
          <w:kern w:val="2"/>
          <w14:ligatures w14:val="standardContextual"/>
        </w:rPr>
        <w:t>Other: ___</w:t>
      </w:r>
    </w:p>
    <w:p w14:paraId="45A46B38" w14:textId="28AD450B"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lastRenderedPageBreak/>
        <w:t>512B</w:t>
      </w:r>
      <w:r w:rsidR="00C67F40" w:rsidRPr="00C67F40">
        <w:rPr>
          <w:rFonts w:ascii="Aptos" w:eastAsia="Aptos" w:hAnsi="Aptos" w:cs="Times New Roman"/>
          <w:kern w:val="2"/>
          <w14:ligatures w14:val="standardContextual"/>
        </w:rPr>
        <w:t xml:space="preserve">How often do LEAs and SEAs include the NIMAS requirement in procurement contracts for educational materials? </w:t>
      </w:r>
    </w:p>
    <w:p w14:paraId="4FB21012" w14:textId="4E4E30A7"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513B</w:t>
      </w:r>
      <w:r w:rsidR="00C67F40" w:rsidRPr="00C67F40">
        <w:rPr>
          <w:rFonts w:ascii="Aptos" w:eastAsia="Aptos" w:hAnsi="Aptos" w:cs="Times New Roman"/>
          <w:kern w:val="2"/>
          <w14:ligatures w14:val="standardContextual"/>
        </w:rPr>
        <w:t>Never or Rarely</w:t>
      </w:r>
    </w:p>
    <w:p w14:paraId="7D1F5C60" w14:textId="27143BFD"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514B</w:t>
      </w:r>
      <w:r w:rsidR="00C67F40" w:rsidRPr="00C67F40">
        <w:rPr>
          <w:rFonts w:ascii="Aptos" w:eastAsia="Aptos" w:hAnsi="Aptos" w:cs="Times New Roman"/>
          <w:kern w:val="2"/>
          <w14:ligatures w14:val="standardContextual"/>
        </w:rPr>
        <w:t>Sometimes</w:t>
      </w:r>
    </w:p>
    <w:p w14:paraId="3727C6E9" w14:textId="754D070C"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515B</w:t>
      </w:r>
      <w:r w:rsidR="00C67F40" w:rsidRPr="00C67F40">
        <w:rPr>
          <w:rFonts w:ascii="Aptos" w:eastAsia="Aptos" w:hAnsi="Aptos" w:cs="Times New Roman"/>
          <w:kern w:val="2"/>
          <w14:ligatures w14:val="standardContextual"/>
        </w:rPr>
        <w:t>Often</w:t>
      </w:r>
    </w:p>
    <w:p w14:paraId="0C06B230" w14:textId="717A20E6"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516B</w:t>
      </w:r>
      <w:r w:rsidR="00C67F40" w:rsidRPr="00C67F40">
        <w:rPr>
          <w:rFonts w:ascii="Aptos" w:eastAsia="Aptos" w:hAnsi="Aptos" w:cs="Times New Roman"/>
          <w:kern w:val="2"/>
          <w14:ligatures w14:val="standardContextual"/>
        </w:rPr>
        <w:t>Always</w:t>
      </w:r>
    </w:p>
    <w:p w14:paraId="77EE913C" w14:textId="095087E5"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517B</w:t>
      </w:r>
      <w:r w:rsidR="00C67F40" w:rsidRPr="00C67F40">
        <w:rPr>
          <w:rFonts w:ascii="Aptos" w:eastAsia="Aptos" w:hAnsi="Aptos" w:cs="Times New Roman"/>
          <w:kern w:val="2"/>
          <w14:ligatures w14:val="standardContextual"/>
        </w:rPr>
        <w:t>Don’t Know</w:t>
      </w:r>
    </w:p>
    <w:p w14:paraId="164694AC" w14:textId="34FDD7E7"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518B</w:t>
      </w:r>
      <w:r w:rsidR="00C67F40" w:rsidRPr="00C67F40">
        <w:rPr>
          <w:rFonts w:ascii="Aptos" w:eastAsia="Aptos" w:hAnsi="Aptos" w:cs="Times New Roman"/>
          <w:kern w:val="2"/>
          <w14:ligatures w14:val="standardContextual"/>
        </w:rPr>
        <w:t>Other: ___</w:t>
      </w:r>
    </w:p>
    <w:p w14:paraId="2CC2574A" w14:textId="692113B4"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519B</w:t>
      </w:r>
      <w:r w:rsidR="00C67F40" w:rsidRPr="00C67F40">
        <w:rPr>
          <w:rFonts w:ascii="Aptos" w:eastAsia="Aptos" w:hAnsi="Aptos" w:cs="Times New Roman"/>
          <w:kern w:val="2"/>
          <w14:ligatures w14:val="standardContextual"/>
        </w:rPr>
        <w:t xml:space="preserve">To what extent do you agree with the following statement? I understand which educational materials fall within the scope for NIMAS and which educational materials fall outside of the scope for NIMAS. </w:t>
      </w:r>
    </w:p>
    <w:p w14:paraId="369B6C54" w14:textId="6C1E7FFE"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520B</w:t>
      </w:r>
      <w:r w:rsidR="00C67F40" w:rsidRPr="00C67F40">
        <w:rPr>
          <w:rFonts w:ascii="Aptos" w:eastAsia="Aptos" w:hAnsi="Aptos" w:cs="Times New Roman"/>
          <w:kern w:val="2"/>
          <w14:ligatures w14:val="standardContextual"/>
        </w:rPr>
        <w:t>Strongly Disagree</w:t>
      </w:r>
    </w:p>
    <w:p w14:paraId="0397A012" w14:textId="6BB7254A"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521B</w:t>
      </w:r>
      <w:r w:rsidR="00C67F40" w:rsidRPr="00C67F40">
        <w:rPr>
          <w:rFonts w:ascii="Aptos" w:eastAsia="Aptos" w:hAnsi="Aptos" w:cs="Times New Roman"/>
          <w:kern w:val="2"/>
          <w14:ligatures w14:val="standardContextual"/>
        </w:rPr>
        <w:t>Disagree</w:t>
      </w:r>
    </w:p>
    <w:p w14:paraId="6AE485F0" w14:textId="463B4AF3"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522B</w:t>
      </w:r>
      <w:r w:rsidR="00C67F40" w:rsidRPr="00C67F40">
        <w:rPr>
          <w:rFonts w:ascii="Aptos" w:eastAsia="Aptos" w:hAnsi="Aptos" w:cs="Times New Roman"/>
          <w:kern w:val="2"/>
          <w14:ligatures w14:val="standardContextual"/>
        </w:rPr>
        <w:t>Agree</w:t>
      </w:r>
    </w:p>
    <w:p w14:paraId="5BF33941" w14:textId="5EC1A747"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523B</w:t>
      </w:r>
      <w:r w:rsidR="00C67F40" w:rsidRPr="00C67F40">
        <w:rPr>
          <w:rFonts w:ascii="Aptos" w:eastAsia="Aptos" w:hAnsi="Aptos" w:cs="Times New Roman"/>
          <w:kern w:val="2"/>
          <w14:ligatures w14:val="standardContextual"/>
        </w:rPr>
        <w:t>Strongly Agree</w:t>
      </w:r>
    </w:p>
    <w:p w14:paraId="1CE85034" w14:textId="7F8CFC8D" w:rsid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524B</w:t>
      </w:r>
      <w:r w:rsidR="00C67F40" w:rsidRPr="00C67F40">
        <w:rPr>
          <w:rFonts w:ascii="Aptos" w:eastAsia="Aptos" w:hAnsi="Aptos" w:cs="Times New Roman"/>
          <w:kern w:val="2"/>
          <w14:ligatures w14:val="standardContextual"/>
        </w:rPr>
        <w:t>Don’t Know</w:t>
      </w:r>
    </w:p>
    <w:p w14:paraId="3C95CDCE" w14:textId="77777777" w:rsidR="00022200" w:rsidRPr="00C67F40" w:rsidRDefault="00022200" w:rsidP="00022200">
      <w:pPr>
        <w:spacing w:line="278" w:lineRule="auto"/>
        <w:ind w:left="1080"/>
        <w:contextualSpacing/>
        <w:rPr>
          <w:rFonts w:ascii="Aptos" w:eastAsia="Aptos" w:hAnsi="Aptos" w:cs="Times New Roman"/>
          <w:kern w:val="2"/>
          <w14:ligatures w14:val="standardContextual"/>
        </w:rPr>
      </w:pPr>
    </w:p>
    <w:p w14:paraId="17598959" w14:textId="59DC9D57" w:rsidR="00C67F40" w:rsidRPr="00C67F40" w:rsidRDefault="00B55C67" w:rsidP="00C67F40">
      <w:pPr>
        <w:spacing w:after="0" w:line="278" w:lineRule="auto"/>
        <w:jc w:val="center"/>
        <w:rPr>
          <w:rFonts w:ascii="Aptos" w:eastAsia="Aptos" w:hAnsi="Aptos" w:cs="Times New Roman"/>
          <w:b/>
          <w:bCs/>
          <w:kern w:val="2"/>
          <w14:ligatures w14:val="standardContextual"/>
        </w:rPr>
      </w:pPr>
      <w:r>
        <w:rPr>
          <w:rFonts w:ascii="ZWAdobeF" w:eastAsia="Aptos" w:hAnsi="ZWAdobeF" w:cs="ZWAdobeF"/>
          <w:bCs/>
          <w:kern w:val="2"/>
          <w:sz w:val="2"/>
          <w:szCs w:val="2"/>
          <w14:ligatures w14:val="standardContextual"/>
        </w:rPr>
        <w:t>525B</w:t>
      </w:r>
      <w:r w:rsidR="00C67F40" w:rsidRPr="00C67F40">
        <w:rPr>
          <w:rFonts w:ascii="Aptos" w:eastAsia="Aptos" w:hAnsi="Aptos" w:cs="Times New Roman"/>
          <w:b/>
          <w:bCs/>
          <w:kern w:val="2"/>
          <w14:ligatures w14:val="standardContextual"/>
        </w:rPr>
        <w:t>NIMAC assistance</w:t>
      </w:r>
    </w:p>
    <w:p w14:paraId="60F6E67C" w14:textId="4D3087F5" w:rsidR="00C67F40" w:rsidRPr="00C67F40" w:rsidRDefault="00B55C67" w:rsidP="00C67F40">
      <w:pPr>
        <w:spacing w:line="278" w:lineRule="auto"/>
        <w:jc w:val="center"/>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526</w:t>
      </w:r>
      <w:proofErr w:type="gramStart"/>
      <w:r>
        <w:rPr>
          <w:rFonts w:ascii="ZWAdobeF" w:eastAsia="Aptos" w:hAnsi="ZWAdobeF" w:cs="ZWAdobeF"/>
          <w:kern w:val="2"/>
          <w:sz w:val="2"/>
          <w:szCs w:val="2"/>
          <w14:ligatures w14:val="standardContextual"/>
        </w:rPr>
        <w:t>B</w:t>
      </w:r>
      <w:r w:rsidR="00C67F40" w:rsidRPr="00C67F40">
        <w:rPr>
          <w:rFonts w:ascii="Aptos" w:eastAsia="Aptos" w:hAnsi="Aptos" w:cs="Times New Roman"/>
          <w:kern w:val="2"/>
          <w14:ligatures w14:val="standardContextual"/>
        </w:rPr>
        <w:t>[</w:t>
      </w:r>
      <w:proofErr w:type="gramEnd"/>
      <w:r w:rsidR="00C67F40" w:rsidRPr="00C67F40">
        <w:rPr>
          <w:rFonts w:ascii="Aptos" w:eastAsia="Aptos" w:hAnsi="Aptos" w:cs="Times New Roman"/>
          <w:kern w:val="2"/>
          <w14:ligatures w14:val="standardContextual"/>
        </w:rPr>
        <w:t xml:space="preserve">Case Study Q2b; </w:t>
      </w:r>
      <w:r w:rsidR="00C67F40" w:rsidRPr="00C67F40">
        <w:rPr>
          <w:rFonts w:ascii="Aptos" w:eastAsia="Aptos" w:hAnsi="Aptos" w:cs="Times New Roman"/>
          <w:i/>
          <w:iCs/>
          <w:kern w:val="2"/>
          <w14:ligatures w14:val="standardContextual"/>
        </w:rPr>
        <w:t>present to 1a &amp; 1b, 1d, 1e, 2a yes</w:t>
      </w:r>
      <w:r w:rsidR="00C67F40" w:rsidRPr="00C67F40">
        <w:rPr>
          <w:rFonts w:ascii="Aptos" w:eastAsia="Aptos" w:hAnsi="Aptos" w:cs="Times New Roman"/>
          <w:kern w:val="2"/>
          <w14:ligatures w14:val="standardContextual"/>
        </w:rPr>
        <w:t>]</w:t>
      </w:r>
    </w:p>
    <w:p w14:paraId="7AF50400" w14:textId="7DA20F43"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527B</w:t>
      </w:r>
      <w:r w:rsidR="00C67F40" w:rsidRPr="00C67F40">
        <w:rPr>
          <w:rFonts w:ascii="Aptos" w:eastAsia="Aptos" w:hAnsi="Aptos" w:cs="Times New Roman"/>
          <w:kern w:val="2"/>
          <w14:ligatures w14:val="standardContextual"/>
        </w:rPr>
        <w:t xml:space="preserve">Have you been directly involved in the procurement contract process for educational materials for your SEA, LEA, or school? </w:t>
      </w:r>
    </w:p>
    <w:p w14:paraId="24A775DA" w14:textId="0459A1D5"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528B</w:t>
      </w:r>
      <w:r w:rsidR="00C67F40" w:rsidRPr="00C67F40">
        <w:rPr>
          <w:rFonts w:ascii="Aptos" w:eastAsia="Aptos" w:hAnsi="Aptos" w:cs="Times New Roman"/>
          <w:kern w:val="2"/>
          <w14:ligatures w14:val="standardContextual"/>
        </w:rPr>
        <w:t>Yes</w:t>
      </w:r>
    </w:p>
    <w:p w14:paraId="4760FDCB" w14:textId="7A7F652E"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529B</w:t>
      </w:r>
      <w:r w:rsidR="00C67F40" w:rsidRPr="00C67F40">
        <w:rPr>
          <w:rFonts w:ascii="Aptos" w:eastAsia="Aptos" w:hAnsi="Aptos" w:cs="Times New Roman"/>
          <w:kern w:val="2"/>
          <w14:ligatures w14:val="standardContextual"/>
        </w:rPr>
        <w:t>No</w:t>
      </w:r>
    </w:p>
    <w:p w14:paraId="6EF5272A" w14:textId="0B2A8D67"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530B</w:t>
      </w:r>
      <w:r w:rsidR="00C67F40" w:rsidRPr="00C67F40">
        <w:rPr>
          <w:rFonts w:ascii="Aptos" w:eastAsia="Aptos" w:hAnsi="Aptos" w:cs="Times New Roman"/>
          <w:kern w:val="2"/>
          <w14:ligatures w14:val="standardContextual"/>
        </w:rPr>
        <w:t>Other: ___</w:t>
      </w:r>
    </w:p>
    <w:p w14:paraId="4DEC6EF7" w14:textId="7C20A36D"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531B</w:t>
      </w:r>
      <w:r w:rsidR="00C67F40" w:rsidRPr="00C67F40">
        <w:rPr>
          <w:rFonts w:ascii="Aptos" w:eastAsia="Aptos" w:hAnsi="Aptos" w:cs="Times New Roman"/>
          <w:kern w:val="2"/>
          <w14:ligatures w14:val="standardContextual"/>
        </w:rPr>
        <w:t xml:space="preserve">How often does your SEA or LEA include the NIMAS requirement in procurement contracts for educational materials? </w:t>
      </w:r>
    </w:p>
    <w:p w14:paraId="0269EB8D" w14:textId="6B8583DD"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532B</w:t>
      </w:r>
      <w:r w:rsidR="00C67F40" w:rsidRPr="00C67F40">
        <w:rPr>
          <w:rFonts w:ascii="Aptos" w:eastAsia="Aptos" w:hAnsi="Aptos" w:cs="Times New Roman"/>
          <w:kern w:val="2"/>
          <w14:ligatures w14:val="standardContextual"/>
        </w:rPr>
        <w:t>Never or Rarely</w:t>
      </w:r>
    </w:p>
    <w:p w14:paraId="347E3054" w14:textId="41C9887A"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533B</w:t>
      </w:r>
      <w:r w:rsidR="00C67F40" w:rsidRPr="00C67F40">
        <w:rPr>
          <w:rFonts w:ascii="Aptos" w:eastAsia="Aptos" w:hAnsi="Aptos" w:cs="Times New Roman"/>
          <w:kern w:val="2"/>
          <w14:ligatures w14:val="standardContextual"/>
        </w:rPr>
        <w:t>Sometimes</w:t>
      </w:r>
    </w:p>
    <w:p w14:paraId="6810D185" w14:textId="3AB16056"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534B</w:t>
      </w:r>
      <w:r w:rsidR="00C67F40" w:rsidRPr="00C67F40">
        <w:rPr>
          <w:rFonts w:ascii="Aptos" w:eastAsia="Aptos" w:hAnsi="Aptos" w:cs="Times New Roman"/>
          <w:kern w:val="2"/>
          <w14:ligatures w14:val="standardContextual"/>
        </w:rPr>
        <w:t>Often</w:t>
      </w:r>
    </w:p>
    <w:p w14:paraId="6842C556" w14:textId="65FD1F94"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535B</w:t>
      </w:r>
      <w:r w:rsidR="00C67F40" w:rsidRPr="00C67F40">
        <w:rPr>
          <w:rFonts w:ascii="Aptos" w:eastAsia="Aptos" w:hAnsi="Aptos" w:cs="Times New Roman"/>
          <w:kern w:val="2"/>
          <w14:ligatures w14:val="standardContextual"/>
        </w:rPr>
        <w:t>Always</w:t>
      </w:r>
    </w:p>
    <w:p w14:paraId="64997544" w14:textId="59567CC3"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536B</w:t>
      </w:r>
      <w:r w:rsidR="00C67F40" w:rsidRPr="00C67F40">
        <w:rPr>
          <w:rFonts w:ascii="Aptos" w:eastAsia="Aptos" w:hAnsi="Aptos" w:cs="Times New Roman"/>
          <w:kern w:val="2"/>
          <w14:ligatures w14:val="standardContextual"/>
        </w:rPr>
        <w:t>Don’t Know</w:t>
      </w:r>
    </w:p>
    <w:p w14:paraId="6E34A9A9" w14:textId="025D88D1"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537B</w:t>
      </w:r>
      <w:r w:rsidR="00C67F40" w:rsidRPr="00C67F40">
        <w:rPr>
          <w:rFonts w:ascii="Aptos" w:eastAsia="Aptos" w:hAnsi="Aptos" w:cs="Times New Roman"/>
          <w:kern w:val="2"/>
          <w14:ligatures w14:val="standardContextual"/>
        </w:rPr>
        <w:t>Other: ___</w:t>
      </w:r>
    </w:p>
    <w:p w14:paraId="755DB12D" w14:textId="2C8EEE6D"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538B</w:t>
      </w:r>
      <w:r w:rsidR="00C67F40" w:rsidRPr="00C67F40">
        <w:rPr>
          <w:rFonts w:ascii="Aptos" w:eastAsia="Aptos" w:hAnsi="Aptos" w:cs="Times New Roman"/>
          <w:kern w:val="2"/>
          <w14:ligatures w14:val="standardContextual"/>
        </w:rPr>
        <w:t xml:space="preserve">To what extent do you agree with the following statement? I understand which educational materials fall within the scope for NIMAS and which educational materials fall outside of the scope for NIMAS. </w:t>
      </w:r>
    </w:p>
    <w:p w14:paraId="2663040F" w14:textId="475F42B5"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539B</w:t>
      </w:r>
      <w:r w:rsidR="00C67F40" w:rsidRPr="00C67F40">
        <w:rPr>
          <w:rFonts w:ascii="Aptos" w:eastAsia="Aptos" w:hAnsi="Aptos" w:cs="Times New Roman"/>
          <w:kern w:val="2"/>
          <w14:ligatures w14:val="standardContextual"/>
        </w:rPr>
        <w:t>Strongly Disagree</w:t>
      </w:r>
    </w:p>
    <w:p w14:paraId="3F9F7EE7" w14:textId="3311A7CD"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540B</w:t>
      </w:r>
      <w:r w:rsidR="00C67F40" w:rsidRPr="00C67F40">
        <w:rPr>
          <w:rFonts w:ascii="Aptos" w:eastAsia="Aptos" w:hAnsi="Aptos" w:cs="Times New Roman"/>
          <w:kern w:val="2"/>
          <w14:ligatures w14:val="standardContextual"/>
        </w:rPr>
        <w:t>Disagree</w:t>
      </w:r>
    </w:p>
    <w:p w14:paraId="64D43A62" w14:textId="7FEFF186"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541B</w:t>
      </w:r>
      <w:r w:rsidR="00C67F40" w:rsidRPr="00C67F40">
        <w:rPr>
          <w:rFonts w:ascii="Aptos" w:eastAsia="Aptos" w:hAnsi="Aptos" w:cs="Times New Roman"/>
          <w:kern w:val="2"/>
          <w14:ligatures w14:val="standardContextual"/>
        </w:rPr>
        <w:t>Agree</w:t>
      </w:r>
    </w:p>
    <w:p w14:paraId="3CD0B2F8" w14:textId="4D458AF0"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542B</w:t>
      </w:r>
      <w:r w:rsidR="00C67F40" w:rsidRPr="00C67F40">
        <w:rPr>
          <w:rFonts w:ascii="Aptos" w:eastAsia="Aptos" w:hAnsi="Aptos" w:cs="Times New Roman"/>
          <w:kern w:val="2"/>
          <w14:ligatures w14:val="standardContextual"/>
        </w:rPr>
        <w:t>Strongly Agree</w:t>
      </w:r>
    </w:p>
    <w:p w14:paraId="2D6EA71E" w14:textId="7CB1D501"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543B</w:t>
      </w:r>
      <w:r w:rsidR="00C67F40" w:rsidRPr="00C67F40">
        <w:rPr>
          <w:rFonts w:ascii="Aptos" w:eastAsia="Aptos" w:hAnsi="Aptos" w:cs="Times New Roman"/>
          <w:kern w:val="2"/>
          <w14:ligatures w14:val="standardContextual"/>
        </w:rPr>
        <w:t>Don’t Know</w:t>
      </w:r>
    </w:p>
    <w:p w14:paraId="090DE745" w14:textId="38BE6EEA"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lastRenderedPageBreak/>
        <w:t>544B</w:t>
      </w:r>
      <w:r w:rsidR="00C67F40" w:rsidRPr="00C67F40">
        <w:rPr>
          <w:rFonts w:ascii="Aptos" w:eastAsia="Aptos" w:hAnsi="Aptos" w:cs="Times New Roman"/>
          <w:kern w:val="2"/>
          <w14:ligatures w14:val="standardContextual"/>
        </w:rPr>
        <w:t xml:space="preserve">Which of the following strategies could help SEAs and LEAs consistently include the NIMAS requirement in procurement contracts for educational materials? </w:t>
      </w:r>
    </w:p>
    <w:p w14:paraId="756DEC79" w14:textId="2C50F471"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545B</w:t>
      </w:r>
      <w:r w:rsidR="00C67F40" w:rsidRPr="00C67F40">
        <w:rPr>
          <w:rFonts w:ascii="Aptos" w:eastAsia="Aptos" w:hAnsi="Aptos" w:cs="Times New Roman"/>
          <w:kern w:val="2"/>
          <w14:ligatures w14:val="standardContextual"/>
        </w:rPr>
        <w:t>Trainings with SEA/LEA procurement staff to increase awareness of the importance of including the NIMAS requirement in procurement contracts.</w:t>
      </w:r>
    </w:p>
    <w:p w14:paraId="1515D6D2" w14:textId="4EC66657"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546B</w:t>
      </w:r>
      <w:r w:rsidR="00C67F40" w:rsidRPr="00C67F40">
        <w:rPr>
          <w:rFonts w:ascii="Aptos" w:eastAsia="Aptos" w:hAnsi="Aptos" w:cs="Times New Roman"/>
          <w:kern w:val="2"/>
          <w14:ligatures w14:val="standardContextual"/>
        </w:rPr>
        <w:t>Trainings with SEA/LEA procurement staff to provide education about the types of educational materials that fall within the scope for NIMAS.</w:t>
      </w:r>
    </w:p>
    <w:p w14:paraId="01DEE952" w14:textId="22C73198"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547B</w:t>
      </w:r>
      <w:r w:rsidR="00C67F40" w:rsidRPr="00C67F40">
        <w:rPr>
          <w:rFonts w:ascii="Aptos" w:eastAsia="Aptos" w:hAnsi="Aptos" w:cs="Times New Roman"/>
          <w:kern w:val="2"/>
          <w14:ligatures w14:val="standardContextual"/>
        </w:rPr>
        <w:t>Trainings with General Education Departments and Special Education Departments to improve collaboration.</w:t>
      </w:r>
    </w:p>
    <w:p w14:paraId="5FA996A6" w14:textId="49B43E4F"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548B</w:t>
      </w:r>
      <w:r w:rsidR="00C67F40" w:rsidRPr="00C67F40">
        <w:rPr>
          <w:rFonts w:ascii="Aptos" w:eastAsia="Aptos" w:hAnsi="Aptos" w:cs="Times New Roman"/>
          <w:kern w:val="2"/>
          <w14:ligatures w14:val="standardContextual"/>
        </w:rPr>
        <w:t>Trainings with General Education Departments and Special Education Departments to improve data collection efforts related to the procurement and production of accessible formats.</w:t>
      </w:r>
    </w:p>
    <w:p w14:paraId="0805506D" w14:textId="457236FC"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549B</w:t>
      </w:r>
      <w:r w:rsidR="00C67F40" w:rsidRPr="00C67F40">
        <w:rPr>
          <w:rFonts w:ascii="Aptos" w:eastAsia="Aptos" w:hAnsi="Aptos" w:cs="Times New Roman"/>
          <w:kern w:val="2"/>
          <w14:ligatures w14:val="standardContextual"/>
        </w:rPr>
        <w:t>Trainings with multiple stakeholder groups (e.g., instructional resource centers) about how to include the NIMAS requirement in procurement contracts.</w:t>
      </w:r>
    </w:p>
    <w:p w14:paraId="4EEB2237" w14:textId="452F5F92"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550B</w:t>
      </w:r>
      <w:r w:rsidR="00C67F40" w:rsidRPr="00C67F40">
        <w:rPr>
          <w:rFonts w:ascii="Aptos" w:eastAsia="Aptos" w:hAnsi="Aptos" w:cs="Times New Roman"/>
          <w:kern w:val="2"/>
          <w14:ligatures w14:val="standardContextual"/>
        </w:rPr>
        <w:t>Creating a designated position that focuses on outreach to states and local educational agencies to provide guidance and technical assistance.</w:t>
      </w:r>
    </w:p>
    <w:p w14:paraId="2D8C6FCC" w14:textId="20A06AD6"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551B</w:t>
      </w:r>
      <w:r w:rsidR="00C67F40" w:rsidRPr="00C67F40">
        <w:rPr>
          <w:rFonts w:ascii="Aptos" w:eastAsia="Aptos" w:hAnsi="Aptos" w:cs="Times New Roman"/>
          <w:kern w:val="2"/>
          <w14:ligatures w14:val="standardContextual"/>
        </w:rPr>
        <w:t>Providing educational materials about the NIMAC and the NIMAS requirement that can be incorporated into onboarding materials for new SEA/LEA procurement staff.</w:t>
      </w:r>
    </w:p>
    <w:p w14:paraId="7FA9BA73" w14:textId="20BD7E3B"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552B</w:t>
      </w:r>
      <w:r w:rsidR="00C67F40" w:rsidRPr="00C67F40">
        <w:rPr>
          <w:rFonts w:ascii="Aptos" w:eastAsia="Aptos" w:hAnsi="Aptos" w:cs="Times New Roman"/>
          <w:kern w:val="2"/>
          <w14:ligatures w14:val="standardContextual"/>
        </w:rPr>
        <w:t>Don’t Know.</w:t>
      </w:r>
    </w:p>
    <w:p w14:paraId="2D62C9B6" w14:textId="0385027F"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553B</w:t>
      </w:r>
      <w:r w:rsidR="00C67F40" w:rsidRPr="00C67F40">
        <w:rPr>
          <w:rFonts w:ascii="Aptos" w:eastAsia="Aptos" w:hAnsi="Aptos" w:cs="Times New Roman"/>
          <w:kern w:val="2"/>
          <w14:ligatures w14:val="standardContextual"/>
        </w:rPr>
        <w:t>Other: ______</w:t>
      </w:r>
    </w:p>
    <w:p w14:paraId="41E10F61" w14:textId="5A90E3EE" w:rsid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554B</w:t>
      </w:r>
      <w:r w:rsidR="00C67F40" w:rsidRPr="00C67F40">
        <w:rPr>
          <w:rFonts w:ascii="Aptos" w:eastAsia="Aptos" w:hAnsi="Aptos" w:cs="Times New Roman"/>
          <w:kern w:val="2"/>
          <w14:ligatures w14:val="standardContextual"/>
        </w:rPr>
        <w:t>Please explain your selection(s) above and offer any additional comments about strategies that could help SEAs and LEAs consistently include the NIMAS requirement in procurement contracts:</w:t>
      </w:r>
    </w:p>
    <w:p w14:paraId="11A92A0B" w14:textId="77777777" w:rsidR="00022200" w:rsidRPr="00C67F40" w:rsidRDefault="00022200" w:rsidP="00022200">
      <w:pPr>
        <w:spacing w:line="278" w:lineRule="auto"/>
        <w:ind w:left="360"/>
        <w:contextualSpacing/>
        <w:rPr>
          <w:rFonts w:ascii="Aptos" w:eastAsia="Aptos" w:hAnsi="Aptos" w:cs="Times New Roman"/>
          <w:kern w:val="2"/>
          <w14:ligatures w14:val="standardContextual"/>
        </w:rPr>
      </w:pPr>
    </w:p>
    <w:p w14:paraId="7217C1EB" w14:textId="7B8C9083" w:rsidR="00C67F40" w:rsidRPr="00C67F40" w:rsidRDefault="00B55C67" w:rsidP="00C67F40">
      <w:pPr>
        <w:spacing w:line="278" w:lineRule="auto"/>
        <w:jc w:val="center"/>
        <w:rPr>
          <w:rFonts w:ascii="Aptos" w:eastAsia="Aptos" w:hAnsi="Aptos" w:cs="Times New Roman"/>
          <w:b/>
          <w:bCs/>
          <w:kern w:val="2"/>
          <w14:ligatures w14:val="standardContextual"/>
        </w:rPr>
      </w:pPr>
      <w:r>
        <w:rPr>
          <w:rFonts w:ascii="ZWAdobeF" w:eastAsia="Aptos" w:hAnsi="ZWAdobeF" w:cs="ZWAdobeF"/>
          <w:bCs/>
          <w:kern w:val="2"/>
          <w:sz w:val="2"/>
          <w:szCs w:val="2"/>
          <w14:ligatures w14:val="standardContextual"/>
        </w:rPr>
        <w:t>555B</w:t>
      </w:r>
      <w:r w:rsidR="00C67F40" w:rsidRPr="00C67F40">
        <w:rPr>
          <w:rFonts w:ascii="Aptos" w:eastAsia="Aptos" w:hAnsi="Aptos" w:cs="Times New Roman"/>
          <w:b/>
          <w:bCs/>
          <w:kern w:val="2"/>
          <w14:ligatures w14:val="standardContextual"/>
        </w:rPr>
        <w:t>Additional</w:t>
      </w:r>
    </w:p>
    <w:p w14:paraId="147751BB" w14:textId="4F86A59E"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556B</w:t>
      </w:r>
      <w:r w:rsidR="00C67F40" w:rsidRPr="00C67F40">
        <w:rPr>
          <w:rFonts w:ascii="Aptos" w:eastAsia="Aptos" w:hAnsi="Aptos" w:cs="Times New Roman"/>
          <w:kern w:val="2"/>
          <w14:ligatures w14:val="standardContextual"/>
        </w:rPr>
        <w:t>Do you work with special education teachers who are not teachers of the visually impaired?</w:t>
      </w:r>
    </w:p>
    <w:p w14:paraId="40872210" w14:textId="765254A8"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557B</w:t>
      </w:r>
      <w:r w:rsidR="00C67F40" w:rsidRPr="00C67F40">
        <w:rPr>
          <w:rFonts w:ascii="Aptos" w:eastAsia="Aptos" w:hAnsi="Aptos" w:cs="Times New Roman"/>
          <w:kern w:val="2"/>
          <w14:ligatures w14:val="standardContextual"/>
        </w:rPr>
        <w:t>Yes</w:t>
      </w:r>
    </w:p>
    <w:p w14:paraId="1B32A352" w14:textId="0B8E8A0A"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558B</w:t>
      </w:r>
      <w:r w:rsidR="00C67F40" w:rsidRPr="00C67F40">
        <w:rPr>
          <w:rFonts w:ascii="Aptos" w:eastAsia="Aptos" w:hAnsi="Aptos" w:cs="Times New Roman"/>
          <w:kern w:val="2"/>
          <w14:ligatures w14:val="standardContextual"/>
        </w:rPr>
        <w:t>No</w:t>
      </w:r>
    </w:p>
    <w:p w14:paraId="00B03CA9" w14:textId="590ABA00"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iCs/>
          <w:kern w:val="2"/>
          <w:sz w:val="2"/>
          <w:szCs w:val="2"/>
          <w14:ligatures w14:val="standardContextual"/>
        </w:rPr>
        <w:t>559</w:t>
      </w:r>
      <w:proofErr w:type="gramStart"/>
      <w:r>
        <w:rPr>
          <w:rFonts w:ascii="ZWAdobeF" w:eastAsia="Aptos" w:hAnsi="ZWAdobeF" w:cs="ZWAdobeF"/>
          <w:iCs/>
          <w:kern w:val="2"/>
          <w:sz w:val="2"/>
          <w:szCs w:val="2"/>
          <w14:ligatures w14:val="standardContextual"/>
        </w:rPr>
        <w:t>B</w:t>
      </w:r>
      <w:r w:rsidR="00C67F40" w:rsidRPr="00C67F40">
        <w:rPr>
          <w:rFonts w:ascii="Aptos" w:eastAsia="Aptos" w:hAnsi="Aptos" w:cs="Times New Roman"/>
          <w:i/>
          <w:iCs/>
          <w:kern w:val="2"/>
          <w14:ligatures w14:val="standardContextual"/>
        </w:rPr>
        <w:t>[</w:t>
      </w:r>
      <w:proofErr w:type="gramEnd"/>
      <w:r w:rsidR="00C67F40" w:rsidRPr="00C67F40">
        <w:rPr>
          <w:rFonts w:ascii="Aptos" w:eastAsia="Aptos" w:hAnsi="Aptos" w:cs="Times New Roman"/>
          <w:i/>
          <w:iCs/>
          <w:kern w:val="2"/>
          <w14:ligatures w14:val="standardContextual"/>
        </w:rPr>
        <w:t>If Yes]</w:t>
      </w:r>
      <w:r w:rsidR="00C67F40" w:rsidRPr="00C67F40">
        <w:rPr>
          <w:rFonts w:ascii="Aptos" w:eastAsia="Aptos" w:hAnsi="Aptos" w:cs="Times New Roman"/>
          <w:kern w:val="2"/>
          <w14:ligatures w14:val="standardContextual"/>
        </w:rPr>
        <w:t xml:space="preserve"> Would you be willing to provide your name and email so we may follow up for the contact information of these teachers (</w:t>
      </w:r>
      <w:r w:rsidR="00C67F40" w:rsidRPr="00C67F40">
        <w:rPr>
          <w:rFonts w:ascii="Aptos" w:eastAsia="Aptos" w:hAnsi="Aptos" w:cs="Times New Roman"/>
          <w:i/>
          <w:iCs/>
          <w:kern w:val="2"/>
          <w14:ligatures w14:val="standardContextual"/>
        </w:rPr>
        <w:t>survey responses will remain confidential and separate from your personal information</w:t>
      </w:r>
      <w:r w:rsidR="00C67F40" w:rsidRPr="00C67F40">
        <w:rPr>
          <w:rFonts w:ascii="Aptos" w:eastAsia="Aptos" w:hAnsi="Aptos" w:cs="Times New Roman"/>
          <w:kern w:val="2"/>
          <w14:ligatures w14:val="standardContextual"/>
        </w:rPr>
        <w:t>)? [</w:t>
      </w:r>
      <w:r w:rsidR="00C67F40" w:rsidRPr="00C67F40">
        <w:rPr>
          <w:rFonts w:ascii="Aptos" w:eastAsia="Aptos" w:hAnsi="Aptos" w:cs="Times New Roman"/>
          <w:i/>
          <w:iCs/>
          <w:kern w:val="2"/>
          <w14:ligatures w14:val="standardContextual"/>
        </w:rPr>
        <w:t>Present box for name and box for email</w:t>
      </w:r>
      <w:r w:rsidR="00C67F40" w:rsidRPr="00C67F40">
        <w:rPr>
          <w:rFonts w:ascii="Aptos" w:eastAsia="Aptos" w:hAnsi="Aptos" w:cs="Times New Roman"/>
          <w:kern w:val="2"/>
          <w14:ligatures w14:val="standardContextual"/>
        </w:rPr>
        <w:t xml:space="preserve">] </w:t>
      </w:r>
    </w:p>
    <w:p w14:paraId="0413D7E5" w14:textId="2165CA33"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560B</w:t>
      </w:r>
      <w:r w:rsidR="00C67F40" w:rsidRPr="00C67F40">
        <w:rPr>
          <w:rFonts w:ascii="Aptos" w:eastAsia="Aptos" w:hAnsi="Aptos" w:cs="Times New Roman"/>
          <w:kern w:val="2"/>
          <w14:ligatures w14:val="standardContextual"/>
        </w:rPr>
        <w:t>Would you be willing to participate in a one-on-one interview or small focus group to help the NIMAC better understand factors that facilitate or hinder timely delivery of accessible formats?</w:t>
      </w:r>
    </w:p>
    <w:p w14:paraId="084E1E06" w14:textId="71493AE8"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561B</w:t>
      </w:r>
      <w:r w:rsidR="00C67F40" w:rsidRPr="00C67F40">
        <w:rPr>
          <w:rFonts w:ascii="Aptos" w:eastAsia="Aptos" w:hAnsi="Aptos" w:cs="Times New Roman"/>
          <w:kern w:val="2"/>
          <w14:ligatures w14:val="standardContextual"/>
        </w:rPr>
        <w:t>Yes</w:t>
      </w:r>
    </w:p>
    <w:p w14:paraId="37E28323" w14:textId="4064ACE2"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562B</w:t>
      </w:r>
      <w:r w:rsidR="00C67F40" w:rsidRPr="00C67F40">
        <w:rPr>
          <w:rFonts w:ascii="Aptos" w:eastAsia="Aptos" w:hAnsi="Aptos" w:cs="Times New Roman"/>
          <w:kern w:val="2"/>
          <w14:ligatures w14:val="standardContextual"/>
        </w:rPr>
        <w:t>No</w:t>
      </w:r>
    </w:p>
    <w:p w14:paraId="07CD9DB5" w14:textId="5B009518"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563B</w:t>
      </w:r>
      <w:r w:rsidR="00C67F40" w:rsidRPr="00C67F40">
        <w:rPr>
          <w:rFonts w:ascii="Aptos" w:eastAsia="Aptos" w:hAnsi="Aptos" w:cs="Times New Roman"/>
          <w:kern w:val="2"/>
          <w14:ligatures w14:val="standardContextual"/>
        </w:rPr>
        <w:t>Maybe</w:t>
      </w:r>
    </w:p>
    <w:p w14:paraId="7627D316" w14:textId="2A46037D" w:rsidR="00C67F40" w:rsidRPr="00C67F40" w:rsidRDefault="00B55C67" w:rsidP="00692AD9">
      <w:pPr>
        <w:numPr>
          <w:ilvl w:val="1"/>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564</w:t>
      </w:r>
      <w:proofErr w:type="gramStart"/>
      <w:r>
        <w:rPr>
          <w:rFonts w:ascii="ZWAdobeF" w:eastAsia="Aptos" w:hAnsi="ZWAdobeF" w:cs="ZWAdobeF"/>
          <w:kern w:val="2"/>
          <w:sz w:val="2"/>
          <w:szCs w:val="2"/>
          <w14:ligatures w14:val="standardContextual"/>
        </w:rPr>
        <w:t>B</w:t>
      </w:r>
      <w:r w:rsidR="00C67F40" w:rsidRPr="00C67F40">
        <w:rPr>
          <w:rFonts w:ascii="Aptos" w:eastAsia="Aptos" w:hAnsi="Aptos" w:cs="Times New Roman"/>
          <w:kern w:val="2"/>
          <w14:ligatures w14:val="standardContextual"/>
        </w:rPr>
        <w:t>[</w:t>
      </w:r>
      <w:proofErr w:type="gramEnd"/>
      <w:r w:rsidR="00C67F40" w:rsidRPr="00C67F40">
        <w:rPr>
          <w:rFonts w:ascii="Aptos" w:eastAsia="Aptos" w:hAnsi="Aptos" w:cs="Times New Roman"/>
          <w:i/>
          <w:iCs/>
          <w:kern w:val="2"/>
          <w14:ligatures w14:val="standardContextual"/>
        </w:rPr>
        <w:t>If yes or maybe</w:t>
      </w:r>
      <w:r w:rsidR="00C67F40" w:rsidRPr="00C67F40">
        <w:rPr>
          <w:rFonts w:ascii="Aptos" w:eastAsia="Aptos" w:hAnsi="Aptos" w:cs="Times New Roman"/>
          <w:kern w:val="2"/>
          <w14:ligatures w14:val="standardContextual"/>
        </w:rPr>
        <w:t>] Please provide your name, role, and email so we may follow up with you (</w:t>
      </w:r>
      <w:r w:rsidR="00C67F40" w:rsidRPr="00C67F40">
        <w:rPr>
          <w:rFonts w:ascii="Aptos" w:eastAsia="Aptos" w:hAnsi="Aptos" w:cs="Times New Roman"/>
          <w:i/>
          <w:iCs/>
          <w:kern w:val="2"/>
          <w14:ligatures w14:val="standardContextual"/>
        </w:rPr>
        <w:t>survey responses will remain confidential and separate from your personal information</w:t>
      </w:r>
      <w:r w:rsidR="00C67F40" w:rsidRPr="00C67F40">
        <w:rPr>
          <w:rFonts w:ascii="Aptos" w:eastAsia="Aptos" w:hAnsi="Aptos" w:cs="Times New Roman"/>
          <w:kern w:val="2"/>
          <w14:ligatures w14:val="standardContextual"/>
        </w:rPr>
        <w:t>):</w:t>
      </w:r>
    </w:p>
    <w:p w14:paraId="722E8F89" w14:textId="5ECAEF2A" w:rsidR="00C67F40" w:rsidRPr="00C67F40" w:rsidRDefault="00B55C67" w:rsidP="00692AD9">
      <w:pPr>
        <w:numPr>
          <w:ilvl w:val="0"/>
          <w:numId w:val="6"/>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565B</w:t>
      </w:r>
      <w:r w:rsidR="00C67F40" w:rsidRPr="00C67F40">
        <w:rPr>
          <w:rFonts w:ascii="Aptos" w:eastAsia="Aptos" w:hAnsi="Aptos" w:cs="Times New Roman"/>
          <w:kern w:val="2"/>
          <w14:ligatures w14:val="standardContextual"/>
        </w:rPr>
        <w:t xml:space="preserve">We welcome additional comments! Please feel free to share your experience with </w:t>
      </w:r>
      <w:proofErr w:type="gramStart"/>
      <w:r w:rsidR="00C67F40" w:rsidRPr="00C67F40">
        <w:rPr>
          <w:rFonts w:ascii="Aptos" w:eastAsia="Aptos" w:hAnsi="Aptos" w:cs="Times New Roman"/>
          <w:kern w:val="2"/>
          <w14:ligatures w14:val="standardContextual"/>
        </w:rPr>
        <w:t>the NIMAC</w:t>
      </w:r>
      <w:proofErr w:type="gramEnd"/>
      <w:r w:rsidR="00C67F40" w:rsidRPr="00C67F40">
        <w:rPr>
          <w:rFonts w:ascii="Aptos" w:eastAsia="Aptos" w:hAnsi="Aptos" w:cs="Times New Roman"/>
          <w:kern w:val="2"/>
          <w14:ligatures w14:val="standardContextual"/>
        </w:rPr>
        <w:t>; your experience requesting, producing, receiving, or providing accessible formats to students; or any questions you may have:</w:t>
      </w:r>
    </w:p>
    <w:p w14:paraId="7DA5DCA0" w14:textId="068CB994" w:rsidR="00083B13" w:rsidRDefault="00083B13">
      <w:pPr>
        <w:rPr>
          <w:rFonts w:ascii="Times New Roman" w:hAnsi="Times New Roman" w:cs="Times New Roman"/>
          <w:sz w:val="24"/>
          <w:szCs w:val="24"/>
        </w:rPr>
      </w:pPr>
    </w:p>
    <w:p w14:paraId="0FA7D573" w14:textId="77777777" w:rsidR="00834DBB" w:rsidRDefault="00834DBB">
      <w:pPr>
        <w:rPr>
          <w:rStyle w:val="Strong"/>
          <w:color w:val="A80000"/>
        </w:rPr>
      </w:pPr>
    </w:p>
    <w:p w14:paraId="061B4C68" w14:textId="77777777" w:rsidR="00834DBB" w:rsidRDefault="00834DBB">
      <w:pPr>
        <w:rPr>
          <w:rStyle w:val="Strong"/>
          <w:color w:val="A80000"/>
        </w:rPr>
      </w:pPr>
    </w:p>
    <w:p w14:paraId="4F7E5279" w14:textId="77777777" w:rsidR="00834DBB" w:rsidRDefault="00834DBB">
      <w:pPr>
        <w:rPr>
          <w:rStyle w:val="Strong"/>
          <w:color w:val="A80000"/>
        </w:rPr>
      </w:pPr>
    </w:p>
    <w:p w14:paraId="6ABA2585" w14:textId="77777777" w:rsidR="00834DBB" w:rsidRDefault="00834DBB">
      <w:pPr>
        <w:rPr>
          <w:rStyle w:val="Strong"/>
          <w:color w:val="A80000"/>
        </w:rPr>
      </w:pPr>
    </w:p>
    <w:p w14:paraId="29EF7083" w14:textId="77777777" w:rsidR="00834DBB" w:rsidRDefault="00834DBB">
      <w:pPr>
        <w:rPr>
          <w:rStyle w:val="Strong"/>
          <w:color w:val="A80000"/>
        </w:rPr>
      </w:pPr>
    </w:p>
    <w:p w14:paraId="09B5D0D5" w14:textId="77777777" w:rsidR="00834DBB" w:rsidRDefault="00834DBB">
      <w:pPr>
        <w:rPr>
          <w:rStyle w:val="Strong"/>
          <w:color w:val="A80000"/>
        </w:rPr>
      </w:pPr>
    </w:p>
    <w:p w14:paraId="227B0C81" w14:textId="77777777" w:rsidR="00834DBB" w:rsidRDefault="00834DBB">
      <w:pPr>
        <w:rPr>
          <w:rStyle w:val="Strong"/>
          <w:color w:val="A80000"/>
        </w:rPr>
      </w:pPr>
    </w:p>
    <w:p w14:paraId="155C8FAB" w14:textId="77777777" w:rsidR="00834DBB" w:rsidRDefault="00834DBB">
      <w:pPr>
        <w:rPr>
          <w:rStyle w:val="Strong"/>
          <w:color w:val="A80000"/>
        </w:rPr>
      </w:pPr>
    </w:p>
    <w:p w14:paraId="766A38B0" w14:textId="77777777" w:rsidR="00834DBB" w:rsidRDefault="00834DBB">
      <w:pPr>
        <w:rPr>
          <w:rStyle w:val="Strong"/>
          <w:color w:val="A80000"/>
        </w:rPr>
      </w:pPr>
    </w:p>
    <w:p w14:paraId="127CFC9F" w14:textId="0F6D2BF8" w:rsidR="00E52FD0" w:rsidRPr="00E52FD0" w:rsidRDefault="00E52FD0" w:rsidP="00E52FD0">
      <w:pPr>
        <w:pStyle w:val="Heading2"/>
      </w:pPr>
      <w:bookmarkStart w:id="116" w:name="_Toc222904049"/>
      <w:r>
        <w:t>Appendix B: Interview Protocol</w:t>
      </w:r>
      <w:bookmarkEnd w:id="116"/>
    </w:p>
    <w:p w14:paraId="576E353F" w14:textId="77777777" w:rsidR="00834DBB" w:rsidRPr="005919AC" w:rsidRDefault="00834DBB">
      <w:pPr>
        <w:rPr>
          <w:rStyle w:val="Strong"/>
          <w:rFonts w:ascii="Calibri" w:hAnsi="Calibri" w:cs="Calibri"/>
          <w:color w:val="A80000"/>
        </w:rPr>
      </w:pPr>
    </w:p>
    <w:p w14:paraId="4FD4C582" w14:textId="77777777" w:rsidR="00834DBB" w:rsidRDefault="00834DBB">
      <w:pPr>
        <w:rPr>
          <w:rStyle w:val="Strong"/>
          <w:color w:val="A80000"/>
        </w:rPr>
      </w:pPr>
      <w:r>
        <w:rPr>
          <w:rStyle w:val="Strong"/>
          <w:color w:val="A80000"/>
        </w:rPr>
        <w:br w:type="page"/>
      </w:r>
    </w:p>
    <w:p w14:paraId="389AF57D" w14:textId="6E08B314" w:rsidR="008015E9" w:rsidRPr="008015E9" w:rsidRDefault="00B55C67" w:rsidP="008015E9">
      <w:pPr>
        <w:spacing w:after="0" w:line="278" w:lineRule="auto"/>
        <w:jc w:val="center"/>
        <w:rPr>
          <w:rFonts w:ascii="Aptos" w:eastAsia="Aptos" w:hAnsi="Aptos" w:cs="Times New Roman"/>
          <w:b/>
          <w:bCs/>
          <w:kern w:val="2"/>
          <w14:ligatures w14:val="standardContextual"/>
        </w:rPr>
      </w:pPr>
      <w:r>
        <w:rPr>
          <w:rFonts w:ascii="ZWAdobeF" w:eastAsia="Aptos" w:hAnsi="ZWAdobeF" w:cs="ZWAdobeF"/>
          <w:bCs/>
          <w:kern w:val="2"/>
          <w:sz w:val="2"/>
          <w:szCs w:val="2"/>
          <w14:ligatures w14:val="standardContextual"/>
        </w:rPr>
        <w:lastRenderedPageBreak/>
        <w:t>566B</w:t>
      </w:r>
      <w:r w:rsidR="008015E9" w:rsidRPr="008015E9">
        <w:rPr>
          <w:rFonts w:ascii="Aptos" w:eastAsia="Aptos" w:hAnsi="Aptos" w:cs="Times New Roman"/>
          <w:b/>
          <w:bCs/>
          <w:kern w:val="2"/>
          <w14:ligatures w14:val="standardContextual"/>
        </w:rPr>
        <w:t>NIMAC 2025 Case Study: Interview Protocol</w:t>
      </w:r>
    </w:p>
    <w:p w14:paraId="2BC87E6C" w14:textId="77777777" w:rsidR="008015E9" w:rsidRPr="008015E9" w:rsidRDefault="008015E9" w:rsidP="008015E9">
      <w:pPr>
        <w:spacing w:after="0" w:line="278" w:lineRule="auto"/>
        <w:rPr>
          <w:rFonts w:ascii="Aptos" w:eastAsia="Aptos" w:hAnsi="Aptos" w:cs="Times New Roman"/>
          <w:b/>
          <w:bCs/>
          <w:kern w:val="2"/>
          <w14:ligatures w14:val="standardContextual"/>
        </w:rPr>
      </w:pPr>
    </w:p>
    <w:p w14:paraId="45A6D00C" w14:textId="1FF751C5" w:rsidR="008015E9" w:rsidRPr="008015E9" w:rsidRDefault="00B55C67" w:rsidP="008015E9">
      <w:pPr>
        <w:spacing w:line="276" w:lineRule="auto"/>
        <w:rPr>
          <w:rFonts w:ascii="Aptos" w:eastAsia="Times New Roman" w:hAnsi="Aptos" w:cs="Times New Roman"/>
          <w:i/>
          <w:color w:val="333333"/>
          <w:kern w:val="2"/>
          <w14:ligatures w14:val="standardContextual"/>
        </w:rPr>
      </w:pPr>
      <w:r>
        <w:rPr>
          <w:rFonts w:ascii="ZWAdobeF" w:eastAsia="Times New Roman" w:hAnsi="ZWAdobeF" w:cs="ZWAdobeF"/>
          <w:kern w:val="2"/>
          <w:sz w:val="2"/>
          <w:szCs w:val="2"/>
          <w14:ligatures w14:val="standardContextual"/>
        </w:rPr>
        <w:t>567B</w:t>
      </w:r>
      <w:r w:rsidR="008015E9" w:rsidRPr="008015E9">
        <w:rPr>
          <w:rFonts w:ascii="Aptos" w:eastAsia="Times New Roman" w:hAnsi="Aptos" w:cs="Times New Roman"/>
          <w:i/>
          <w:color w:val="333333"/>
          <w:kern w:val="2"/>
          <w14:ligatures w14:val="standardContextual"/>
        </w:rPr>
        <w:t xml:space="preserve">Thank you for your time and willingness to discuss your perspectives on timely delivery of accessible formats for students with print disabilities and visual impairments. I am Scot Seitz with True North Evaluation, which is partnering with the National Instructional Materials Access Center (the NIMAC) to learn about factors impacting timely delivery. Today, I will ask some questions to learn about your perspectives on this topic. Your insights could lead to additional support for states and districts in providing timely delivery of accessible instructional materials. You might be aware of a survey that is </w:t>
      </w:r>
      <w:proofErr w:type="gramStart"/>
      <w:r w:rsidR="008015E9" w:rsidRPr="008015E9">
        <w:rPr>
          <w:rFonts w:ascii="Aptos" w:eastAsia="Times New Roman" w:hAnsi="Aptos" w:cs="Times New Roman"/>
          <w:i/>
          <w:color w:val="333333"/>
          <w:kern w:val="2"/>
          <w14:ligatures w14:val="standardContextual"/>
        </w:rPr>
        <w:t>circulating</w:t>
      </w:r>
      <w:proofErr w:type="gramEnd"/>
      <w:r w:rsidR="008015E9" w:rsidRPr="008015E9">
        <w:rPr>
          <w:rFonts w:ascii="Aptos" w:eastAsia="Times New Roman" w:hAnsi="Aptos" w:cs="Times New Roman"/>
          <w:i/>
          <w:color w:val="333333"/>
          <w:kern w:val="2"/>
          <w14:ligatures w14:val="standardContextual"/>
        </w:rPr>
        <w:t xml:space="preserve"> in your state that explores the same topic. This interview is designed to supplement the survey with additional insights. </w:t>
      </w:r>
    </w:p>
    <w:p w14:paraId="2B883BE5" w14:textId="3B96B700" w:rsidR="008015E9" w:rsidRPr="008015E9" w:rsidRDefault="00B55C67" w:rsidP="008015E9">
      <w:pPr>
        <w:spacing w:line="276" w:lineRule="auto"/>
        <w:rPr>
          <w:rFonts w:ascii="Aptos" w:eastAsia="Times New Roman" w:hAnsi="Aptos" w:cs="Times New Roman"/>
          <w:i/>
          <w:color w:val="333333"/>
          <w:kern w:val="2"/>
          <w14:ligatures w14:val="standardContextual"/>
        </w:rPr>
      </w:pPr>
      <w:r>
        <w:rPr>
          <w:rFonts w:ascii="ZWAdobeF" w:eastAsia="Times New Roman" w:hAnsi="ZWAdobeF" w:cs="ZWAdobeF"/>
          <w:kern w:val="2"/>
          <w:sz w:val="2"/>
          <w:szCs w:val="2"/>
          <w14:ligatures w14:val="standardContextual"/>
        </w:rPr>
        <w:t>568B</w:t>
      </w:r>
      <w:r w:rsidR="008015E9" w:rsidRPr="008015E9">
        <w:rPr>
          <w:rFonts w:ascii="Aptos" w:eastAsia="Times New Roman" w:hAnsi="Aptos" w:cs="Times New Roman"/>
          <w:i/>
          <w:color w:val="333333"/>
          <w:kern w:val="2"/>
          <w14:ligatures w14:val="standardContextual"/>
        </w:rPr>
        <w:t xml:space="preserve">Please know that all your responses will remain anonymous. Your name will not be connected to your responses. Please answer the questions freely and honestly! The goal of this interview is to gather information and not to assess any individual's or organization's efforts. </w:t>
      </w:r>
    </w:p>
    <w:p w14:paraId="7A49731B" w14:textId="2B0A0CB8" w:rsidR="008015E9" w:rsidRPr="008015E9" w:rsidRDefault="00B55C67" w:rsidP="008015E9">
      <w:pPr>
        <w:spacing w:line="276" w:lineRule="auto"/>
        <w:rPr>
          <w:rFonts w:ascii="Aptos" w:eastAsia="Times New Roman" w:hAnsi="Aptos" w:cs="Times New Roman"/>
          <w:i/>
          <w:color w:val="333333"/>
          <w:kern w:val="2"/>
          <w14:ligatures w14:val="standardContextual"/>
        </w:rPr>
      </w:pPr>
      <w:r>
        <w:rPr>
          <w:rFonts w:ascii="ZWAdobeF" w:eastAsia="Times New Roman" w:hAnsi="ZWAdobeF" w:cs="ZWAdobeF"/>
          <w:kern w:val="2"/>
          <w:sz w:val="2"/>
          <w:szCs w:val="2"/>
          <w14:ligatures w14:val="standardContextual"/>
        </w:rPr>
        <w:t>569B</w:t>
      </w:r>
      <w:r w:rsidR="008015E9" w:rsidRPr="008015E9">
        <w:rPr>
          <w:rFonts w:ascii="Aptos" w:eastAsia="Times New Roman" w:hAnsi="Aptos" w:cs="Times New Roman"/>
          <w:i/>
          <w:color w:val="333333"/>
          <w:kern w:val="2"/>
          <w14:ligatures w14:val="standardContextual"/>
        </w:rPr>
        <w:t xml:space="preserve">To the extent you’re comfortable, I would appreciate it if you could turn on your video, so we can maximize our time together as if we were having a face-to-face conversation. Before we begin, do you have any questions for me? Typically, I record </w:t>
      </w:r>
      <w:proofErr w:type="gramStart"/>
      <w:r w:rsidR="008015E9" w:rsidRPr="008015E9">
        <w:rPr>
          <w:rFonts w:ascii="Aptos" w:eastAsia="Times New Roman" w:hAnsi="Aptos" w:cs="Times New Roman"/>
          <w:i/>
          <w:color w:val="333333"/>
          <w:kern w:val="2"/>
          <w14:ligatures w14:val="standardContextual"/>
        </w:rPr>
        <w:t>the interviews</w:t>
      </w:r>
      <w:proofErr w:type="gramEnd"/>
      <w:r w:rsidR="008015E9" w:rsidRPr="008015E9">
        <w:rPr>
          <w:rFonts w:ascii="Aptos" w:eastAsia="Times New Roman" w:hAnsi="Aptos" w:cs="Times New Roman"/>
          <w:i/>
          <w:color w:val="333333"/>
          <w:kern w:val="2"/>
          <w14:ligatures w14:val="standardContextual"/>
        </w:rPr>
        <w:t xml:space="preserve"> to help me remember your answers. After I summarize the findings, I will delete the audio recordings. [Do you or does anyone] have any concerns with me recording this interview? </w:t>
      </w:r>
    </w:p>
    <w:p w14:paraId="6ED1CEF6" w14:textId="780676D7" w:rsidR="008015E9" w:rsidRPr="008015E9" w:rsidRDefault="00B55C67" w:rsidP="008015E9">
      <w:pPr>
        <w:spacing w:line="276" w:lineRule="auto"/>
        <w:rPr>
          <w:rFonts w:ascii="Aptos" w:eastAsia="Times New Roman" w:hAnsi="Aptos" w:cs="Times New Roman"/>
          <w:b/>
          <w:bCs/>
          <w:iCs/>
          <w:color w:val="333333"/>
          <w:kern w:val="2"/>
          <w14:ligatures w14:val="standardContextual"/>
        </w:rPr>
      </w:pPr>
      <w:r>
        <w:rPr>
          <w:rFonts w:ascii="ZWAdobeF" w:eastAsia="Times New Roman" w:hAnsi="ZWAdobeF" w:cs="ZWAdobeF"/>
          <w:bCs/>
          <w:iCs/>
          <w:kern w:val="2"/>
          <w:sz w:val="2"/>
          <w:szCs w:val="2"/>
          <w14:ligatures w14:val="standardContextual"/>
        </w:rPr>
        <w:t>570B</w:t>
      </w:r>
      <w:r w:rsidR="008015E9" w:rsidRPr="008015E9">
        <w:rPr>
          <w:rFonts w:ascii="Aptos" w:eastAsia="Times New Roman" w:hAnsi="Aptos" w:cs="Times New Roman"/>
          <w:b/>
          <w:bCs/>
          <w:iCs/>
          <w:color w:val="333333"/>
          <w:kern w:val="2"/>
          <w14:ligatures w14:val="standardContextual"/>
        </w:rPr>
        <w:t>Question for All Audiences</w:t>
      </w:r>
    </w:p>
    <w:p w14:paraId="01FDB2D3" w14:textId="4CBC89FC" w:rsidR="008015E9" w:rsidRDefault="00B55C67" w:rsidP="00692AD9">
      <w:pPr>
        <w:numPr>
          <w:ilvl w:val="0"/>
          <w:numId w:val="4"/>
        </w:numPr>
        <w:spacing w:line="276" w:lineRule="auto"/>
        <w:contextualSpacing/>
        <w:rPr>
          <w:rFonts w:ascii="Aptos" w:eastAsia="Times New Roman" w:hAnsi="Aptos" w:cs="Times New Roman"/>
          <w:iCs/>
          <w:color w:val="333333"/>
          <w:kern w:val="2"/>
          <w14:ligatures w14:val="standardContextual"/>
        </w:rPr>
      </w:pPr>
      <w:r>
        <w:rPr>
          <w:rFonts w:ascii="ZWAdobeF" w:eastAsia="Times New Roman" w:hAnsi="ZWAdobeF" w:cs="ZWAdobeF"/>
          <w:iCs/>
          <w:kern w:val="2"/>
          <w:sz w:val="2"/>
          <w:szCs w:val="2"/>
          <w14:ligatures w14:val="standardContextual"/>
        </w:rPr>
        <w:t>571B</w:t>
      </w:r>
      <w:r w:rsidR="008015E9" w:rsidRPr="008015E9">
        <w:rPr>
          <w:rFonts w:ascii="Aptos" w:eastAsia="Times New Roman" w:hAnsi="Aptos" w:cs="Times New Roman"/>
          <w:iCs/>
          <w:color w:val="333333"/>
          <w:kern w:val="2"/>
          <w14:ligatures w14:val="standardContextual"/>
        </w:rPr>
        <w:t>I will be asking questions about “timely delivery” of accessible formats, including braille, large print, and EPUB. For the purposes of this interview, I will define “timely delivery” as students who need accessible formats receiving them at the same time as when their peers receive educational materials. [Do you or does anyone] have any questions or comments about this definition or terminology?</w:t>
      </w:r>
    </w:p>
    <w:p w14:paraId="0D3FCF59" w14:textId="77777777" w:rsidR="00805DF4" w:rsidRPr="008015E9" w:rsidRDefault="00805DF4" w:rsidP="00805DF4">
      <w:pPr>
        <w:spacing w:line="276" w:lineRule="auto"/>
        <w:ind w:left="360"/>
        <w:contextualSpacing/>
        <w:rPr>
          <w:rFonts w:ascii="Aptos" w:eastAsia="Times New Roman" w:hAnsi="Aptos" w:cs="Times New Roman"/>
          <w:iCs/>
          <w:color w:val="333333"/>
          <w:kern w:val="2"/>
          <w14:ligatures w14:val="standardContextual"/>
        </w:rPr>
      </w:pPr>
    </w:p>
    <w:p w14:paraId="7CC1FB13" w14:textId="004E0904" w:rsidR="008015E9" w:rsidRPr="008015E9" w:rsidRDefault="00B55C67" w:rsidP="008015E9">
      <w:pPr>
        <w:spacing w:line="276" w:lineRule="auto"/>
        <w:rPr>
          <w:rFonts w:ascii="Aptos" w:eastAsia="Times New Roman" w:hAnsi="Aptos" w:cs="Times New Roman"/>
          <w:b/>
          <w:bCs/>
          <w:iCs/>
          <w:color w:val="333333"/>
          <w:kern w:val="2"/>
          <w14:ligatures w14:val="standardContextual"/>
        </w:rPr>
      </w:pPr>
      <w:r>
        <w:rPr>
          <w:rFonts w:ascii="ZWAdobeF" w:eastAsia="Times New Roman" w:hAnsi="ZWAdobeF" w:cs="ZWAdobeF"/>
          <w:bCs/>
          <w:iCs/>
          <w:kern w:val="2"/>
          <w:sz w:val="2"/>
          <w:szCs w:val="2"/>
          <w14:ligatures w14:val="standardContextual"/>
        </w:rPr>
        <w:t>572B</w:t>
      </w:r>
      <w:r w:rsidR="008015E9" w:rsidRPr="008015E9">
        <w:rPr>
          <w:rFonts w:ascii="Aptos" w:eastAsia="Times New Roman" w:hAnsi="Aptos" w:cs="Times New Roman"/>
          <w:b/>
          <w:bCs/>
          <w:iCs/>
          <w:color w:val="333333"/>
          <w:kern w:val="2"/>
          <w14:ligatures w14:val="standardContextual"/>
        </w:rPr>
        <w:t xml:space="preserve">Questions for All Audiences Except Publishers </w:t>
      </w:r>
    </w:p>
    <w:p w14:paraId="38CA1179" w14:textId="5044F3E9" w:rsidR="008015E9" w:rsidRPr="008015E9" w:rsidRDefault="00B55C67" w:rsidP="00692AD9">
      <w:pPr>
        <w:numPr>
          <w:ilvl w:val="0"/>
          <w:numId w:val="4"/>
        </w:numPr>
        <w:spacing w:line="278" w:lineRule="auto"/>
        <w:contextualSpacing/>
        <w:rPr>
          <w:rFonts w:ascii="Aptos" w:eastAsia="Aptos" w:hAnsi="Aptos" w:cs="Times New Roman"/>
          <w:i/>
          <w:iCs/>
          <w:kern w:val="2"/>
          <w14:ligatures w14:val="standardContextual"/>
        </w:rPr>
      </w:pPr>
      <w:r>
        <w:rPr>
          <w:rFonts w:ascii="ZWAdobeF" w:eastAsia="Aptos" w:hAnsi="ZWAdobeF" w:cs="ZWAdobeF"/>
          <w:kern w:val="2"/>
          <w:sz w:val="2"/>
          <w:szCs w:val="2"/>
          <w14:ligatures w14:val="standardContextual"/>
        </w:rPr>
        <w:t>573B</w:t>
      </w:r>
      <w:r w:rsidR="008015E9" w:rsidRPr="008015E9">
        <w:rPr>
          <w:rFonts w:ascii="Aptos" w:eastAsia="Aptos" w:hAnsi="Aptos" w:cs="Times New Roman"/>
          <w:kern w:val="2"/>
          <w14:ligatures w14:val="standardContextual"/>
        </w:rPr>
        <w:t xml:space="preserve">How often do students with print disabilities or visual impairments use an accessible format that is less than ideal based on their Individualized Education Programs (IEPs)? Can you provide any examples or describe what happens for students or teachers when less than ideal materials are provided? </w:t>
      </w:r>
      <w:r w:rsidR="008015E9" w:rsidRPr="008015E9">
        <w:rPr>
          <w:rFonts w:ascii="Aptos" w:eastAsia="Aptos" w:hAnsi="Aptos" w:cs="Times New Roman"/>
          <w:i/>
          <w:iCs/>
          <w:kern w:val="2"/>
          <w14:ligatures w14:val="standardContextual"/>
        </w:rPr>
        <w:t>Additional information if needed: Less than ideal formats could include alternative formats that are easier to obtain (such as audio files instead of braille) as well as incomplete accessible formats that are easier to obtain (such as Bookshare BRF which does not include the graphic content of the book instead of a complete braille book)</w:t>
      </w:r>
    </w:p>
    <w:p w14:paraId="3B0D2C65" w14:textId="0D78042D" w:rsidR="008015E9" w:rsidRPr="008015E9" w:rsidRDefault="00B55C67" w:rsidP="00692AD9">
      <w:pPr>
        <w:numPr>
          <w:ilvl w:val="1"/>
          <w:numId w:val="4"/>
        </w:numPr>
        <w:spacing w:line="278" w:lineRule="auto"/>
        <w:contextualSpacing/>
        <w:rPr>
          <w:rFonts w:ascii="Aptos" w:eastAsia="Aptos" w:hAnsi="Aptos" w:cs="Times New Roman"/>
          <w:i/>
          <w:iCs/>
          <w:kern w:val="2"/>
          <w14:ligatures w14:val="standardContextual"/>
        </w:rPr>
      </w:pPr>
      <w:r>
        <w:rPr>
          <w:rFonts w:ascii="ZWAdobeF" w:eastAsia="Aptos" w:hAnsi="ZWAdobeF" w:cs="ZWAdobeF"/>
          <w:kern w:val="2"/>
          <w:sz w:val="2"/>
          <w:szCs w:val="2"/>
          <w14:ligatures w14:val="standardContextual"/>
        </w:rPr>
        <w:t>574B</w:t>
      </w:r>
      <w:r w:rsidR="008015E9" w:rsidRPr="008015E9">
        <w:rPr>
          <w:rFonts w:ascii="Aptos" w:eastAsia="Aptos" w:hAnsi="Aptos" w:cs="Times New Roman"/>
          <w:kern w:val="2"/>
          <w14:ligatures w14:val="standardContextual"/>
        </w:rPr>
        <w:t>Note:</w:t>
      </w:r>
      <w:r w:rsidR="008015E9" w:rsidRPr="008015E9">
        <w:rPr>
          <w:rFonts w:ascii="Aptos" w:eastAsia="Aptos" w:hAnsi="Aptos" w:cs="Times New Roman"/>
          <w:i/>
          <w:iCs/>
          <w:kern w:val="2"/>
          <w14:ligatures w14:val="standardContextual"/>
        </w:rPr>
        <w:t xml:space="preserve"> This question is geared to teachers and those who are close to the point-of-use, so it is not a high priority for individuals in administrative positions</w:t>
      </w:r>
    </w:p>
    <w:p w14:paraId="036CE594" w14:textId="1378699A" w:rsidR="008015E9" w:rsidRPr="008015E9" w:rsidRDefault="00B55C67" w:rsidP="00692AD9">
      <w:pPr>
        <w:numPr>
          <w:ilvl w:val="0"/>
          <w:numId w:val="4"/>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575B</w:t>
      </w:r>
      <w:r w:rsidR="008015E9" w:rsidRPr="008015E9">
        <w:rPr>
          <w:rFonts w:ascii="Aptos" w:eastAsia="Aptos" w:hAnsi="Aptos" w:cs="Times New Roman"/>
          <w:kern w:val="2"/>
          <w14:ligatures w14:val="standardContextual"/>
        </w:rPr>
        <w:t xml:space="preserve">How often are students with print disabilities or visual impairments provided a different curriculum from their class due to a lack of available accessible materials? Can you provide any examples or describe what this looks like for students or teachers when they receive a different curriculum? </w:t>
      </w:r>
    </w:p>
    <w:p w14:paraId="03B00BCD" w14:textId="5D57FC56" w:rsidR="008015E9" w:rsidRPr="008015E9" w:rsidRDefault="00B55C67" w:rsidP="00692AD9">
      <w:pPr>
        <w:numPr>
          <w:ilvl w:val="1"/>
          <w:numId w:val="4"/>
        </w:numPr>
        <w:spacing w:line="278" w:lineRule="auto"/>
        <w:contextualSpacing/>
        <w:rPr>
          <w:rFonts w:ascii="Aptos" w:eastAsia="Aptos" w:hAnsi="Aptos" w:cs="Times New Roman"/>
          <w:i/>
          <w:iCs/>
          <w:kern w:val="2"/>
          <w14:ligatures w14:val="standardContextual"/>
        </w:rPr>
      </w:pPr>
      <w:r>
        <w:rPr>
          <w:rFonts w:ascii="ZWAdobeF" w:eastAsia="Aptos" w:hAnsi="ZWAdobeF" w:cs="ZWAdobeF"/>
          <w:kern w:val="2"/>
          <w:sz w:val="2"/>
          <w:szCs w:val="2"/>
          <w14:ligatures w14:val="standardContextual"/>
        </w:rPr>
        <w:lastRenderedPageBreak/>
        <w:t>576B</w:t>
      </w:r>
      <w:r w:rsidR="008015E9" w:rsidRPr="008015E9">
        <w:rPr>
          <w:rFonts w:ascii="Aptos" w:eastAsia="Aptos" w:hAnsi="Aptos" w:cs="Times New Roman"/>
          <w:kern w:val="2"/>
          <w14:ligatures w14:val="standardContextual"/>
        </w:rPr>
        <w:t>Note:</w:t>
      </w:r>
      <w:r w:rsidR="008015E9" w:rsidRPr="008015E9">
        <w:rPr>
          <w:rFonts w:ascii="Aptos" w:eastAsia="Aptos" w:hAnsi="Aptos" w:cs="Times New Roman"/>
          <w:i/>
          <w:iCs/>
          <w:kern w:val="2"/>
          <w14:ligatures w14:val="standardContextual"/>
        </w:rPr>
        <w:t xml:space="preserve"> This question is geared to teachers and those who are close to the point-of-use, so it is not a high priority for individuals in administrative positions</w:t>
      </w:r>
    </w:p>
    <w:p w14:paraId="13C17152" w14:textId="6344B170" w:rsidR="008015E9" w:rsidRPr="008015E9" w:rsidRDefault="00B55C67" w:rsidP="00692AD9">
      <w:pPr>
        <w:numPr>
          <w:ilvl w:val="0"/>
          <w:numId w:val="4"/>
        </w:numPr>
        <w:spacing w:line="276" w:lineRule="auto"/>
        <w:contextualSpacing/>
        <w:rPr>
          <w:rFonts w:ascii="Aptos" w:eastAsia="Times New Roman" w:hAnsi="Aptos" w:cs="Times New Roman"/>
          <w:iCs/>
          <w:color w:val="333333"/>
          <w:kern w:val="2"/>
          <w14:ligatures w14:val="standardContextual"/>
        </w:rPr>
      </w:pPr>
      <w:r>
        <w:rPr>
          <w:rFonts w:ascii="ZWAdobeF" w:eastAsia="Times New Roman" w:hAnsi="ZWAdobeF" w:cs="ZWAdobeF"/>
          <w:iCs/>
          <w:kern w:val="2"/>
          <w:sz w:val="2"/>
          <w:szCs w:val="2"/>
          <w14:ligatures w14:val="standardContextual"/>
        </w:rPr>
        <w:t>577B</w:t>
      </w:r>
      <w:r w:rsidR="008015E9" w:rsidRPr="008015E9">
        <w:rPr>
          <w:rFonts w:ascii="Aptos" w:eastAsia="Times New Roman" w:hAnsi="Aptos" w:cs="Times New Roman"/>
          <w:iCs/>
          <w:color w:val="333333"/>
          <w:kern w:val="2"/>
          <w14:ligatures w14:val="standardContextual"/>
        </w:rPr>
        <w:t xml:space="preserve">From your perspective, what are the positive benefits of timely delivery of accessible formats for students with print disabilities and visual impairments? </w:t>
      </w:r>
      <w:r w:rsidR="008015E9" w:rsidRPr="008015E9">
        <w:rPr>
          <w:rFonts w:ascii="Aptos" w:eastAsia="Times New Roman" w:hAnsi="Aptos" w:cs="Times New Roman"/>
          <w:i/>
          <w:color w:val="333333"/>
          <w:kern w:val="2"/>
          <w14:ligatures w14:val="standardContextual"/>
        </w:rPr>
        <w:t xml:space="preserve">Prompt as needed: Impact on students’ learning, well-being, or relationships; Impact on stigma; Impact on equity </w:t>
      </w:r>
    </w:p>
    <w:p w14:paraId="7F2512F4" w14:textId="60E8EFCF" w:rsidR="008015E9" w:rsidRPr="008015E9" w:rsidRDefault="00B55C67" w:rsidP="00692AD9">
      <w:pPr>
        <w:numPr>
          <w:ilvl w:val="0"/>
          <w:numId w:val="4"/>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578B</w:t>
      </w:r>
      <w:r w:rsidR="008015E9" w:rsidRPr="008015E9">
        <w:rPr>
          <w:rFonts w:ascii="Aptos" w:eastAsia="Aptos" w:hAnsi="Aptos" w:cs="Times New Roman"/>
          <w:kern w:val="2"/>
          <w14:ligatures w14:val="standardContextual"/>
        </w:rPr>
        <w:t xml:space="preserve">What practices facilitate the timely delivery of accessible formats? </w:t>
      </w:r>
      <w:r w:rsidR="008015E9" w:rsidRPr="008015E9">
        <w:rPr>
          <w:rFonts w:ascii="Aptos" w:eastAsia="Aptos" w:hAnsi="Aptos" w:cs="Times New Roman"/>
          <w:i/>
          <w:iCs/>
          <w:kern w:val="2"/>
          <w14:ligatures w14:val="standardContextual"/>
        </w:rPr>
        <w:t>If relevant practices in the domains below are not mentioned, prompt for responses in each domain:</w:t>
      </w:r>
    </w:p>
    <w:p w14:paraId="4C55155F" w14:textId="711C2CA0" w:rsidR="008015E9" w:rsidRPr="008015E9" w:rsidRDefault="00B55C67" w:rsidP="00692AD9">
      <w:pPr>
        <w:numPr>
          <w:ilvl w:val="1"/>
          <w:numId w:val="4"/>
        </w:numPr>
        <w:spacing w:line="278" w:lineRule="auto"/>
        <w:contextualSpacing/>
        <w:rPr>
          <w:rFonts w:ascii="Aptos" w:eastAsia="Aptos" w:hAnsi="Aptos" w:cs="Times New Roman"/>
          <w:i/>
          <w:iCs/>
          <w:kern w:val="2"/>
          <w14:ligatures w14:val="standardContextual"/>
        </w:rPr>
      </w:pPr>
      <w:r>
        <w:rPr>
          <w:rFonts w:ascii="ZWAdobeF" w:eastAsia="Aptos" w:hAnsi="ZWAdobeF" w:cs="ZWAdobeF"/>
          <w:iCs/>
          <w:kern w:val="2"/>
          <w:sz w:val="2"/>
          <w:szCs w:val="2"/>
          <w14:ligatures w14:val="standardContextual"/>
        </w:rPr>
        <w:t>579B</w:t>
      </w:r>
      <w:r w:rsidR="008015E9" w:rsidRPr="008015E9">
        <w:rPr>
          <w:rFonts w:ascii="Aptos" w:eastAsia="Aptos" w:hAnsi="Aptos" w:cs="Times New Roman"/>
          <w:i/>
          <w:iCs/>
          <w:kern w:val="2"/>
          <w14:ligatures w14:val="standardContextual"/>
        </w:rPr>
        <w:t xml:space="preserve">Practices related to the production of accessible formats </w:t>
      </w:r>
    </w:p>
    <w:p w14:paraId="7721CBBA" w14:textId="5E4751DB" w:rsidR="008015E9" w:rsidRPr="008015E9" w:rsidRDefault="00B55C67" w:rsidP="00692AD9">
      <w:pPr>
        <w:numPr>
          <w:ilvl w:val="1"/>
          <w:numId w:val="4"/>
        </w:numPr>
        <w:spacing w:line="278" w:lineRule="auto"/>
        <w:contextualSpacing/>
        <w:rPr>
          <w:rFonts w:ascii="Aptos" w:eastAsia="Aptos" w:hAnsi="Aptos" w:cs="Times New Roman"/>
          <w:i/>
          <w:iCs/>
          <w:kern w:val="2"/>
          <w14:ligatures w14:val="standardContextual"/>
        </w:rPr>
      </w:pPr>
      <w:r>
        <w:rPr>
          <w:rFonts w:ascii="ZWAdobeF" w:eastAsia="Aptos" w:hAnsi="ZWAdobeF" w:cs="ZWAdobeF"/>
          <w:iCs/>
          <w:kern w:val="2"/>
          <w:sz w:val="2"/>
          <w:szCs w:val="2"/>
          <w14:ligatures w14:val="standardContextual"/>
        </w:rPr>
        <w:t>580B</w:t>
      </w:r>
      <w:r w:rsidR="008015E9" w:rsidRPr="008015E9">
        <w:rPr>
          <w:rFonts w:ascii="Aptos" w:eastAsia="Aptos" w:hAnsi="Aptos" w:cs="Times New Roman"/>
          <w:i/>
          <w:iCs/>
          <w:kern w:val="2"/>
          <w14:ligatures w14:val="standardContextual"/>
        </w:rPr>
        <w:t>Practices at the state, regional, district, or school level</w:t>
      </w:r>
    </w:p>
    <w:p w14:paraId="6691A630" w14:textId="272C01A1" w:rsidR="008015E9" w:rsidRPr="008015E9" w:rsidRDefault="00B55C67" w:rsidP="00692AD9">
      <w:pPr>
        <w:numPr>
          <w:ilvl w:val="1"/>
          <w:numId w:val="4"/>
        </w:numPr>
        <w:spacing w:line="278" w:lineRule="auto"/>
        <w:contextualSpacing/>
        <w:rPr>
          <w:rFonts w:ascii="Aptos" w:eastAsia="Aptos" w:hAnsi="Aptos" w:cs="Times New Roman"/>
          <w:i/>
          <w:iCs/>
          <w:kern w:val="2"/>
          <w14:ligatures w14:val="standardContextual"/>
        </w:rPr>
      </w:pPr>
      <w:r>
        <w:rPr>
          <w:rFonts w:ascii="ZWAdobeF" w:eastAsia="Aptos" w:hAnsi="ZWAdobeF" w:cs="ZWAdobeF"/>
          <w:iCs/>
          <w:kern w:val="2"/>
          <w:sz w:val="2"/>
          <w:szCs w:val="2"/>
          <w14:ligatures w14:val="standardContextual"/>
        </w:rPr>
        <w:t>581B</w:t>
      </w:r>
      <w:r w:rsidR="008015E9" w:rsidRPr="008015E9">
        <w:rPr>
          <w:rFonts w:ascii="Aptos" w:eastAsia="Aptos" w:hAnsi="Aptos" w:cs="Times New Roman"/>
          <w:i/>
          <w:iCs/>
          <w:kern w:val="2"/>
          <w14:ligatures w14:val="standardContextual"/>
        </w:rPr>
        <w:t>Practices related to the procurement process</w:t>
      </w:r>
    </w:p>
    <w:p w14:paraId="7CA176F2" w14:textId="679A57ED" w:rsidR="008015E9" w:rsidRPr="008015E9" w:rsidRDefault="00B55C67" w:rsidP="00692AD9">
      <w:pPr>
        <w:numPr>
          <w:ilvl w:val="0"/>
          <w:numId w:val="4"/>
        </w:numPr>
        <w:spacing w:line="278" w:lineRule="auto"/>
        <w:contextualSpacing/>
        <w:rPr>
          <w:rFonts w:ascii="Aptos" w:eastAsia="Aptos" w:hAnsi="Aptos" w:cs="Times New Roman"/>
          <w:i/>
          <w:iCs/>
          <w:kern w:val="2"/>
          <w14:ligatures w14:val="standardContextual"/>
        </w:rPr>
      </w:pPr>
      <w:r>
        <w:rPr>
          <w:rFonts w:ascii="ZWAdobeF" w:eastAsia="Aptos" w:hAnsi="ZWAdobeF" w:cs="ZWAdobeF"/>
          <w:kern w:val="2"/>
          <w:sz w:val="2"/>
          <w:szCs w:val="2"/>
          <w14:ligatures w14:val="standardContextual"/>
        </w:rPr>
        <w:t>582B</w:t>
      </w:r>
      <w:r w:rsidR="008015E9" w:rsidRPr="008015E9">
        <w:rPr>
          <w:rFonts w:ascii="Aptos" w:eastAsia="Aptos" w:hAnsi="Aptos" w:cs="Times New Roman"/>
          <w:kern w:val="2"/>
          <w14:ligatures w14:val="standardContextual"/>
        </w:rPr>
        <w:t xml:space="preserve">What factors hinder the timely delivery of accessible formats? </w:t>
      </w:r>
      <w:r w:rsidR="008015E9" w:rsidRPr="008015E9">
        <w:rPr>
          <w:rFonts w:ascii="Aptos" w:eastAsia="Aptos" w:hAnsi="Aptos" w:cs="Times New Roman"/>
          <w:i/>
          <w:iCs/>
          <w:kern w:val="2"/>
          <w14:ligatures w14:val="standardContextual"/>
        </w:rPr>
        <w:t xml:space="preserve">If relevant factors in the domains below are not mentioned, </w:t>
      </w:r>
      <w:proofErr w:type="gramStart"/>
      <w:r w:rsidR="008015E9" w:rsidRPr="008015E9">
        <w:rPr>
          <w:rFonts w:ascii="Aptos" w:eastAsia="Aptos" w:hAnsi="Aptos" w:cs="Times New Roman"/>
          <w:i/>
          <w:iCs/>
          <w:kern w:val="2"/>
          <w14:ligatures w14:val="standardContextual"/>
        </w:rPr>
        <w:t>prompt for</w:t>
      </w:r>
      <w:proofErr w:type="gramEnd"/>
      <w:r w:rsidR="008015E9" w:rsidRPr="008015E9">
        <w:rPr>
          <w:rFonts w:ascii="Aptos" w:eastAsia="Aptos" w:hAnsi="Aptos" w:cs="Times New Roman"/>
          <w:i/>
          <w:iCs/>
          <w:kern w:val="2"/>
          <w14:ligatures w14:val="standardContextual"/>
        </w:rPr>
        <w:t xml:space="preserve"> responses in each domain:</w:t>
      </w:r>
    </w:p>
    <w:p w14:paraId="595D1740" w14:textId="44756B18" w:rsidR="008015E9" w:rsidRPr="008015E9" w:rsidRDefault="00B55C67" w:rsidP="00692AD9">
      <w:pPr>
        <w:numPr>
          <w:ilvl w:val="1"/>
          <w:numId w:val="4"/>
        </w:numPr>
        <w:spacing w:line="278" w:lineRule="auto"/>
        <w:contextualSpacing/>
        <w:rPr>
          <w:rFonts w:ascii="Aptos" w:eastAsia="Aptos" w:hAnsi="Aptos" w:cs="Times New Roman"/>
          <w:i/>
          <w:iCs/>
          <w:kern w:val="2"/>
          <w14:ligatures w14:val="standardContextual"/>
        </w:rPr>
      </w:pPr>
      <w:r>
        <w:rPr>
          <w:rFonts w:ascii="ZWAdobeF" w:eastAsia="Aptos" w:hAnsi="ZWAdobeF" w:cs="ZWAdobeF"/>
          <w:iCs/>
          <w:kern w:val="2"/>
          <w:sz w:val="2"/>
          <w:szCs w:val="2"/>
          <w14:ligatures w14:val="standardContextual"/>
        </w:rPr>
        <w:t>583B</w:t>
      </w:r>
      <w:r w:rsidR="008015E9" w:rsidRPr="008015E9">
        <w:rPr>
          <w:rFonts w:ascii="Aptos" w:eastAsia="Aptos" w:hAnsi="Aptos" w:cs="Times New Roman"/>
          <w:i/>
          <w:iCs/>
          <w:kern w:val="2"/>
          <w14:ligatures w14:val="standardContextual"/>
        </w:rPr>
        <w:t>Factors related to the production of accessible formats</w:t>
      </w:r>
    </w:p>
    <w:p w14:paraId="6351DD78" w14:textId="4961B54F" w:rsidR="008015E9" w:rsidRPr="008015E9" w:rsidRDefault="00B55C67" w:rsidP="00692AD9">
      <w:pPr>
        <w:numPr>
          <w:ilvl w:val="1"/>
          <w:numId w:val="4"/>
        </w:numPr>
        <w:spacing w:line="278" w:lineRule="auto"/>
        <w:contextualSpacing/>
        <w:rPr>
          <w:rFonts w:ascii="Aptos" w:eastAsia="Aptos" w:hAnsi="Aptos" w:cs="Times New Roman"/>
          <w:i/>
          <w:iCs/>
          <w:kern w:val="2"/>
          <w14:ligatures w14:val="standardContextual"/>
        </w:rPr>
      </w:pPr>
      <w:r>
        <w:rPr>
          <w:rFonts w:ascii="ZWAdobeF" w:eastAsia="Aptos" w:hAnsi="ZWAdobeF" w:cs="ZWAdobeF"/>
          <w:iCs/>
          <w:kern w:val="2"/>
          <w:sz w:val="2"/>
          <w:szCs w:val="2"/>
          <w14:ligatures w14:val="standardContextual"/>
        </w:rPr>
        <w:t>584B</w:t>
      </w:r>
      <w:r w:rsidR="008015E9" w:rsidRPr="008015E9">
        <w:rPr>
          <w:rFonts w:ascii="Aptos" w:eastAsia="Aptos" w:hAnsi="Aptos" w:cs="Times New Roman"/>
          <w:i/>
          <w:iCs/>
          <w:kern w:val="2"/>
          <w14:ligatures w14:val="standardContextual"/>
        </w:rPr>
        <w:t>Factors related to state, regional, district, or school-level practices</w:t>
      </w:r>
    </w:p>
    <w:p w14:paraId="56AA4206" w14:textId="0DE94751" w:rsidR="008015E9" w:rsidRDefault="00B55C67" w:rsidP="00692AD9">
      <w:pPr>
        <w:numPr>
          <w:ilvl w:val="1"/>
          <w:numId w:val="4"/>
        </w:numPr>
        <w:spacing w:line="278" w:lineRule="auto"/>
        <w:contextualSpacing/>
        <w:rPr>
          <w:rFonts w:ascii="Aptos" w:eastAsia="Aptos" w:hAnsi="Aptos" w:cs="Times New Roman"/>
          <w:i/>
          <w:iCs/>
          <w:kern w:val="2"/>
          <w14:ligatures w14:val="standardContextual"/>
        </w:rPr>
      </w:pPr>
      <w:r>
        <w:rPr>
          <w:rFonts w:ascii="ZWAdobeF" w:eastAsia="Aptos" w:hAnsi="ZWAdobeF" w:cs="ZWAdobeF"/>
          <w:iCs/>
          <w:kern w:val="2"/>
          <w:sz w:val="2"/>
          <w:szCs w:val="2"/>
          <w14:ligatures w14:val="standardContextual"/>
        </w:rPr>
        <w:t>585B</w:t>
      </w:r>
      <w:r w:rsidR="008015E9" w:rsidRPr="008015E9">
        <w:rPr>
          <w:rFonts w:ascii="Aptos" w:eastAsia="Aptos" w:hAnsi="Aptos" w:cs="Times New Roman"/>
          <w:i/>
          <w:iCs/>
          <w:kern w:val="2"/>
          <w14:ligatures w14:val="standardContextual"/>
        </w:rPr>
        <w:t>Factors related to the procurement process</w:t>
      </w:r>
    </w:p>
    <w:p w14:paraId="3636435E" w14:textId="77777777" w:rsidR="00805DF4" w:rsidRPr="008015E9" w:rsidRDefault="00805DF4" w:rsidP="00805DF4">
      <w:pPr>
        <w:spacing w:line="278" w:lineRule="auto"/>
        <w:ind w:left="1080"/>
        <w:contextualSpacing/>
        <w:rPr>
          <w:rFonts w:ascii="Aptos" w:eastAsia="Aptos" w:hAnsi="Aptos" w:cs="Times New Roman"/>
          <w:i/>
          <w:iCs/>
          <w:kern w:val="2"/>
          <w14:ligatures w14:val="standardContextual"/>
        </w:rPr>
      </w:pPr>
    </w:p>
    <w:p w14:paraId="5CB3BC91" w14:textId="36199155" w:rsidR="008015E9" w:rsidRPr="008015E9" w:rsidRDefault="00B55C67" w:rsidP="008015E9">
      <w:pPr>
        <w:spacing w:line="278" w:lineRule="auto"/>
        <w:rPr>
          <w:rFonts w:ascii="Aptos" w:eastAsia="Aptos" w:hAnsi="Aptos" w:cs="Times New Roman"/>
          <w:b/>
          <w:bCs/>
          <w:kern w:val="2"/>
          <w14:ligatures w14:val="standardContextual"/>
        </w:rPr>
      </w:pPr>
      <w:r>
        <w:rPr>
          <w:rFonts w:ascii="ZWAdobeF" w:eastAsia="Aptos" w:hAnsi="ZWAdobeF" w:cs="ZWAdobeF"/>
          <w:bCs/>
          <w:kern w:val="2"/>
          <w:sz w:val="2"/>
          <w:szCs w:val="2"/>
          <w14:ligatures w14:val="standardContextual"/>
        </w:rPr>
        <w:t>586B</w:t>
      </w:r>
      <w:r w:rsidR="008015E9" w:rsidRPr="008015E9">
        <w:rPr>
          <w:rFonts w:ascii="Aptos" w:eastAsia="Aptos" w:hAnsi="Aptos" w:cs="Times New Roman"/>
          <w:b/>
          <w:bCs/>
          <w:kern w:val="2"/>
          <w14:ligatures w14:val="standardContextual"/>
        </w:rPr>
        <w:t xml:space="preserve">Additional Question for Charter School Staff, SEA Staff, and IMC/IRC Staff </w:t>
      </w:r>
    </w:p>
    <w:p w14:paraId="7655DF17" w14:textId="0E0A2426" w:rsidR="008015E9" w:rsidRPr="00805DF4" w:rsidRDefault="00B55C67" w:rsidP="00692AD9">
      <w:pPr>
        <w:numPr>
          <w:ilvl w:val="0"/>
          <w:numId w:val="4"/>
        </w:numPr>
        <w:spacing w:line="276" w:lineRule="auto"/>
        <w:contextualSpacing/>
        <w:rPr>
          <w:rFonts w:ascii="Aptos" w:eastAsia="Times New Roman" w:hAnsi="Aptos" w:cs="Times New Roman"/>
          <w:iCs/>
          <w:color w:val="333333"/>
          <w:kern w:val="2"/>
          <w14:ligatures w14:val="standardContextual"/>
        </w:rPr>
      </w:pPr>
      <w:r>
        <w:rPr>
          <w:rFonts w:ascii="ZWAdobeF" w:eastAsia="Aptos" w:hAnsi="ZWAdobeF" w:cs="ZWAdobeF"/>
          <w:kern w:val="2"/>
          <w:sz w:val="2"/>
          <w:szCs w:val="2"/>
          <w14:ligatures w14:val="standardContextual"/>
        </w:rPr>
        <w:t>587B</w:t>
      </w:r>
      <w:r w:rsidR="008015E9" w:rsidRPr="008015E9">
        <w:rPr>
          <w:rFonts w:ascii="Aptos" w:eastAsia="Aptos" w:hAnsi="Aptos" w:cs="Times New Roman"/>
          <w:kern w:val="2"/>
          <w14:ligatures w14:val="standardContextual"/>
        </w:rPr>
        <w:t xml:space="preserve">In addition to what we have already discussed, what factors hinder the timely delivery of accessible formats for students in charter schools specifically? Do these vary based on whether the charter school is online or in-person? </w:t>
      </w:r>
      <w:r w:rsidR="008015E9" w:rsidRPr="008015E9">
        <w:rPr>
          <w:rFonts w:ascii="Aptos" w:eastAsia="Times New Roman" w:hAnsi="Aptos" w:cs="Times New Roman"/>
          <w:i/>
          <w:color w:val="333333"/>
          <w:kern w:val="2"/>
          <w14:ligatures w14:val="standardContextual"/>
        </w:rPr>
        <w:t>Prompt as needed: Lack of resources; Lack of familiarity with special education among charter school administrators; Lack of accountability systems to promote timely delivery</w:t>
      </w:r>
    </w:p>
    <w:p w14:paraId="0FF0B548" w14:textId="77777777" w:rsidR="00805DF4" w:rsidRPr="008015E9" w:rsidRDefault="00805DF4" w:rsidP="00805DF4">
      <w:pPr>
        <w:spacing w:line="276" w:lineRule="auto"/>
        <w:ind w:left="360"/>
        <w:contextualSpacing/>
        <w:rPr>
          <w:rFonts w:ascii="Aptos" w:eastAsia="Times New Roman" w:hAnsi="Aptos" w:cs="Times New Roman"/>
          <w:iCs/>
          <w:color w:val="333333"/>
          <w:kern w:val="2"/>
          <w14:ligatures w14:val="standardContextual"/>
        </w:rPr>
      </w:pPr>
    </w:p>
    <w:p w14:paraId="575C5C15" w14:textId="5E8E240E" w:rsidR="008015E9" w:rsidRPr="008015E9" w:rsidRDefault="00B55C67" w:rsidP="008015E9">
      <w:pPr>
        <w:spacing w:line="276" w:lineRule="auto"/>
        <w:rPr>
          <w:rFonts w:ascii="Aptos" w:eastAsia="Times New Roman" w:hAnsi="Aptos" w:cs="Times New Roman"/>
          <w:b/>
          <w:bCs/>
          <w:iCs/>
          <w:color w:val="333333"/>
          <w:kern w:val="2"/>
          <w14:ligatures w14:val="standardContextual"/>
        </w:rPr>
      </w:pPr>
      <w:r>
        <w:rPr>
          <w:rFonts w:ascii="ZWAdobeF" w:eastAsia="Times New Roman" w:hAnsi="ZWAdobeF" w:cs="ZWAdobeF"/>
          <w:bCs/>
          <w:iCs/>
          <w:kern w:val="2"/>
          <w:sz w:val="2"/>
          <w:szCs w:val="2"/>
          <w14:ligatures w14:val="standardContextual"/>
        </w:rPr>
        <w:t>588B</w:t>
      </w:r>
      <w:r w:rsidR="008015E9" w:rsidRPr="008015E9">
        <w:rPr>
          <w:rFonts w:ascii="Aptos" w:eastAsia="Times New Roman" w:hAnsi="Aptos" w:cs="Times New Roman"/>
          <w:b/>
          <w:bCs/>
          <w:iCs/>
          <w:color w:val="333333"/>
          <w:kern w:val="2"/>
          <w14:ligatures w14:val="standardContextual"/>
        </w:rPr>
        <w:t xml:space="preserve">Questions for All Audiences Except AMPs and Publishers/Vendors </w:t>
      </w:r>
    </w:p>
    <w:p w14:paraId="0D456CAC" w14:textId="51E52375" w:rsidR="008015E9" w:rsidRPr="008015E9" w:rsidRDefault="00B55C67" w:rsidP="00692AD9">
      <w:pPr>
        <w:numPr>
          <w:ilvl w:val="0"/>
          <w:numId w:val="4"/>
        </w:numPr>
        <w:spacing w:line="276" w:lineRule="auto"/>
        <w:contextualSpacing/>
        <w:rPr>
          <w:rFonts w:ascii="Aptos" w:eastAsia="Times New Roman" w:hAnsi="Aptos" w:cs="Times New Roman"/>
          <w:iCs/>
          <w:color w:val="333333"/>
          <w:kern w:val="2"/>
          <w14:ligatures w14:val="standardContextual"/>
        </w:rPr>
      </w:pPr>
      <w:r>
        <w:rPr>
          <w:rFonts w:ascii="ZWAdobeF" w:eastAsia="Aptos" w:hAnsi="ZWAdobeF" w:cs="ZWAdobeF"/>
          <w:kern w:val="2"/>
          <w:sz w:val="2"/>
          <w:szCs w:val="2"/>
          <w14:ligatures w14:val="standardContextual"/>
        </w:rPr>
        <w:t>589B</w:t>
      </w:r>
      <w:r w:rsidR="008015E9" w:rsidRPr="008015E9">
        <w:rPr>
          <w:rFonts w:ascii="Aptos" w:eastAsia="Aptos" w:hAnsi="Aptos" w:cs="Times New Roman"/>
          <w:kern w:val="2"/>
          <w14:ligatures w14:val="standardContextual"/>
        </w:rPr>
        <w:t xml:space="preserve">As you may know, publishers are only required to submit NIMAS files to the NIMAC repository if the NIMAS requirement is included in procurement contracts when educational materials are purchased by a State or district. What practices could help SEAs and LEAs [for Oregon: and </w:t>
      </w:r>
      <w:r w:rsidR="008015E9" w:rsidRPr="008015E9">
        <w:rPr>
          <w:rFonts w:ascii="Aptos" w:eastAsia="Times New Roman" w:hAnsi="Aptos" w:cs="Times New Roman"/>
          <w:iCs/>
          <w:color w:val="333333"/>
          <w:kern w:val="2"/>
          <w14:ligatures w14:val="standardContextual"/>
        </w:rPr>
        <w:t xml:space="preserve">ESDs] consistently include the NIMAS requirement in procurement contracts for educational materials? </w:t>
      </w:r>
      <w:r w:rsidR="008015E9" w:rsidRPr="008015E9">
        <w:rPr>
          <w:rFonts w:ascii="Aptos" w:eastAsia="Times New Roman" w:hAnsi="Aptos" w:cs="Times New Roman"/>
          <w:i/>
          <w:color w:val="333333"/>
          <w:kern w:val="2"/>
          <w14:ligatures w14:val="standardContextual"/>
        </w:rPr>
        <w:t>Prompt as needed: Trainings with SEA/LEA [for Oregon: and ESD] procurement staff, general education and special education departments, and other stakeholder groups (e.g., IRCs); Additional TA; Additional educational materials about the NIMAS requirement</w:t>
      </w:r>
    </w:p>
    <w:p w14:paraId="3B66AA32" w14:textId="3FB30575" w:rsidR="008015E9" w:rsidRPr="008015E9" w:rsidRDefault="00B55C67" w:rsidP="00692AD9">
      <w:pPr>
        <w:numPr>
          <w:ilvl w:val="1"/>
          <w:numId w:val="4"/>
        </w:numPr>
        <w:spacing w:line="276" w:lineRule="auto"/>
        <w:contextualSpacing/>
        <w:rPr>
          <w:rFonts w:ascii="Aptos" w:eastAsia="Aptos" w:hAnsi="Aptos" w:cs="Times New Roman"/>
          <w:b/>
          <w:bCs/>
          <w:kern w:val="2"/>
          <w14:ligatures w14:val="standardContextual"/>
        </w:rPr>
      </w:pPr>
      <w:r>
        <w:rPr>
          <w:rFonts w:ascii="ZWAdobeF" w:eastAsia="Aptos" w:hAnsi="ZWAdobeF" w:cs="ZWAdobeF"/>
          <w:iCs/>
          <w:kern w:val="2"/>
          <w:sz w:val="2"/>
          <w:szCs w:val="2"/>
          <w14:ligatures w14:val="standardContextual"/>
        </w:rPr>
        <w:t>590B</w:t>
      </w:r>
      <w:r w:rsidR="008015E9" w:rsidRPr="008015E9">
        <w:rPr>
          <w:rFonts w:ascii="Aptos" w:eastAsia="Aptos" w:hAnsi="Aptos" w:cs="Times New Roman"/>
          <w:i/>
          <w:iCs/>
          <w:kern w:val="2"/>
          <w14:ligatures w14:val="standardContextual"/>
        </w:rPr>
        <w:t xml:space="preserve">Note: This question is not a high priority for teachers, although if time permits, try to gauge teacher awareness of how the overall system works. </w:t>
      </w:r>
    </w:p>
    <w:p w14:paraId="6C9C2457" w14:textId="70AD340F" w:rsidR="008015E9" w:rsidRPr="008015E9" w:rsidRDefault="00B55C67" w:rsidP="00692AD9">
      <w:pPr>
        <w:numPr>
          <w:ilvl w:val="0"/>
          <w:numId w:val="4"/>
        </w:numPr>
        <w:spacing w:line="276" w:lineRule="auto"/>
        <w:contextualSpacing/>
        <w:rPr>
          <w:rFonts w:ascii="Aptos" w:eastAsia="Times New Roman" w:hAnsi="Aptos" w:cs="Times New Roman"/>
          <w:iCs/>
          <w:color w:val="333333"/>
          <w:kern w:val="2"/>
          <w14:ligatures w14:val="standardContextual"/>
        </w:rPr>
      </w:pPr>
      <w:r>
        <w:rPr>
          <w:rFonts w:ascii="ZWAdobeF" w:eastAsia="Aptos" w:hAnsi="ZWAdobeF" w:cs="ZWAdobeF"/>
          <w:kern w:val="2"/>
          <w:sz w:val="2"/>
          <w:szCs w:val="2"/>
          <w14:ligatures w14:val="standardContextual"/>
        </w:rPr>
        <w:t>591B</w:t>
      </w:r>
      <w:r w:rsidR="008015E9" w:rsidRPr="008015E9">
        <w:rPr>
          <w:rFonts w:ascii="Aptos" w:eastAsia="Aptos" w:hAnsi="Aptos" w:cs="Times New Roman"/>
          <w:kern w:val="2"/>
          <w14:ligatures w14:val="standardContextual"/>
        </w:rPr>
        <w:t xml:space="preserve">For students with print disabilities or visual impairments, what factors hinder the </w:t>
      </w:r>
      <w:r w:rsidR="008015E9" w:rsidRPr="008015E9">
        <w:rPr>
          <w:rFonts w:ascii="Aptos" w:eastAsia="Aptos" w:hAnsi="Aptos" w:cs="Times New Roman"/>
          <w:b/>
          <w:bCs/>
          <w:i/>
          <w:iCs/>
          <w:kern w:val="2"/>
          <w:u w:val="single"/>
          <w14:ligatures w14:val="standardContextual"/>
        </w:rPr>
        <w:t>use</w:t>
      </w:r>
      <w:r w:rsidR="008015E9" w:rsidRPr="008015E9">
        <w:rPr>
          <w:rFonts w:ascii="Aptos" w:eastAsia="Aptos" w:hAnsi="Aptos" w:cs="Times New Roman"/>
          <w:kern w:val="2"/>
          <w14:ligatures w14:val="standardContextual"/>
        </w:rPr>
        <w:t xml:space="preserve"> of accessible formats that are best formatted to meet their needs, as specified in their IEPs? </w:t>
      </w:r>
      <w:r w:rsidR="008015E9" w:rsidRPr="008015E9">
        <w:rPr>
          <w:rFonts w:ascii="Aptos" w:eastAsia="Times New Roman" w:hAnsi="Aptos" w:cs="Times New Roman"/>
          <w:i/>
          <w:color w:val="333333"/>
          <w:kern w:val="2"/>
          <w14:ligatures w14:val="standardContextual"/>
        </w:rPr>
        <w:t>Prompt as needed: Lack of AT, instructional support, or student familiarity; Use of readily available/less expensive</w:t>
      </w:r>
      <w:proofErr w:type="gramStart"/>
      <w:r w:rsidR="008015E9" w:rsidRPr="008015E9">
        <w:rPr>
          <w:rFonts w:ascii="Aptos" w:eastAsia="Times New Roman" w:hAnsi="Aptos" w:cs="Times New Roman"/>
          <w:i/>
          <w:color w:val="333333"/>
          <w:kern w:val="2"/>
          <w14:ligatures w14:val="standardContextual"/>
        </w:rPr>
        <w:t>/“</w:t>
      </w:r>
      <w:proofErr w:type="gramEnd"/>
      <w:r w:rsidR="008015E9" w:rsidRPr="008015E9">
        <w:rPr>
          <w:rFonts w:ascii="Aptos" w:eastAsia="Times New Roman" w:hAnsi="Aptos" w:cs="Times New Roman"/>
          <w:i/>
          <w:color w:val="333333"/>
          <w:kern w:val="2"/>
          <w14:ligatures w14:val="standardContextual"/>
        </w:rPr>
        <w:t>backup” formats; Stigma; Cumbersome formats</w:t>
      </w:r>
    </w:p>
    <w:p w14:paraId="2C898AA4" w14:textId="631DBB54" w:rsidR="00177D73" w:rsidRDefault="00177D73">
      <w:pPr>
        <w:rPr>
          <w:rFonts w:ascii="Aptos" w:eastAsia="Times New Roman" w:hAnsi="Aptos" w:cs="Times New Roman"/>
          <w:iCs/>
          <w:color w:val="333333"/>
          <w:kern w:val="2"/>
          <w14:ligatures w14:val="standardContextual"/>
        </w:rPr>
      </w:pPr>
      <w:r>
        <w:rPr>
          <w:rFonts w:ascii="Aptos" w:eastAsia="Times New Roman" w:hAnsi="Aptos" w:cs="Times New Roman"/>
          <w:iCs/>
          <w:color w:val="333333"/>
          <w:kern w:val="2"/>
          <w14:ligatures w14:val="standardContextual"/>
        </w:rPr>
        <w:br w:type="page"/>
      </w:r>
    </w:p>
    <w:p w14:paraId="3D2B1830" w14:textId="4136DC46" w:rsidR="008015E9" w:rsidRPr="008015E9" w:rsidRDefault="00B55C67" w:rsidP="008015E9">
      <w:pPr>
        <w:spacing w:line="278" w:lineRule="auto"/>
        <w:rPr>
          <w:rFonts w:ascii="Aptos" w:eastAsia="Aptos" w:hAnsi="Aptos" w:cs="Times New Roman"/>
          <w:b/>
          <w:bCs/>
          <w:kern w:val="2"/>
          <w14:ligatures w14:val="standardContextual"/>
        </w:rPr>
      </w:pPr>
      <w:r>
        <w:rPr>
          <w:rFonts w:ascii="ZWAdobeF" w:eastAsia="Aptos" w:hAnsi="ZWAdobeF" w:cs="ZWAdobeF"/>
          <w:bCs/>
          <w:kern w:val="2"/>
          <w:sz w:val="2"/>
          <w:szCs w:val="2"/>
          <w14:ligatures w14:val="standardContextual"/>
        </w:rPr>
        <w:lastRenderedPageBreak/>
        <w:t>592B</w:t>
      </w:r>
      <w:r w:rsidR="008015E9" w:rsidRPr="008015E9">
        <w:rPr>
          <w:rFonts w:ascii="Aptos" w:eastAsia="Aptos" w:hAnsi="Aptos" w:cs="Times New Roman"/>
          <w:b/>
          <w:bCs/>
          <w:kern w:val="2"/>
          <w14:ligatures w14:val="standardContextual"/>
        </w:rPr>
        <w:t>Additional Question for Publishers/Vendors</w:t>
      </w:r>
    </w:p>
    <w:p w14:paraId="394BC992" w14:textId="0176AF7C" w:rsidR="008015E9" w:rsidRDefault="00B55C67" w:rsidP="00692AD9">
      <w:pPr>
        <w:numPr>
          <w:ilvl w:val="0"/>
          <w:numId w:val="4"/>
        </w:numPr>
        <w:spacing w:line="278" w:lineRule="auto"/>
        <w:contextualSpacing/>
        <w:rPr>
          <w:rFonts w:ascii="Aptos" w:eastAsia="Aptos" w:hAnsi="Aptos" w:cs="Times New Roman"/>
          <w:kern w:val="2"/>
          <w14:ligatures w14:val="standardContextual"/>
        </w:rPr>
      </w:pPr>
      <w:r>
        <w:rPr>
          <w:rFonts w:ascii="ZWAdobeF" w:eastAsia="Aptos" w:hAnsi="ZWAdobeF" w:cs="ZWAdobeF"/>
          <w:kern w:val="2"/>
          <w:sz w:val="2"/>
          <w:szCs w:val="2"/>
          <w14:ligatures w14:val="standardContextual"/>
        </w:rPr>
        <w:t>593B</w:t>
      </w:r>
      <w:r w:rsidR="008015E9" w:rsidRPr="008015E9">
        <w:rPr>
          <w:rFonts w:ascii="Aptos" w:eastAsia="Aptos" w:hAnsi="Aptos" w:cs="Times New Roman"/>
          <w:kern w:val="2"/>
          <w14:ligatures w14:val="standardContextual"/>
        </w:rPr>
        <w:t>How do NIMAS production workflows and NIMAC technical assistance facilitate the timely certification of NIMAS files?</w:t>
      </w:r>
    </w:p>
    <w:p w14:paraId="79F764C3" w14:textId="77777777" w:rsidR="008015E9" w:rsidRPr="008015E9" w:rsidRDefault="008015E9" w:rsidP="008015E9">
      <w:pPr>
        <w:spacing w:line="278" w:lineRule="auto"/>
        <w:ind w:left="360"/>
        <w:contextualSpacing/>
        <w:rPr>
          <w:rFonts w:ascii="Aptos" w:eastAsia="Aptos" w:hAnsi="Aptos" w:cs="Times New Roman"/>
          <w:kern w:val="2"/>
          <w14:ligatures w14:val="standardContextual"/>
        </w:rPr>
      </w:pPr>
    </w:p>
    <w:p w14:paraId="2B80C19A" w14:textId="2A5B090B" w:rsidR="008015E9" w:rsidRPr="008015E9" w:rsidRDefault="00B55C67" w:rsidP="008015E9">
      <w:pPr>
        <w:spacing w:line="278" w:lineRule="auto"/>
        <w:rPr>
          <w:rFonts w:ascii="Aptos" w:eastAsia="Aptos" w:hAnsi="Aptos" w:cs="Times New Roman"/>
          <w:b/>
          <w:bCs/>
          <w:kern w:val="2"/>
          <w14:ligatures w14:val="standardContextual"/>
        </w:rPr>
      </w:pPr>
      <w:r>
        <w:rPr>
          <w:rFonts w:ascii="ZWAdobeF" w:eastAsia="Aptos" w:hAnsi="ZWAdobeF" w:cs="ZWAdobeF"/>
          <w:bCs/>
          <w:kern w:val="2"/>
          <w:sz w:val="2"/>
          <w:szCs w:val="2"/>
          <w14:ligatures w14:val="standardContextual"/>
        </w:rPr>
        <w:t>594B</w:t>
      </w:r>
      <w:r w:rsidR="008015E9" w:rsidRPr="008015E9">
        <w:rPr>
          <w:rFonts w:ascii="Aptos" w:eastAsia="Aptos" w:hAnsi="Aptos" w:cs="Times New Roman"/>
          <w:b/>
          <w:bCs/>
          <w:kern w:val="2"/>
          <w14:ligatures w14:val="standardContextual"/>
        </w:rPr>
        <w:t xml:space="preserve">Additional Questions for NIMAC Users and AMPs </w:t>
      </w:r>
    </w:p>
    <w:p w14:paraId="05900971" w14:textId="4C606DA4" w:rsidR="008015E9" w:rsidRPr="008015E9" w:rsidRDefault="00B55C67" w:rsidP="00692AD9">
      <w:pPr>
        <w:numPr>
          <w:ilvl w:val="0"/>
          <w:numId w:val="4"/>
        </w:numPr>
        <w:spacing w:line="276" w:lineRule="auto"/>
        <w:contextualSpacing/>
        <w:rPr>
          <w:rFonts w:ascii="Aptos" w:eastAsia="Times New Roman" w:hAnsi="Aptos" w:cs="Times New Roman"/>
          <w:iCs/>
          <w:color w:val="333333"/>
          <w:kern w:val="2"/>
          <w14:ligatures w14:val="standardContextual"/>
        </w:rPr>
      </w:pPr>
      <w:r>
        <w:rPr>
          <w:rFonts w:ascii="ZWAdobeF" w:eastAsia="Aptos" w:hAnsi="ZWAdobeF" w:cs="ZWAdobeF"/>
          <w:kern w:val="2"/>
          <w:sz w:val="2"/>
          <w:szCs w:val="2"/>
          <w14:ligatures w14:val="standardContextual"/>
        </w:rPr>
        <w:t>595B</w:t>
      </w:r>
      <w:r w:rsidR="008015E9" w:rsidRPr="008015E9">
        <w:rPr>
          <w:rFonts w:ascii="Aptos" w:eastAsia="Aptos" w:hAnsi="Aptos" w:cs="Times New Roman"/>
          <w:kern w:val="2"/>
          <w14:ligatures w14:val="standardContextual"/>
        </w:rPr>
        <w:t xml:space="preserve">When you think specifically about NIMAC operations and availability of files in the repository, what factors are important in supporting timely delivery? </w:t>
      </w:r>
      <w:r w:rsidR="008015E9" w:rsidRPr="008015E9">
        <w:rPr>
          <w:rFonts w:ascii="Aptos" w:eastAsia="Times New Roman" w:hAnsi="Aptos" w:cs="Times New Roman"/>
          <w:i/>
          <w:color w:val="333333"/>
          <w:kern w:val="2"/>
          <w14:ligatures w14:val="standardContextual"/>
        </w:rPr>
        <w:t>Prompt as needed: NIMAS files already in the NIMAC system when needed; TA provided by NIMAC; Publishers holding vendors to a timeline for NIMAS conversion</w:t>
      </w:r>
    </w:p>
    <w:p w14:paraId="01C6D506" w14:textId="0158F29F" w:rsidR="008015E9" w:rsidRPr="008015E9" w:rsidRDefault="00B55C67" w:rsidP="00692AD9">
      <w:pPr>
        <w:numPr>
          <w:ilvl w:val="0"/>
          <w:numId w:val="4"/>
        </w:numPr>
        <w:spacing w:line="276" w:lineRule="auto"/>
        <w:contextualSpacing/>
        <w:rPr>
          <w:rFonts w:ascii="Aptos" w:eastAsia="Times New Roman" w:hAnsi="Aptos" w:cs="Times New Roman"/>
          <w:iCs/>
          <w:color w:val="333333"/>
          <w:kern w:val="2"/>
          <w14:ligatures w14:val="standardContextual"/>
        </w:rPr>
      </w:pPr>
      <w:r>
        <w:rPr>
          <w:rFonts w:ascii="ZWAdobeF" w:eastAsia="Times New Roman" w:hAnsi="ZWAdobeF" w:cs="ZWAdobeF"/>
          <w:iCs/>
          <w:kern w:val="2"/>
          <w:sz w:val="2"/>
          <w:szCs w:val="2"/>
          <w14:ligatures w14:val="standardContextual"/>
        </w:rPr>
        <w:t>596B</w:t>
      </w:r>
      <w:r w:rsidR="008015E9" w:rsidRPr="008015E9">
        <w:rPr>
          <w:rFonts w:ascii="Aptos" w:eastAsia="Times New Roman" w:hAnsi="Aptos" w:cs="Times New Roman"/>
          <w:iCs/>
          <w:color w:val="333333"/>
          <w:kern w:val="2"/>
          <w14:ligatures w14:val="standardContextual"/>
        </w:rPr>
        <w:t xml:space="preserve">When you think specifically about NIMAC operations and availability of files in the repository, what factors hinder the timely delivery of accessible formats? </w:t>
      </w:r>
      <w:r w:rsidR="008015E9" w:rsidRPr="008015E9">
        <w:rPr>
          <w:rFonts w:ascii="Aptos" w:eastAsia="Times New Roman" w:hAnsi="Aptos" w:cs="Times New Roman"/>
          <w:i/>
          <w:color w:val="333333"/>
          <w:kern w:val="2"/>
          <w14:ligatures w14:val="standardContextual"/>
        </w:rPr>
        <w:t>Prompt as needed: NIMAS files are not included in the NIMAC system (e.g., OER, teacher- or district-created curricula); Difference between NIMAS-based textbook and textbook used in classroom; Lack of understanding/awareness of NIMAC and NIMAS files; Delays in getting files assigned by AU; Difficulties working with NIMAS files</w:t>
      </w:r>
    </w:p>
    <w:p w14:paraId="411ADA42" w14:textId="77777777" w:rsidR="008015E9" w:rsidRPr="008015E9" w:rsidRDefault="008015E9" w:rsidP="008015E9">
      <w:pPr>
        <w:spacing w:line="276" w:lineRule="auto"/>
        <w:ind w:left="360"/>
        <w:contextualSpacing/>
        <w:rPr>
          <w:rFonts w:ascii="Aptos" w:eastAsia="Times New Roman" w:hAnsi="Aptos" w:cs="Times New Roman"/>
          <w:iCs/>
          <w:color w:val="333333"/>
          <w:kern w:val="2"/>
          <w14:ligatures w14:val="standardContextual"/>
        </w:rPr>
      </w:pPr>
    </w:p>
    <w:p w14:paraId="43E6F7A9" w14:textId="7EC90886" w:rsidR="008015E9" w:rsidRPr="008015E9" w:rsidRDefault="00B55C67" w:rsidP="008015E9">
      <w:pPr>
        <w:spacing w:line="276" w:lineRule="auto"/>
        <w:rPr>
          <w:rFonts w:ascii="Aptos" w:eastAsia="Times New Roman" w:hAnsi="Aptos" w:cs="Times New Roman"/>
          <w:b/>
          <w:bCs/>
          <w:iCs/>
          <w:color w:val="333333"/>
          <w:kern w:val="2"/>
          <w14:ligatures w14:val="standardContextual"/>
        </w:rPr>
      </w:pPr>
      <w:r>
        <w:rPr>
          <w:rFonts w:ascii="ZWAdobeF" w:eastAsia="Times New Roman" w:hAnsi="ZWAdobeF" w:cs="ZWAdobeF"/>
          <w:bCs/>
          <w:iCs/>
          <w:kern w:val="2"/>
          <w:sz w:val="2"/>
          <w:szCs w:val="2"/>
          <w14:ligatures w14:val="standardContextual"/>
        </w:rPr>
        <w:t>597B</w:t>
      </w:r>
      <w:r w:rsidR="008015E9" w:rsidRPr="008015E9">
        <w:rPr>
          <w:rFonts w:ascii="Aptos" w:eastAsia="Times New Roman" w:hAnsi="Aptos" w:cs="Times New Roman"/>
          <w:b/>
          <w:bCs/>
          <w:iCs/>
          <w:color w:val="333333"/>
          <w:kern w:val="2"/>
          <w14:ligatures w14:val="standardContextual"/>
        </w:rPr>
        <w:t>Additional Questions for NIMAC Users</w:t>
      </w:r>
    </w:p>
    <w:p w14:paraId="0EB7D5E2" w14:textId="2780444D" w:rsidR="008015E9" w:rsidRDefault="00B55C67" w:rsidP="00692AD9">
      <w:pPr>
        <w:numPr>
          <w:ilvl w:val="0"/>
          <w:numId w:val="4"/>
        </w:numPr>
        <w:spacing w:line="276" w:lineRule="auto"/>
        <w:contextualSpacing/>
        <w:rPr>
          <w:rFonts w:ascii="Aptos" w:eastAsia="Times New Roman" w:hAnsi="Aptos" w:cs="Times New Roman"/>
          <w:iCs/>
          <w:color w:val="333333"/>
          <w:kern w:val="2"/>
          <w14:ligatures w14:val="standardContextual"/>
        </w:rPr>
      </w:pPr>
      <w:r>
        <w:rPr>
          <w:rFonts w:ascii="ZWAdobeF" w:eastAsia="Times New Roman" w:hAnsi="ZWAdobeF" w:cs="ZWAdobeF"/>
          <w:iCs/>
          <w:kern w:val="2"/>
          <w:sz w:val="2"/>
          <w:szCs w:val="2"/>
          <w14:ligatures w14:val="standardContextual"/>
        </w:rPr>
        <w:t>598B</w:t>
      </w:r>
      <w:r w:rsidR="008015E9" w:rsidRPr="008015E9">
        <w:rPr>
          <w:rFonts w:ascii="Aptos" w:eastAsia="Times New Roman" w:hAnsi="Aptos" w:cs="Times New Roman"/>
          <w:iCs/>
          <w:color w:val="333333"/>
          <w:kern w:val="2"/>
          <w14:ligatures w14:val="standardContextual"/>
        </w:rPr>
        <w:t xml:space="preserve">If you have used the NIMAC Watchlist request service, how effective is it at supporting accessible format production when NIMAS files have not been received by the publisher? </w:t>
      </w:r>
    </w:p>
    <w:p w14:paraId="6AA089CB" w14:textId="77777777" w:rsidR="008015E9" w:rsidRPr="008015E9" w:rsidRDefault="008015E9" w:rsidP="008015E9">
      <w:pPr>
        <w:spacing w:line="276" w:lineRule="auto"/>
        <w:ind w:left="360"/>
        <w:contextualSpacing/>
        <w:rPr>
          <w:rFonts w:ascii="Aptos" w:eastAsia="Times New Roman" w:hAnsi="Aptos" w:cs="Times New Roman"/>
          <w:iCs/>
          <w:color w:val="333333"/>
          <w:kern w:val="2"/>
          <w14:ligatures w14:val="standardContextual"/>
        </w:rPr>
      </w:pPr>
    </w:p>
    <w:p w14:paraId="3D94EE28" w14:textId="5482583F" w:rsidR="008015E9" w:rsidRPr="008015E9" w:rsidRDefault="00B55C67" w:rsidP="008015E9">
      <w:pPr>
        <w:spacing w:line="276" w:lineRule="auto"/>
        <w:rPr>
          <w:rFonts w:ascii="Aptos" w:eastAsia="Times New Roman" w:hAnsi="Aptos" w:cs="Times New Roman"/>
          <w:b/>
          <w:bCs/>
          <w:iCs/>
          <w:color w:val="333333"/>
          <w:kern w:val="2"/>
          <w14:ligatures w14:val="standardContextual"/>
        </w:rPr>
      </w:pPr>
      <w:r>
        <w:rPr>
          <w:rFonts w:ascii="ZWAdobeF" w:eastAsia="Times New Roman" w:hAnsi="ZWAdobeF" w:cs="ZWAdobeF"/>
          <w:bCs/>
          <w:iCs/>
          <w:kern w:val="2"/>
          <w:sz w:val="2"/>
          <w:szCs w:val="2"/>
          <w14:ligatures w14:val="standardContextual"/>
        </w:rPr>
        <w:t>599B</w:t>
      </w:r>
      <w:r w:rsidR="008015E9" w:rsidRPr="008015E9">
        <w:rPr>
          <w:rFonts w:ascii="Aptos" w:eastAsia="Times New Roman" w:hAnsi="Aptos" w:cs="Times New Roman"/>
          <w:b/>
          <w:bCs/>
          <w:iCs/>
          <w:color w:val="333333"/>
          <w:kern w:val="2"/>
          <w14:ligatures w14:val="standardContextual"/>
        </w:rPr>
        <w:t>Additional Question for All Audiences Except Publishers/Vendors</w:t>
      </w:r>
    </w:p>
    <w:p w14:paraId="15815112" w14:textId="18461AE4" w:rsidR="008015E9" w:rsidRDefault="00B55C67" w:rsidP="00692AD9">
      <w:pPr>
        <w:numPr>
          <w:ilvl w:val="0"/>
          <w:numId w:val="4"/>
        </w:numPr>
        <w:spacing w:line="276" w:lineRule="auto"/>
        <w:contextualSpacing/>
        <w:rPr>
          <w:rFonts w:ascii="Aptos" w:eastAsia="Times New Roman" w:hAnsi="Aptos" w:cs="Times New Roman"/>
          <w:iCs/>
          <w:color w:val="333333"/>
          <w:kern w:val="2"/>
          <w14:ligatures w14:val="standardContextual"/>
        </w:rPr>
      </w:pPr>
      <w:r>
        <w:rPr>
          <w:rFonts w:ascii="ZWAdobeF" w:eastAsia="Times New Roman" w:hAnsi="ZWAdobeF" w:cs="ZWAdobeF"/>
          <w:iCs/>
          <w:kern w:val="2"/>
          <w:sz w:val="2"/>
          <w:szCs w:val="2"/>
          <w14:ligatures w14:val="standardContextual"/>
        </w:rPr>
        <w:t>600B</w:t>
      </w:r>
      <w:r w:rsidR="008015E9" w:rsidRPr="008015E9">
        <w:rPr>
          <w:rFonts w:ascii="Aptos" w:eastAsia="Times New Roman" w:hAnsi="Aptos" w:cs="Times New Roman"/>
          <w:iCs/>
          <w:color w:val="333333"/>
          <w:kern w:val="2"/>
          <w14:ligatures w14:val="standardContextual"/>
        </w:rPr>
        <w:t>We are hoping to interview teachers of students with IEPs. Can you recommend any teachers who you think may be willing to share perspectives on the timely delivery of accessible formats? If so, please come off mute or enter information into the chat.</w:t>
      </w:r>
    </w:p>
    <w:p w14:paraId="5C5236C1" w14:textId="77777777" w:rsidR="008015E9" w:rsidRPr="008015E9" w:rsidRDefault="008015E9" w:rsidP="008015E9">
      <w:pPr>
        <w:spacing w:line="276" w:lineRule="auto"/>
        <w:ind w:left="360"/>
        <w:contextualSpacing/>
        <w:rPr>
          <w:rFonts w:ascii="Aptos" w:eastAsia="Times New Roman" w:hAnsi="Aptos" w:cs="Times New Roman"/>
          <w:iCs/>
          <w:color w:val="333333"/>
          <w:kern w:val="2"/>
          <w14:ligatures w14:val="standardContextual"/>
        </w:rPr>
      </w:pPr>
    </w:p>
    <w:p w14:paraId="1D0FDF88" w14:textId="5CB7F530" w:rsidR="008015E9" w:rsidRPr="008015E9" w:rsidRDefault="00B55C67" w:rsidP="008015E9">
      <w:pPr>
        <w:spacing w:line="276" w:lineRule="auto"/>
        <w:rPr>
          <w:rFonts w:ascii="Aptos" w:eastAsia="Times New Roman" w:hAnsi="Aptos" w:cs="Times New Roman"/>
          <w:b/>
          <w:bCs/>
          <w:iCs/>
          <w:color w:val="333333"/>
          <w:kern w:val="2"/>
          <w14:ligatures w14:val="standardContextual"/>
        </w:rPr>
      </w:pPr>
      <w:r>
        <w:rPr>
          <w:rFonts w:ascii="ZWAdobeF" w:eastAsia="Times New Roman" w:hAnsi="ZWAdobeF" w:cs="ZWAdobeF"/>
          <w:bCs/>
          <w:iCs/>
          <w:kern w:val="2"/>
          <w:sz w:val="2"/>
          <w:szCs w:val="2"/>
          <w14:ligatures w14:val="standardContextual"/>
        </w:rPr>
        <w:t>601B</w:t>
      </w:r>
      <w:r w:rsidR="008015E9" w:rsidRPr="008015E9">
        <w:rPr>
          <w:rFonts w:ascii="Aptos" w:eastAsia="Times New Roman" w:hAnsi="Aptos" w:cs="Times New Roman"/>
          <w:b/>
          <w:bCs/>
          <w:iCs/>
          <w:color w:val="333333"/>
          <w:kern w:val="2"/>
          <w14:ligatures w14:val="standardContextual"/>
        </w:rPr>
        <w:t>Final Question for All Audiences</w:t>
      </w:r>
    </w:p>
    <w:p w14:paraId="04FF1C88" w14:textId="35641CF7" w:rsidR="008015E9" w:rsidRPr="008015E9" w:rsidRDefault="00B55C67" w:rsidP="00692AD9">
      <w:pPr>
        <w:numPr>
          <w:ilvl w:val="0"/>
          <w:numId w:val="4"/>
        </w:numPr>
        <w:spacing w:line="276" w:lineRule="auto"/>
        <w:contextualSpacing/>
        <w:rPr>
          <w:rFonts w:ascii="Aptos" w:eastAsia="Times New Roman" w:hAnsi="Aptos" w:cs="Times New Roman"/>
          <w:iCs/>
          <w:color w:val="333333"/>
          <w:kern w:val="2"/>
          <w14:ligatures w14:val="standardContextual"/>
        </w:rPr>
      </w:pPr>
      <w:r>
        <w:rPr>
          <w:rFonts w:ascii="ZWAdobeF" w:eastAsia="Times New Roman" w:hAnsi="ZWAdobeF" w:cs="ZWAdobeF"/>
          <w:iCs/>
          <w:kern w:val="2"/>
          <w:sz w:val="2"/>
          <w:szCs w:val="2"/>
          <w14:ligatures w14:val="standardContextual"/>
        </w:rPr>
        <w:t>602B</w:t>
      </w:r>
      <w:r w:rsidR="008015E9" w:rsidRPr="008015E9">
        <w:rPr>
          <w:rFonts w:ascii="Aptos" w:eastAsia="Times New Roman" w:hAnsi="Aptos" w:cs="Times New Roman"/>
          <w:iCs/>
          <w:color w:val="333333"/>
          <w:kern w:val="2"/>
          <w14:ligatures w14:val="standardContextual"/>
        </w:rPr>
        <w:t>Before we end, I’d like to provide you with an opportunity to offer any additional comments or suggestions related to the timely delivery of accessible formats for students with print disabilities or visual impairments.</w:t>
      </w:r>
    </w:p>
    <w:p w14:paraId="49F642C1" w14:textId="77777777" w:rsidR="008015E9" w:rsidRPr="008015E9" w:rsidRDefault="008015E9" w:rsidP="008015E9">
      <w:pPr>
        <w:spacing w:after="0" w:line="278" w:lineRule="auto"/>
        <w:rPr>
          <w:rFonts w:ascii="Aptos" w:eastAsia="Aptos" w:hAnsi="Aptos" w:cs="Times New Roman"/>
          <w:kern w:val="2"/>
          <w14:ligatures w14:val="standardContextual"/>
        </w:rPr>
      </w:pPr>
    </w:p>
    <w:p w14:paraId="4D92AF96" w14:textId="05E17577" w:rsidR="008015E9" w:rsidRPr="008015E9" w:rsidRDefault="00B55C67" w:rsidP="00805DF4">
      <w:pPr>
        <w:spacing w:after="0" w:line="278" w:lineRule="auto"/>
        <w:jc w:val="center"/>
        <w:rPr>
          <w:rFonts w:ascii="Aptos" w:eastAsia="Aptos" w:hAnsi="Aptos" w:cs="Times New Roman"/>
          <w:kern w:val="2"/>
          <w14:ligatures w14:val="standardContextual"/>
        </w:rPr>
      </w:pPr>
      <w:r>
        <w:rPr>
          <w:rFonts w:ascii="ZWAdobeF" w:eastAsia="Aptos" w:hAnsi="ZWAdobeF" w:cs="ZWAdobeF"/>
          <w:iCs/>
          <w:kern w:val="2"/>
          <w:sz w:val="2"/>
          <w:szCs w:val="2"/>
          <w14:ligatures w14:val="standardContextual"/>
        </w:rPr>
        <w:t>603B</w:t>
      </w:r>
      <w:r w:rsidR="008015E9" w:rsidRPr="008015E9">
        <w:rPr>
          <w:rFonts w:ascii="Aptos" w:eastAsia="Aptos" w:hAnsi="Aptos" w:cs="Times New Roman"/>
          <w:i/>
          <w:iCs/>
          <w:kern w:val="2"/>
          <w14:ligatures w14:val="standardContextual"/>
        </w:rPr>
        <w:t>Thank you so much for participating in this interview and providing your perspectives!</w:t>
      </w:r>
    </w:p>
    <w:p w14:paraId="23418D15" w14:textId="1DD67B7F" w:rsidR="00834DBB" w:rsidRDefault="00834DBB" w:rsidP="00B756D5">
      <w:pPr>
        <w:spacing w:after="0" w:line="252" w:lineRule="auto"/>
        <w:jc w:val="center"/>
        <w:rPr>
          <w:rStyle w:val="Strong"/>
          <w:color w:val="A80000"/>
        </w:rPr>
      </w:pPr>
      <w:r>
        <w:rPr>
          <w:rStyle w:val="Strong"/>
          <w:color w:val="A80000"/>
        </w:rPr>
        <w:br w:type="page"/>
      </w:r>
    </w:p>
    <w:p w14:paraId="6A856677" w14:textId="77777777" w:rsidR="00880B10" w:rsidRDefault="00880B10" w:rsidP="00880B10">
      <w:pPr>
        <w:rPr>
          <w:rStyle w:val="Strong"/>
          <w:rFonts w:ascii="Calibri" w:hAnsi="Calibri"/>
          <w:b w:val="0"/>
          <w:bCs w:val="0"/>
          <w:color w:val="1B4466"/>
        </w:rPr>
      </w:pPr>
    </w:p>
    <w:p w14:paraId="3F95A68B" w14:textId="77777777" w:rsidR="00880B10" w:rsidRDefault="00880B10" w:rsidP="00880B10">
      <w:pPr>
        <w:rPr>
          <w:rStyle w:val="Strong"/>
          <w:rFonts w:ascii="Calibri" w:hAnsi="Calibri"/>
          <w:b w:val="0"/>
          <w:bCs w:val="0"/>
          <w:color w:val="1B4466"/>
        </w:rPr>
      </w:pPr>
    </w:p>
    <w:p w14:paraId="3776A994" w14:textId="77777777" w:rsidR="00880B10" w:rsidRDefault="00880B10" w:rsidP="00880B10">
      <w:pPr>
        <w:rPr>
          <w:rStyle w:val="Strong"/>
          <w:rFonts w:ascii="Calibri" w:hAnsi="Calibri"/>
          <w:b w:val="0"/>
          <w:bCs w:val="0"/>
          <w:color w:val="1B4466"/>
        </w:rPr>
      </w:pPr>
    </w:p>
    <w:p w14:paraId="68EB3B90" w14:textId="77777777" w:rsidR="00880B10" w:rsidRDefault="00880B10" w:rsidP="00880B10">
      <w:pPr>
        <w:rPr>
          <w:rStyle w:val="Strong"/>
          <w:rFonts w:ascii="Calibri" w:hAnsi="Calibri"/>
          <w:b w:val="0"/>
          <w:bCs w:val="0"/>
          <w:color w:val="1B4466"/>
        </w:rPr>
      </w:pPr>
    </w:p>
    <w:p w14:paraId="270B8618" w14:textId="77777777" w:rsidR="00880B10" w:rsidRDefault="00880B10" w:rsidP="00880B10">
      <w:pPr>
        <w:rPr>
          <w:rStyle w:val="Strong"/>
          <w:rFonts w:ascii="Calibri" w:hAnsi="Calibri"/>
          <w:b w:val="0"/>
          <w:bCs w:val="0"/>
          <w:color w:val="1B4466"/>
        </w:rPr>
      </w:pPr>
    </w:p>
    <w:p w14:paraId="03F96B86" w14:textId="77777777" w:rsidR="00880B10" w:rsidRDefault="00880B10" w:rsidP="00880B10">
      <w:pPr>
        <w:rPr>
          <w:rStyle w:val="Strong"/>
          <w:rFonts w:ascii="Calibri" w:hAnsi="Calibri"/>
          <w:b w:val="0"/>
          <w:bCs w:val="0"/>
          <w:color w:val="1B4466"/>
        </w:rPr>
      </w:pPr>
    </w:p>
    <w:p w14:paraId="6AC1D21C" w14:textId="77777777" w:rsidR="00880B10" w:rsidRDefault="00880B10" w:rsidP="00880B10">
      <w:pPr>
        <w:rPr>
          <w:rStyle w:val="Strong"/>
          <w:rFonts w:ascii="Calibri" w:hAnsi="Calibri"/>
          <w:b w:val="0"/>
          <w:bCs w:val="0"/>
          <w:color w:val="1B4466"/>
        </w:rPr>
      </w:pPr>
    </w:p>
    <w:p w14:paraId="79241098" w14:textId="77777777" w:rsidR="00880B10" w:rsidRDefault="00880B10" w:rsidP="00880B10">
      <w:pPr>
        <w:rPr>
          <w:rStyle w:val="Strong"/>
          <w:rFonts w:ascii="Calibri" w:hAnsi="Calibri"/>
          <w:b w:val="0"/>
          <w:bCs w:val="0"/>
          <w:color w:val="1B4466"/>
        </w:rPr>
      </w:pPr>
    </w:p>
    <w:p w14:paraId="7408F914" w14:textId="77777777" w:rsidR="00880B10" w:rsidRDefault="00880B10" w:rsidP="00880B10">
      <w:pPr>
        <w:rPr>
          <w:rStyle w:val="Strong"/>
          <w:rFonts w:ascii="Calibri" w:hAnsi="Calibri"/>
          <w:b w:val="0"/>
          <w:bCs w:val="0"/>
          <w:color w:val="1B4466"/>
        </w:rPr>
      </w:pPr>
    </w:p>
    <w:p w14:paraId="50FC7919" w14:textId="77777777" w:rsidR="00880B10" w:rsidRDefault="00880B10" w:rsidP="00880B10">
      <w:pPr>
        <w:rPr>
          <w:rStyle w:val="Strong"/>
          <w:rFonts w:ascii="Calibri" w:hAnsi="Calibri"/>
          <w:b w:val="0"/>
          <w:bCs w:val="0"/>
          <w:color w:val="1B4466"/>
        </w:rPr>
      </w:pPr>
    </w:p>
    <w:p w14:paraId="1D2E6AF5" w14:textId="17486FFA" w:rsidR="003336F1" w:rsidRPr="00E52FD0" w:rsidRDefault="006C0B3D" w:rsidP="00E52FD0">
      <w:pPr>
        <w:pStyle w:val="Heading2"/>
      </w:pPr>
      <w:bookmarkStart w:id="117" w:name="_Toc222904050"/>
      <w:r w:rsidRPr="00B4146C">
        <w:rPr>
          <w:rStyle w:val="Strong"/>
          <w:rFonts w:ascii="Calibri" w:hAnsi="Calibri"/>
          <w:b/>
          <w:bCs w:val="0"/>
          <w:color w:val="1B4466"/>
        </w:rPr>
        <w:t xml:space="preserve">Appendix </w:t>
      </w:r>
      <w:r w:rsidR="00834DBB" w:rsidRPr="00B4146C">
        <w:rPr>
          <w:rStyle w:val="Strong"/>
          <w:rFonts w:ascii="Calibri" w:hAnsi="Calibri"/>
          <w:b/>
          <w:bCs w:val="0"/>
          <w:color w:val="1B4466"/>
        </w:rPr>
        <w:t>C</w:t>
      </w:r>
      <w:r w:rsidRPr="00B4146C">
        <w:rPr>
          <w:rStyle w:val="Strong"/>
          <w:rFonts w:ascii="Calibri" w:hAnsi="Calibri"/>
          <w:b/>
          <w:bCs w:val="0"/>
          <w:color w:val="1B4466"/>
        </w:rPr>
        <w:t>:</w:t>
      </w:r>
      <w:r w:rsidR="0056672F" w:rsidRPr="00B4146C">
        <w:rPr>
          <w:rStyle w:val="Strong"/>
          <w:rFonts w:ascii="Calibri" w:hAnsi="Calibri"/>
          <w:b/>
          <w:bCs w:val="0"/>
          <w:color w:val="1B4466"/>
        </w:rPr>
        <w:t xml:space="preserve"> </w:t>
      </w:r>
      <w:r w:rsidR="006A1FE1" w:rsidRPr="00B4146C">
        <w:t>NIMAC 2025 Publisher/Vendor Webinar Training (Parts 1, 2, and 3) Exit Surveys: Data Report for the NIMAC Case Study</w:t>
      </w:r>
      <w:bookmarkEnd w:id="117"/>
    </w:p>
    <w:p w14:paraId="1A788332" w14:textId="77777777" w:rsidR="003336F1" w:rsidRDefault="003336F1" w:rsidP="0025713B">
      <w:pPr>
        <w:spacing w:after="360"/>
        <w:rPr>
          <w:rFonts w:ascii="Times New Roman" w:eastAsia="Aptos" w:hAnsi="Times New Roman" w:cs="Times New Roman"/>
          <w:kern w:val="2"/>
          <w:sz w:val="24"/>
          <w:szCs w:val="24"/>
          <w14:ligatures w14:val="standardContextual"/>
        </w:rPr>
      </w:pPr>
    </w:p>
    <w:p w14:paraId="72026B9F" w14:textId="77777777" w:rsidR="003336F1" w:rsidRDefault="003336F1" w:rsidP="0025713B">
      <w:pPr>
        <w:spacing w:after="360"/>
        <w:rPr>
          <w:rFonts w:ascii="Times New Roman" w:eastAsia="Aptos" w:hAnsi="Times New Roman" w:cs="Times New Roman"/>
          <w:kern w:val="2"/>
          <w:sz w:val="24"/>
          <w:szCs w:val="24"/>
          <w14:ligatures w14:val="standardContextual"/>
        </w:rPr>
      </w:pPr>
    </w:p>
    <w:p w14:paraId="111FBB9A" w14:textId="77777777" w:rsidR="003336F1" w:rsidRDefault="003336F1" w:rsidP="0025713B">
      <w:pPr>
        <w:spacing w:after="360"/>
        <w:rPr>
          <w:rFonts w:ascii="Times New Roman" w:eastAsia="Aptos" w:hAnsi="Times New Roman" w:cs="Times New Roman"/>
          <w:kern w:val="2"/>
          <w:sz w:val="24"/>
          <w:szCs w:val="24"/>
          <w14:ligatures w14:val="standardContextual"/>
        </w:rPr>
      </w:pPr>
    </w:p>
    <w:p w14:paraId="2A518266" w14:textId="77777777" w:rsidR="003336F1" w:rsidRDefault="003336F1" w:rsidP="0025713B">
      <w:pPr>
        <w:spacing w:after="360"/>
        <w:rPr>
          <w:rFonts w:ascii="Times New Roman" w:eastAsia="Aptos" w:hAnsi="Times New Roman" w:cs="Times New Roman"/>
          <w:kern w:val="2"/>
          <w:sz w:val="24"/>
          <w:szCs w:val="24"/>
          <w14:ligatures w14:val="standardContextual"/>
        </w:rPr>
      </w:pPr>
    </w:p>
    <w:p w14:paraId="05C8B63D" w14:textId="77777777" w:rsidR="003336F1" w:rsidRDefault="003336F1" w:rsidP="0025713B">
      <w:pPr>
        <w:spacing w:after="360"/>
        <w:rPr>
          <w:rFonts w:ascii="Times New Roman" w:eastAsia="Aptos" w:hAnsi="Times New Roman" w:cs="Times New Roman"/>
          <w:kern w:val="2"/>
          <w:sz w:val="24"/>
          <w:szCs w:val="24"/>
          <w14:ligatures w14:val="standardContextual"/>
        </w:rPr>
      </w:pPr>
    </w:p>
    <w:p w14:paraId="33971884" w14:textId="77777777" w:rsidR="003336F1" w:rsidRDefault="003336F1" w:rsidP="0025713B">
      <w:pPr>
        <w:spacing w:after="360"/>
        <w:rPr>
          <w:rFonts w:ascii="Times New Roman" w:eastAsia="Aptos" w:hAnsi="Times New Roman" w:cs="Times New Roman"/>
          <w:kern w:val="2"/>
          <w:sz w:val="24"/>
          <w:szCs w:val="24"/>
          <w14:ligatures w14:val="standardContextual"/>
        </w:rPr>
      </w:pPr>
    </w:p>
    <w:p w14:paraId="437F492A" w14:textId="77777777" w:rsidR="003336F1" w:rsidRDefault="003336F1" w:rsidP="0025713B">
      <w:pPr>
        <w:spacing w:after="360"/>
        <w:rPr>
          <w:rFonts w:ascii="Times New Roman" w:eastAsia="Aptos" w:hAnsi="Times New Roman" w:cs="Times New Roman"/>
          <w:kern w:val="2"/>
          <w:sz w:val="24"/>
          <w:szCs w:val="24"/>
          <w14:ligatures w14:val="standardContextual"/>
        </w:rPr>
      </w:pPr>
    </w:p>
    <w:p w14:paraId="39B6D778" w14:textId="77777777" w:rsidR="003336F1" w:rsidRDefault="003336F1" w:rsidP="0025713B">
      <w:pPr>
        <w:spacing w:after="360"/>
        <w:rPr>
          <w:rFonts w:ascii="Times New Roman" w:eastAsia="Aptos" w:hAnsi="Times New Roman" w:cs="Times New Roman"/>
          <w:kern w:val="2"/>
          <w:sz w:val="24"/>
          <w:szCs w:val="24"/>
          <w14:ligatures w14:val="standardContextual"/>
        </w:rPr>
      </w:pPr>
    </w:p>
    <w:p w14:paraId="3B5330DF" w14:textId="77777777" w:rsidR="003336F1" w:rsidRDefault="003336F1" w:rsidP="0025713B">
      <w:pPr>
        <w:spacing w:after="360"/>
        <w:rPr>
          <w:rFonts w:ascii="Times New Roman" w:eastAsia="Aptos" w:hAnsi="Times New Roman" w:cs="Times New Roman"/>
          <w:kern w:val="2"/>
          <w:sz w:val="24"/>
          <w:szCs w:val="24"/>
          <w14:ligatures w14:val="standardContextual"/>
        </w:rPr>
      </w:pPr>
    </w:p>
    <w:p w14:paraId="1706971C" w14:textId="77777777" w:rsidR="00CF7E80" w:rsidRDefault="00CF7E80">
      <w:pPr>
        <w:rPr>
          <w:rFonts w:eastAsia="Aptos" w:cstheme="minorHAnsi"/>
          <w:b/>
          <w:bCs/>
          <w:color w:val="203864"/>
          <w:kern w:val="2"/>
          <w:sz w:val="32"/>
          <w:szCs w:val="32"/>
          <w14:ligatures w14:val="standardContextual"/>
        </w:rPr>
      </w:pPr>
      <w:bookmarkStart w:id="118" w:name="_Hlk216475422"/>
      <w:r>
        <w:rPr>
          <w:rFonts w:eastAsia="Aptos" w:cstheme="minorHAnsi"/>
          <w:b/>
          <w:bCs/>
          <w:color w:val="203864"/>
          <w:kern w:val="2"/>
          <w:sz w:val="32"/>
          <w:szCs w:val="32"/>
          <w14:ligatures w14:val="standardContextual"/>
        </w:rPr>
        <w:br w:type="page"/>
      </w:r>
    </w:p>
    <w:p w14:paraId="27362060" w14:textId="6186A7D5" w:rsidR="000435A2" w:rsidRPr="000435A2" w:rsidRDefault="00B55C67" w:rsidP="000435A2">
      <w:pPr>
        <w:spacing w:after="0" w:line="240" w:lineRule="auto"/>
        <w:jc w:val="center"/>
        <w:rPr>
          <w:rFonts w:eastAsia="Aptos" w:cstheme="minorHAnsi"/>
          <w:b/>
          <w:bCs/>
          <w:color w:val="156082"/>
          <w:kern w:val="2"/>
          <w:sz w:val="32"/>
          <w:szCs w:val="32"/>
          <w14:ligatures w14:val="standardContextual"/>
        </w:rPr>
      </w:pPr>
      <w:r>
        <w:rPr>
          <w:rFonts w:ascii="ZWAdobeF" w:eastAsia="Aptos" w:hAnsi="ZWAdobeF" w:cs="ZWAdobeF"/>
          <w:bCs/>
          <w:kern w:val="2"/>
          <w:sz w:val="2"/>
          <w:szCs w:val="2"/>
          <w14:ligatures w14:val="standardContextual"/>
        </w:rPr>
        <w:lastRenderedPageBreak/>
        <w:t>604B</w:t>
      </w:r>
      <w:r w:rsidR="000435A2" w:rsidRPr="000435A2">
        <w:rPr>
          <w:rFonts w:eastAsia="Aptos" w:cstheme="minorHAnsi"/>
          <w:b/>
          <w:bCs/>
          <w:color w:val="203864"/>
          <w:kern w:val="2"/>
          <w:sz w:val="32"/>
          <w:szCs w:val="32"/>
          <w14:ligatures w14:val="standardContextual"/>
        </w:rPr>
        <w:t>NIMAC 2025 Publisher/Vendor Webinar Training (Parts 1, 2, and 3) Exit Surveys: Data Report for the NIMAC Case Study</w:t>
      </w:r>
    </w:p>
    <w:bookmarkEnd w:id="118"/>
    <w:p w14:paraId="6284D093" w14:textId="77777777" w:rsidR="000435A2" w:rsidRPr="000435A2" w:rsidRDefault="000435A2" w:rsidP="000435A2">
      <w:pPr>
        <w:rPr>
          <w:rFonts w:eastAsia="Aptos" w:cstheme="minorHAnsi"/>
          <w:kern w:val="2"/>
          <w:sz w:val="10"/>
          <w:szCs w:val="10"/>
          <w14:ligatures w14:val="standardContextual"/>
        </w:rPr>
      </w:pPr>
    </w:p>
    <w:p w14:paraId="1C427F1B" w14:textId="15F7E130" w:rsidR="000435A2" w:rsidRPr="000435A2" w:rsidRDefault="00B55C67" w:rsidP="000435A2">
      <w:pPr>
        <w:spacing w:after="360"/>
        <w:rPr>
          <w:rFonts w:eastAsia="Aptos" w:cstheme="minorHAnsi"/>
          <w:kern w:val="2"/>
          <w:sz w:val="24"/>
          <w:szCs w:val="24"/>
          <w14:ligatures w14:val="standardContextual"/>
        </w:rPr>
      </w:pPr>
      <w:r>
        <w:rPr>
          <w:rFonts w:ascii="ZWAdobeF" w:eastAsia="Aptos" w:hAnsi="ZWAdobeF" w:cs="ZWAdobeF"/>
          <w:kern w:val="2"/>
          <w:sz w:val="2"/>
          <w:szCs w:val="2"/>
          <w14:ligatures w14:val="standardContextual"/>
        </w:rPr>
        <w:t>605B</w:t>
      </w:r>
      <w:r w:rsidR="000435A2" w:rsidRPr="000435A2">
        <w:rPr>
          <w:rFonts w:eastAsia="Aptos" w:cstheme="minorHAnsi"/>
          <w:kern w:val="2"/>
          <w:sz w:val="24"/>
          <w:szCs w:val="24"/>
          <w14:ligatures w14:val="standardContextual"/>
        </w:rPr>
        <w:t>This brief data report summarizes findings from exit surveys administered after NIMAC Publisher/Vendor Webinar Trainings in 2025:</w:t>
      </w:r>
    </w:p>
    <w:p w14:paraId="3E12F145" w14:textId="5769EEB8" w:rsidR="000435A2" w:rsidRPr="000435A2" w:rsidRDefault="00B55C67" w:rsidP="00692AD9">
      <w:pPr>
        <w:numPr>
          <w:ilvl w:val="0"/>
          <w:numId w:val="10"/>
        </w:numPr>
        <w:spacing w:after="360"/>
        <w:contextualSpacing/>
        <w:rPr>
          <w:rFonts w:eastAsia="Aptos" w:cstheme="minorHAnsi"/>
          <w:kern w:val="2"/>
          <w:sz w:val="24"/>
          <w:szCs w:val="24"/>
          <w14:ligatures w14:val="standardContextual"/>
        </w:rPr>
      </w:pPr>
      <w:r>
        <w:rPr>
          <w:rFonts w:ascii="ZWAdobeF" w:eastAsia="Aptos" w:hAnsi="ZWAdobeF" w:cs="ZWAdobeF"/>
          <w:kern w:val="2"/>
          <w:sz w:val="2"/>
          <w:szCs w:val="2"/>
          <w14:ligatures w14:val="standardContextual"/>
        </w:rPr>
        <w:t>606B</w:t>
      </w:r>
      <w:r w:rsidR="000435A2" w:rsidRPr="000435A2">
        <w:rPr>
          <w:rFonts w:eastAsia="Aptos" w:cstheme="minorHAnsi"/>
          <w:kern w:val="2"/>
          <w:sz w:val="24"/>
          <w:szCs w:val="24"/>
          <w14:ligatures w14:val="standardContextual"/>
        </w:rPr>
        <w:t xml:space="preserve">Part 1: June 24 and 25, 2025 </w:t>
      </w:r>
    </w:p>
    <w:p w14:paraId="77BEC253" w14:textId="71B21203" w:rsidR="000435A2" w:rsidRPr="000435A2" w:rsidRDefault="00B55C67" w:rsidP="00692AD9">
      <w:pPr>
        <w:numPr>
          <w:ilvl w:val="0"/>
          <w:numId w:val="10"/>
        </w:numPr>
        <w:spacing w:after="360"/>
        <w:contextualSpacing/>
        <w:rPr>
          <w:rFonts w:eastAsia="Aptos" w:cstheme="minorHAnsi"/>
          <w:kern w:val="2"/>
          <w:sz w:val="24"/>
          <w:szCs w:val="24"/>
          <w14:ligatures w14:val="standardContextual"/>
        </w:rPr>
      </w:pPr>
      <w:r>
        <w:rPr>
          <w:rFonts w:ascii="ZWAdobeF" w:eastAsia="Aptos" w:hAnsi="ZWAdobeF" w:cs="ZWAdobeF"/>
          <w:kern w:val="2"/>
          <w:sz w:val="2"/>
          <w:szCs w:val="2"/>
          <w14:ligatures w14:val="standardContextual"/>
        </w:rPr>
        <w:t>607B</w:t>
      </w:r>
      <w:r w:rsidR="000435A2" w:rsidRPr="000435A2">
        <w:rPr>
          <w:rFonts w:eastAsia="Aptos" w:cstheme="minorHAnsi"/>
          <w:kern w:val="2"/>
          <w:sz w:val="24"/>
          <w:szCs w:val="24"/>
          <w14:ligatures w14:val="standardContextual"/>
        </w:rPr>
        <w:t>Part 2: July 8 and 9, 2025</w:t>
      </w:r>
    </w:p>
    <w:p w14:paraId="6C31D752" w14:textId="3002ACF5" w:rsidR="000435A2" w:rsidRPr="000435A2" w:rsidRDefault="00B55C67" w:rsidP="00692AD9">
      <w:pPr>
        <w:numPr>
          <w:ilvl w:val="0"/>
          <w:numId w:val="10"/>
        </w:numPr>
        <w:spacing w:after="360"/>
        <w:contextualSpacing/>
        <w:rPr>
          <w:rFonts w:eastAsia="Aptos" w:cstheme="minorHAnsi"/>
          <w:kern w:val="2"/>
          <w:sz w:val="24"/>
          <w:szCs w:val="24"/>
          <w14:ligatures w14:val="standardContextual"/>
        </w:rPr>
      </w:pPr>
      <w:r>
        <w:rPr>
          <w:rFonts w:ascii="ZWAdobeF" w:eastAsia="Aptos" w:hAnsi="ZWAdobeF" w:cs="ZWAdobeF"/>
          <w:kern w:val="2"/>
          <w:sz w:val="2"/>
          <w:szCs w:val="2"/>
          <w14:ligatures w14:val="standardContextual"/>
        </w:rPr>
        <w:t>608B</w:t>
      </w:r>
      <w:r w:rsidR="000435A2" w:rsidRPr="000435A2">
        <w:rPr>
          <w:rFonts w:eastAsia="Aptos" w:cstheme="minorHAnsi"/>
          <w:kern w:val="2"/>
          <w:sz w:val="24"/>
          <w:szCs w:val="24"/>
          <w14:ligatures w14:val="standardContextual"/>
        </w:rPr>
        <w:t xml:space="preserve">Part 3: July 22, 2025 </w:t>
      </w:r>
    </w:p>
    <w:p w14:paraId="5A158D0A" w14:textId="010B77E1" w:rsidR="000435A2" w:rsidRPr="000435A2" w:rsidRDefault="00B55C67" w:rsidP="000435A2">
      <w:pPr>
        <w:spacing w:after="360"/>
        <w:rPr>
          <w:rFonts w:eastAsia="Aptos" w:cstheme="minorHAnsi"/>
          <w:kern w:val="2"/>
          <w:sz w:val="24"/>
          <w:szCs w:val="24"/>
          <w14:ligatures w14:val="standardContextual"/>
        </w:rPr>
      </w:pPr>
      <w:r>
        <w:rPr>
          <w:rFonts w:ascii="ZWAdobeF" w:eastAsia="Aptos" w:hAnsi="ZWAdobeF" w:cs="ZWAdobeF"/>
          <w:kern w:val="2"/>
          <w:sz w:val="2"/>
          <w:szCs w:val="2"/>
          <w14:ligatures w14:val="standardContextual"/>
        </w:rPr>
        <w:t>609B</w:t>
      </w:r>
      <w:r w:rsidR="000435A2" w:rsidRPr="000435A2">
        <w:rPr>
          <w:rFonts w:eastAsia="Aptos" w:cstheme="minorHAnsi"/>
          <w:kern w:val="2"/>
          <w:sz w:val="24"/>
          <w:szCs w:val="24"/>
          <w14:ligatures w14:val="standardContextual"/>
        </w:rPr>
        <w:t>Only findings relevant to the NIMAC Case Study are included in this data report.</w:t>
      </w:r>
    </w:p>
    <w:p w14:paraId="07D09DA4" w14:textId="119E4D63" w:rsidR="000435A2" w:rsidRPr="000435A2" w:rsidRDefault="00B55C67" w:rsidP="000435A2">
      <w:pPr>
        <w:spacing w:after="360"/>
        <w:jc w:val="center"/>
        <w:rPr>
          <w:rFonts w:eastAsia="Aptos" w:cstheme="minorHAnsi"/>
          <w:b/>
          <w:bCs/>
          <w:color w:val="156082"/>
          <w:kern w:val="2"/>
          <w:sz w:val="28"/>
          <w:szCs w:val="28"/>
          <w14:ligatures w14:val="standardContextual"/>
        </w:rPr>
      </w:pPr>
      <w:r>
        <w:rPr>
          <w:rFonts w:ascii="ZWAdobeF" w:eastAsia="Aptos" w:hAnsi="ZWAdobeF" w:cs="ZWAdobeF"/>
          <w:bCs/>
          <w:kern w:val="2"/>
          <w:sz w:val="2"/>
          <w:szCs w:val="2"/>
          <w14:ligatures w14:val="standardContextual"/>
        </w:rPr>
        <w:t>610B</w:t>
      </w:r>
      <w:r w:rsidR="000435A2" w:rsidRPr="000435A2">
        <w:rPr>
          <w:rFonts w:eastAsia="Aptos" w:cstheme="minorHAnsi"/>
          <w:b/>
          <w:bCs/>
          <w:color w:val="203864"/>
          <w:kern w:val="2"/>
          <w:sz w:val="28"/>
          <w:szCs w:val="28"/>
          <w14:ligatures w14:val="standardContextual"/>
        </w:rPr>
        <w:t>Publisher/Vendor Part 1 Exit Survey</w:t>
      </w:r>
    </w:p>
    <w:p w14:paraId="693C4A5B" w14:textId="31A19116" w:rsidR="000435A2" w:rsidRPr="000435A2" w:rsidRDefault="00B55C67" w:rsidP="000435A2">
      <w:pPr>
        <w:spacing w:after="0" w:line="240" w:lineRule="auto"/>
        <w:jc w:val="center"/>
        <w:rPr>
          <w:rFonts w:eastAsia="Aptos" w:cstheme="minorHAnsi"/>
          <w:b/>
          <w:bCs/>
          <w:color w:val="203864"/>
          <w:kern w:val="2"/>
          <w:sz w:val="24"/>
          <w:szCs w:val="24"/>
          <w14:ligatures w14:val="standardContextual"/>
        </w:rPr>
      </w:pPr>
      <w:r>
        <w:rPr>
          <w:rFonts w:ascii="ZWAdobeF" w:eastAsia="Aptos" w:hAnsi="ZWAdobeF" w:cs="ZWAdobeF"/>
          <w:bCs/>
          <w:kern w:val="2"/>
          <w:sz w:val="2"/>
          <w:szCs w:val="2"/>
          <w14:ligatures w14:val="standardContextual"/>
        </w:rPr>
        <w:t>611B</w:t>
      </w:r>
      <w:r w:rsidR="000435A2" w:rsidRPr="000435A2">
        <w:rPr>
          <w:rFonts w:eastAsia="Aptos" w:cstheme="minorHAnsi"/>
          <w:b/>
          <w:bCs/>
          <w:color w:val="203864"/>
          <w:kern w:val="2"/>
          <w:sz w:val="24"/>
          <w:szCs w:val="24"/>
          <w14:ligatures w14:val="standardContextual"/>
        </w:rPr>
        <w:t>Figure 1. Familiarity with Procurement Processes/Contracts</w:t>
      </w:r>
      <w:r>
        <w:rPr>
          <w:rFonts w:ascii="ZWAdobeF" w:eastAsia="Aptos" w:hAnsi="ZWAdobeF" w:cs="ZWAdobeF"/>
          <w:bCs/>
          <w:kern w:val="2"/>
          <w:sz w:val="2"/>
          <w:szCs w:val="2"/>
          <w14:ligatures w14:val="standardContextual"/>
        </w:rPr>
        <w:t>82F</w:t>
      </w:r>
      <w:r w:rsidR="000435A2" w:rsidRPr="000435A2">
        <w:rPr>
          <w:rFonts w:eastAsia="Aptos" w:cstheme="minorHAnsi"/>
          <w:b/>
          <w:bCs/>
          <w:color w:val="203864"/>
          <w:kern w:val="2"/>
          <w:sz w:val="24"/>
          <w:szCs w:val="24"/>
          <w:vertAlign w:val="superscript"/>
          <w14:ligatures w14:val="standardContextual"/>
        </w:rPr>
        <w:footnoteReference w:id="84"/>
      </w:r>
    </w:p>
    <w:p w14:paraId="48FD8496" w14:textId="307991E9" w:rsidR="000435A2" w:rsidRPr="000435A2" w:rsidRDefault="00B55C67" w:rsidP="000435A2">
      <w:pPr>
        <w:spacing w:after="0" w:line="240" w:lineRule="auto"/>
        <w:jc w:val="center"/>
        <w:rPr>
          <w:rFonts w:eastAsia="Aptos" w:cstheme="minorHAnsi"/>
          <w:b/>
          <w:bCs/>
          <w:color w:val="156082"/>
          <w:kern w:val="2"/>
          <w:sz w:val="24"/>
          <w:szCs w:val="24"/>
          <w14:ligatures w14:val="standardContextual"/>
        </w:rPr>
      </w:pPr>
      <w:r>
        <w:rPr>
          <w:rFonts w:ascii="ZWAdobeF" w:eastAsia="Aptos" w:hAnsi="ZWAdobeF" w:cs="ZWAdobeF"/>
          <w:bCs/>
          <w:kern w:val="2"/>
          <w:sz w:val="2"/>
          <w:szCs w:val="2"/>
          <w14:ligatures w14:val="standardContextual"/>
        </w:rPr>
        <w:t>612</w:t>
      </w:r>
      <w:proofErr w:type="gramStart"/>
      <w:r>
        <w:rPr>
          <w:rFonts w:ascii="ZWAdobeF" w:eastAsia="Aptos" w:hAnsi="ZWAdobeF" w:cs="ZWAdobeF"/>
          <w:bCs/>
          <w:kern w:val="2"/>
          <w:sz w:val="2"/>
          <w:szCs w:val="2"/>
          <w14:ligatures w14:val="standardContextual"/>
        </w:rPr>
        <w:t>B</w:t>
      </w:r>
      <w:r w:rsidR="000435A2" w:rsidRPr="000435A2">
        <w:rPr>
          <w:rFonts w:eastAsia="Aptos" w:cstheme="minorHAnsi"/>
          <w:b/>
          <w:bCs/>
          <w:color w:val="203864"/>
          <w:kern w:val="2"/>
          <w:sz w:val="24"/>
          <w:szCs w:val="24"/>
          <w14:ligatures w14:val="standardContextual"/>
        </w:rPr>
        <w:t>(</w:t>
      </w:r>
      <w:proofErr w:type="gramEnd"/>
      <w:r w:rsidR="000435A2" w:rsidRPr="000435A2">
        <w:rPr>
          <w:rFonts w:eastAsia="Aptos" w:cstheme="minorHAnsi"/>
          <w:b/>
          <w:bCs/>
          <w:i/>
          <w:iCs/>
          <w:color w:val="203864"/>
          <w:kern w:val="2"/>
          <w:sz w:val="24"/>
          <w:szCs w:val="24"/>
          <w14:ligatures w14:val="standardContextual"/>
        </w:rPr>
        <w:t>n</w:t>
      </w:r>
      <w:r w:rsidR="000435A2" w:rsidRPr="000435A2">
        <w:rPr>
          <w:rFonts w:eastAsia="Aptos" w:cstheme="minorHAnsi"/>
          <w:b/>
          <w:bCs/>
          <w:color w:val="203864"/>
          <w:kern w:val="2"/>
          <w:sz w:val="24"/>
          <w:szCs w:val="24"/>
          <w14:ligatures w14:val="standardContextual"/>
        </w:rPr>
        <w:t xml:space="preserve"> = 26)</w:t>
      </w:r>
    </w:p>
    <w:p w14:paraId="40D44E2D" w14:textId="2DA866B9" w:rsidR="000435A2" w:rsidRPr="000435A2" w:rsidRDefault="00B55C67" w:rsidP="000435A2">
      <w:pPr>
        <w:rPr>
          <w:rFonts w:ascii="Times New Roman" w:eastAsia="Aptos" w:hAnsi="Times New Roman" w:cs="Times New Roman"/>
          <w:kern w:val="2"/>
          <w14:textOutline w14:w="9525" w14:cap="rnd" w14:cmpd="sng" w14:algn="ctr">
            <w14:noFill/>
            <w14:prstDash w14:val="solid"/>
            <w14:bevel/>
          </w14:textOutline>
          <w14:ligatures w14:val="standardContextual"/>
        </w:rPr>
      </w:pPr>
      <w:r>
        <w:rPr>
          <w:rFonts w:ascii="ZWAdobeF" w:eastAsia="Aptos" w:hAnsi="ZWAdobeF" w:cs="ZWAdobeF"/>
          <w:kern w:val="2"/>
          <w:sz w:val="2"/>
          <w:szCs w:val="2"/>
          <w14:textOutline w14:w="9525" w14:cap="rnd" w14:cmpd="sng" w14:algn="ctr">
            <w14:noFill/>
            <w14:prstDash w14:val="solid"/>
            <w14:bevel/>
          </w14:textOutline>
          <w14:ligatures w14:val="standardContextual"/>
        </w:rPr>
        <w:t>613B</w:t>
      </w:r>
      <w:r w:rsidR="000435A2" w:rsidRPr="000435A2">
        <w:rPr>
          <w:rFonts w:ascii="Times New Roman" w:eastAsia="Aptos" w:hAnsi="Times New Roman" w:cs="Times New Roman"/>
          <w:b/>
          <w:bCs/>
          <w:noProof/>
          <w:kern w:val="2"/>
          <w14:ligatures w14:val="standardContextual"/>
        </w:rPr>
        <w:drawing>
          <wp:inline distT="0" distB="0" distL="0" distR="0" wp14:anchorId="60C4FCE4" wp14:editId="255300F8">
            <wp:extent cx="6102350" cy="1324610"/>
            <wp:effectExtent l="0" t="0" r="0" b="8890"/>
            <wp:docPr id="12" name="Chart 12" descr="Publisher/Vendor Part 1 Exit Survey Figure 1 is a stacked bar chart showing familiarity with procurement processes and contracts (n = 26). Forty-two percent of respondents reported being not familiar, 23% slightly familiar, 16% moderately familiar, and 19% very familiar."/>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14:paraId="2BC7EC77" w14:textId="77777777" w:rsidR="000435A2" w:rsidRPr="000435A2" w:rsidRDefault="000435A2" w:rsidP="000435A2">
      <w:pPr>
        <w:spacing w:after="0" w:line="240" w:lineRule="auto"/>
        <w:rPr>
          <w:rFonts w:ascii="Times New Roman" w:eastAsia="Aptos" w:hAnsi="Times New Roman" w:cs="Times New Roman"/>
          <w:b/>
          <w:bCs/>
          <w:color w:val="156082"/>
          <w:kern w:val="2"/>
          <w:sz w:val="2"/>
          <w:szCs w:val="2"/>
          <w14:ligatures w14:val="standardContextual"/>
        </w:rPr>
      </w:pPr>
    </w:p>
    <w:p w14:paraId="2FC75C16" w14:textId="1E47BB75" w:rsidR="000435A2" w:rsidRPr="000435A2" w:rsidRDefault="00B55C67" w:rsidP="000435A2">
      <w:pPr>
        <w:spacing w:after="0"/>
        <w:jc w:val="center"/>
        <w:rPr>
          <w:rFonts w:eastAsia="Aptos" w:cstheme="minorHAnsi"/>
          <w:b/>
          <w:bCs/>
          <w:color w:val="203864"/>
          <w:kern w:val="2"/>
          <w:sz w:val="28"/>
          <w:szCs w:val="28"/>
          <w14:ligatures w14:val="standardContextual"/>
        </w:rPr>
      </w:pPr>
      <w:r>
        <w:rPr>
          <w:rFonts w:ascii="ZWAdobeF" w:eastAsia="Aptos" w:hAnsi="ZWAdobeF" w:cs="ZWAdobeF"/>
          <w:bCs/>
          <w:kern w:val="2"/>
          <w:sz w:val="2"/>
          <w:szCs w:val="2"/>
          <w14:ligatures w14:val="standardContextual"/>
        </w:rPr>
        <w:t>614B</w:t>
      </w:r>
      <w:r w:rsidR="000435A2" w:rsidRPr="000435A2">
        <w:rPr>
          <w:rFonts w:eastAsia="Aptos" w:cstheme="minorHAnsi"/>
          <w:b/>
          <w:bCs/>
          <w:color w:val="203864"/>
          <w:kern w:val="2"/>
          <w:sz w:val="24"/>
          <w:szCs w:val="24"/>
          <w14:ligatures w14:val="standardContextual"/>
        </w:rPr>
        <w:t>Figure 2. Involvement in the Procurement Contract Process</w:t>
      </w:r>
      <w:r>
        <w:rPr>
          <w:rFonts w:ascii="ZWAdobeF" w:eastAsia="Aptos" w:hAnsi="ZWAdobeF" w:cs="ZWAdobeF"/>
          <w:bCs/>
          <w:kern w:val="2"/>
          <w:sz w:val="2"/>
          <w:szCs w:val="2"/>
          <w14:ligatures w14:val="standardContextual"/>
        </w:rPr>
        <w:t>83F</w:t>
      </w:r>
      <w:r w:rsidR="000435A2" w:rsidRPr="000435A2">
        <w:rPr>
          <w:rFonts w:eastAsia="Aptos" w:cstheme="minorHAnsi"/>
          <w:b/>
          <w:bCs/>
          <w:color w:val="203864"/>
          <w:kern w:val="2"/>
          <w:sz w:val="24"/>
          <w:szCs w:val="24"/>
          <w:vertAlign w:val="superscript"/>
          <w14:ligatures w14:val="standardContextual"/>
        </w:rPr>
        <w:footnoteReference w:id="85"/>
      </w:r>
    </w:p>
    <w:p w14:paraId="0E247D14" w14:textId="24B90ADC" w:rsidR="000435A2" w:rsidRPr="000435A2" w:rsidRDefault="00B55C67" w:rsidP="000435A2">
      <w:pPr>
        <w:spacing w:line="240" w:lineRule="auto"/>
        <w:jc w:val="center"/>
        <w:rPr>
          <w:rFonts w:eastAsia="Aptos" w:cstheme="minorHAnsi"/>
          <w:b/>
          <w:bCs/>
          <w:color w:val="156082"/>
          <w:kern w:val="2"/>
          <w:sz w:val="24"/>
          <w:szCs w:val="24"/>
          <w14:ligatures w14:val="standardContextual"/>
        </w:rPr>
      </w:pPr>
      <w:r>
        <w:rPr>
          <w:rFonts w:ascii="ZWAdobeF" w:eastAsia="Aptos" w:hAnsi="ZWAdobeF" w:cs="ZWAdobeF"/>
          <w:bCs/>
          <w:kern w:val="2"/>
          <w:sz w:val="2"/>
          <w:szCs w:val="2"/>
          <w14:ligatures w14:val="standardContextual"/>
        </w:rPr>
        <w:t>615</w:t>
      </w:r>
      <w:proofErr w:type="gramStart"/>
      <w:r>
        <w:rPr>
          <w:rFonts w:ascii="ZWAdobeF" w:eastAsia="Aptos" w:hAnsi="ZWAdobeF" w:cs="ZWAdobeF"/>
          <w:bCs/>
          <w:kern w:val="2"/>
          <w:sz w:val="2"/>
          <w:szCs w:val="2"/>
          <w14:ligatures w14:val="standardContextual"/>
        </w:rPr>
        <w:t>B</w:t>
      </w:r>
      <w:r w:rsidR="000435A2" w:rsidRPr="000435A2">
        <w:rPr>
          <w:rFonts w:eastAsia="Aptos" w:cstheme="minorHAnsi"/>
          <w:b/>
          <w:bCs/>
          <w:color w:val="203864"/>
          <w:kern w:val="2"/>
          <w:sz w:val="24"/>
          <w:szCs w:val="24"/>
          <w14:ligatures w14:val="standardContextual"/>
        </w:rPr>
        <w:t>(</w:t>
      </w:r>
      <w:proofErr w:type="gramEnd"/>
      <w:r w:rsidR="000435A2" w:rsidRPr="000435A2">
        <w:rPr>
          <w:rFonts w:eastAsia="Aptos" w:cstheme="minorHAnsi"/>
          <w:b/>
          <w:bCs/>
          <w:i/>
          <w:iCs/>
          <w:color w:val="203864"/>
          <w:kern w:val="2"/>
          <w:sz w:val="24"/>
          <w:szCs w:val="24"/>
          <w14:ligatures w14:val="standardContextual"/>
        </w:rPr>
        <w:t>n</w:t>
      </w:r>
      <w:r w:rsidR="000435A2" w:rsidRPr="000435A2">
        <w:rPr>
          <w:rFonts w:eastAsia="Aptos" w:cstheme="minorHAnsi"/>
          <w:b/>
          <w:bCs/>
          <w:color w:val="203864"/>
          <w:kern w:val="2"/>
          <w:sz w:val="24"/>
          <w:szCs w:val="24"/>
          <w14:ligatures w14:val="standardContextual"/>
        </w:rPr>
        <w:t xml:space="preserve"> = 26)</w:t>
      </w:r>
    </w:p>
    <w:p w14:paraId="28DF2DE0" w14:textId="633288DA" w:rsidR="000435A2" w:rsidRPr="000435A2" w:rsidRDefault="00B55C67" w:rsidP="000435A2">
      <w:pPr>
        <w:jc w:val="center"/>
        <w:rPr>
          <w:rFonts w:ascii="Times New Roman" w:eastAsia="Aptos" w:hAnsi="Times New Roman" w:cs="Times New Roman"/>
          <w:color w:val="0070C0"/>
          <w:kern w:val="2"/>
          <w14:ligatures w14:val="standardContextual"/>
        </w:rPr>
      </w:pPr>
      <w:r>
        <w:rPr>
          <w:rFonts w:ascii="ZWAdobeF" w:eastAsia="Aptos" w:hAnsi="ZWAdobeF" w:cs="ZWAdobeF"/>
          <w:kern w:val="2"/>
          <w:sz w:val="2"/>
          <w:szCs w:val="2"/>
          <w14:ligatures w14:val="standardContextual"/>
        </w:rPr>
        <w:t>616B</w:t>
      </w:r>
      <w:r w:rsidR="000435A2" w:rsidRPr="000435A2">
        <w:rPr>
          <w:rFonts w:ascii="Times New Roman" w:eastAsia="Aptos" w:hAnsi="Times New Roman" w:cs="Times New Roman"/>
          <w:noProof/>
          <w:kern w:val="2"/>
          <w14:ligatures w14:val="standardContextual"/>
        </w:rPr>
        <w:drawing>
          <wp:inline distT="0" distB="0" distL="0" distR="0" wp14:anchorId="63073C1A" wp14:editId="1825D519">
            <wp:extent cx="5162550" cy="1409700"/>
            <wp:effectExtent l="0" t="0" r="0" b="0"/>
            <wp:docPr id="19" name="Chart 19" descr="Publisher/Vendor Part 1 Exit Survey, Figure 2 is a pie chart showing involvement in the procurement contract process (n = 26). Nineteen percent of respondents reported being involved, while 81% reported no involvement."/>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p w14:paraId="306D0194" w14:textId="146CFE9B" w:rsidR="009D3A9F" w:rsidRDefault="009D3A9F">
      <w:pPr>
        <w:rPr>
          <w:rFonts w:eastAsia="Aptos" w:cstheme="minorHAnsi"/>
          <w:b/>
          <w:bCs/>
          <w:color w:val="203864"/>
          <w:kern w:val="2"/>
          <w:sz w:val="24"/>
          <w:szCs w:val="24"/>
          <w14:ligatures w14:val="standardContextual"/>
        </w:rPr>
      </w:pPr>
    </w:p>
    <w:p w14:paraId="14EFBA67" w14:textId="40EF2F67" w:rsidR="000435A2" w:rsidRPr="000435A2" w:rsidRDefault="00B55C67" w:rsidP="000435A2">
      <w:pPr>
        <w:spacing w:after="0" w:line="240" w:lineRule="auto"/>
        <w:jc w:val="center"/>
        <w:rPr>
          <w:rFonts w:eastAsia="Aptos" w:cstheme="minorHAnsi"/>
          <w:b/>
          <w:bCs/>
          <w:color w:val="203864"/>
          <w:kern w:val="2"/>
          <w:sz w:val="24"/>
          <w:szCs w:val="24"/>
          <w14:ligatures w14:val="standardContextual"/>
        </w:rPr>
      </w:pPr>
      <w:r>
        <w:rPr>
          <w:rFonts w:ascii="ZWAdobeF" w:eastAsia="Aptos" w:hAnsi="ZWAdobeF" w:cs="ZWAdobeF"/>
          <w:bCs/>
          <w:kern w:val="2"/>
          <w:sz w:val="2"/>
          <w:szCs w:val="2"/>
          <w14:ligatures w14:val="standardContextual"/>
        </w:rPr>
        <w:lastRenderedPageBreak/>
        <w:t>617B</w:t>
      </w:r>
      <w:r w:rsidR="000435A2" w:rsidRPr="000435A2">
        <w:rPr>
          <w:rFonts w:eastAsia="Aptos" w:cstheme="minorHAnsi"/>
          <w:b/>
          <w:bCs/>
          <w:color w:val="203864"/>
          <w:kern w:val="2"/>
          <w:sz w:val="24"/>
          <w:szCs w:val="24"/>
          <w14:ligatures w14:val="standardContextual"/>
        </w:rPr>
        <w:t>Figure 3. Frequency of NIMAS Inclusion in Procurement Contracts</w:t>
      </w:r>
      <w:r>
        <w:rPr>
          <w:rFonts w:ascii="ZWAdobeF" w:eastAsia="Aptos" w:hAnsi="ZWAdobeF" w:cs="ZWAdobeF"/>
          <w:bCs/>
          <w:kern w:val="2"/>
          <w:sz w:val="2"/>
          <w:szCs w:val="2"/>
          <w14:ligatures w14:val="standardContextual"/>
        </w:rPr>
        <w:t>84F</w:t>
      </w:r>
      <w:r w:rsidR="000435A2" w:rsidRPr="000435A2">
        <w:rPr>
          <w:rFonts w:eastAsia="Aptos" w:cstheme="minorHAnsi"/>
          <w:b/>
          <w:bCs/>
          <w:color w:val="203864"/>
          <w:kern w:val="2"/>
          <w:sz w:val="24"/>
          <w:szCs w:val="24"/>
          <w:vertAlign w:val="superscript"/>
          <w14:ligatures w14:val="standardContextual"/>
        </w:rPr>
        <w:footnoteReference w:id="86"/>
      </w:r>
    </w:p>
    <w:p w14:paraId="4BCEB498" w14:textId="12272593" w:rsidR="000435A2" w:rsidRPr="000435A2" w:rsidRDefault="00B55C67" w:rsidP="000435A2">
      <w:pPr>
        <w:spacing w:after="0" w:line="240" w:lineRule="auto"/>
        <w:jc w:val="center"/>
        <w:rPr>
          <w:rFonts w:eastAsia="Aptos" w:cstheme="minorHAnsi"/>
          <w:b/>
          <w:bCs/>
          <w:color w:val="156082"/>
          <w:kern w:val="2"/>
          <w:sz w:val="24"/>
          <w:szCs w:val="24"/>
          <w14:ligatures w14:val="standardContextual"/>
        </w:rPr>
      </w:pPr>
      <w:r>
        <w:rPr>
          <w:rFonts w:ascii="ZWAdobeF" w:eastAsia="Aptos" w:hAnsi="ZWAdobeF" w:cs="ZWAdobeF"/>
          <w:bCs/>
          <w:kern w:val="2"/>
          <w:sz w:val="2"/>
          <w:szCs w:val="2"/>
          <w14:ligatures w14:val="standardContextual"/>
        </w:rPr>
        <w:t>618</w:t>
      </w:r>
      <w:proofErr w:type="gramStart"/>
      <w:r>
        <w:rPr>
          <w:rFonts w:ascii="ZWAdobeF" w:eastAsia="Aptos" w:hAnsi="ZWAdobeF" w:cs="ZWAdobeF"/>
          <w:bCs/>
          <w:kern w:val="2"/>
          <w:sz w:val="2"/>
          <w:szCs w:val="2"/>
          <w14:ligatures w14:val="standardContextual"/>
        </w:rPr>
        <w:t>B</w:t>
      </w:r>
      <w:r w:rsidR="000435A2" w:rsidRPr="000435A2">
        <w:rPr>
          <w:rFonts w:eastAsia="Aptos" w:cstheme="minorHAnsi"/>
          <w:b/>
          <w:bCs/>
          <w:color w:val="203864"/>
          <w:kern w:val="2"/>
          <w:sz w:val="24"/>
          <w:szCs w:val="24"/>
          <w14:ligatures w14:val="standardContextual"/>
        </w:rPr>
        <w:t>(</w:t>
      </w:r>
      <w:proofErr w:type="gramEnd"/>
      <w:r w:rsidR="000435A2" w:rsidRPr="000435A2">
        <w:rPr>
          <w:rFonts w:eastAsia="Aptos" w:cstheme="minorHAnsi"/>
          <w:b/>
          <w:bCs/>
          <w:i/>
          <w:iCs/>
          <w:color w:val="203864"/>
          <w:kern w:val="2"/>
          <w:sz w:val="24"/>
          <w:szCs w:val="24"/>
          <w14:ligatures w14:val="standardContextual"/>
        </w:rPr>
        <w:t>n</w:t>
      </w:r>
      <w:r w:rsidR="000435A2" w:rsidRPr="000435A2">
        <w:rPr>
          <w:rFonts w:eastAsia="Aptos" w:cstheme="minorHAnsi"/>
          <w:b/>
          <w:bCs/>
          <w:color w:val="203864"/>
          <w:kern w:val="2"/>
          <w:sz w:val="24"/>
          <w:szCs w:val="24"/>
          <w14:ligatures w14:val="standardContextual"/>
        </w:rPr>
        <w:t xml:space="preserve"> = 17)</w:t>
      </w:r>
    </w:p>
    <w:p w14:paraId="53F30761" w14:textId="5CBB227E" w:rsidR="000435A2" w:rsidRPr="000435A2" w:rsidRDefault="00B55C67" w:rsidP="000435A2">
      <w:pPr>
        <w:jc w:val="center"/>
        <w:rPr>
          <w:rFonts w:ascii="Times New Roman" w:eastAsia="Aptos" w:hAnsi="Times New Roman" w:cs="Times New Roman"/>
          <w:b/>
          <w:bCs/>
          <w:color w:val="156082"/>
          <w:kern w:val="2"/>
          <w:sz w:val="28"/>
          <w:szCs w:val="28"/>
          <w14:ligatures w14:val="standardContextual"/>
        </w:rPr>
      </w:pPr>
      <w:r>
        <w:rPr>
          <w:rFonts w:ascii="ZWAdobeF" w:eastAsia="Aptos" w:hAnsi="ZWAdobeF" w:cs="ZWAdobeF"/>
          <w:bCs/>
          <w:kern w:val="2"/>
          <w:sz w:val="2"/>
          <w:szCs w:val="2"/>
          <w14:ligatures w14:val="standardContextual"/>
        </w:rPr>
        <w:t>619B</w:t>
      </w:r>
      <w:r w:rsidR="000435A2" w:rsidRPr="000435A2">
        <w:rPr>
          <w:rFonts w:ascii="Times New Roman" w:eastAsia="Aptos" w:hAnsi="Times New Roman" w:cs="Times New Roman"/>
          <w:b/>
          <w:bCs/>
          <w:noProof/>
          <w:kern w:val="2"/>
          <w14:ligatures w14:val="standardContextual"/>
        </w:rPr>
        <w:drawing>
          <wp:inline distT="0" distB="0" distL="0" distR="0" wp14:anchorId="4A027E3F" wp14:editId="788B55F1">
            <wp:extent cx="5943600" cy="1324610"/>
            <wp:effectExtent l="0" t="0" r="0" b="8890"/>
            <wp:docPr id="404807252" name="Chart 404807252" descr="Publisher/Vendor Part 1 Exit Survey, Figure 3 is a stacked bar chart showing the frequency of NIMAS inclusion in procurement contracts (n = 17). Eighteen percent of respondents reported that NIMAS is never included, 12% reported rarely, 12% reported sometimes, 41% reported often, and 18% reported always."/>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p w14:paraId="37C4C26F" w14:textId="77777777" w:rsidR="000435A2" w:rsidRPr="000435A2" w:rsidRDefault="000435A2" w:rsidP="000435A2">
      <w:pPr>
        <w:spacing w:after="360"/>
        <w:jc w:val="center"/>
        <w:rPr>
          <w:rFonts w:eastAsia="Aptos" w:cstheme="minorHAnsi"/>
          <w:b/>
          <w:bCs/>
          <w:color w:val="203864"/>
          <w:kern w:val="2"/>
          <w:sz w:val="8"/>
          <w:szCs w:val="8"/>
          <w14:ligatures w14:val="standardContextual"/>
        </w:rPr>
      </w:pPr>
    </w:p>
    <w:p w14:paraId="1C1626E7" w14:textId="77777777" w:rsidR="000435A2" w:rsidRDefault="000435A2">
      <w:pPr>
        <w:rPr>
          <w:rFonts w:eastAsia="Aptos" w:cstheme="minorHAnsi"/>
          <w:b/>
          <w:bCs/>
          <w:color w:val="203864"/>
          <w:kern w:val="2"/>
          <w:sz w:val="28"/>
          <w:szCs w:val="28"/>
          <w14:ligatures w14:val="standardContextual"/>
        </w:rPr>
      </w:pPr>
      <w:r>
        <w:rPr>
          <w:rFonts w:eastAsia="Aptos" w:cstheme="minorHAnsi"/>
          <w:b/>
          <w:bCs/>
          <w:color w:val="203864"/>
          <w:kern w:val="2"/>
          <w:sz w:val="28"/>
          <w:szCs w:val="28"/>
          <w14:ligatures w14:val="standardContextual"/>
        </w:rPr>
        <w:br w:type="page"/>
      </w:r>
    </w:p>
    <w:p w14:paraId="16176B44" w14:textId="0B0BBF6B" w:rsidR="000435A2" w:rsidRPr="000435A2" w:rsidRDefault="00B55C67" w:rsidP="000435A2">
      <w:pPr>
        <w:spacing w:after="360"/>
        <w:jc w:val="center"/>
        <w:rPr>
          <w:rFonts w:eastAsia="Aptos" w:cstheme="minorHAnsi"/>
          <w:b/>
          <w:bCs/>
          <w:color w:val="156082"/>
          <w:kern w:val="2"/>
          <w:sz w:val="28"/>
          <w:szCs w:val="28"/>
          <w14:ligatures w14:val="standardContextual"/>
        </w:rPr>
      </w:pPr>
      <w:r>
        <w:rPr>
          <w:rFonts w:ascii="ZWAdobeF" w:eastAsia="Aptos" w:hAnsi="ZWAdobeF" w:cs="ZWAdobeF"/>
          <w:bCs/>
          <w:kern w:val="2"/>
          <w:sz w:val="2"/>
          <w:szCs w:val="2"/>
          <w14:ligatures w14:val="standardContextual"/>
        </w:rPr>
        <w:lastRenderedPageBreak/>
        <w:t>620B</w:t>
      </w:r>
      <w:r w:rsidR="000435A2" w:rsidRPr="000435A2">
        <w:rPr>
          <w:rFonts w:eastAsia="Aptos" w:cstheme="minorHAnsi"/>
          <w:b/>
          <w:bCs/>
          <w:color w:val="203864"/>
          <w:kern w:val="2"/>
          <w:sz w:val="28"/>
          <w:szCs w:val="28"/>
          <w14:ligatures w14:val="standardContextual"/>
        </w:rPr>
        <w:t>Publisher/Vendor Part 2 Exit Survey</w:t>
      </w:r>
    </w:p>
    <w:p w14:paraId="1B7AC32E" w14:textId="32FA493A" w:rsidR="000435A2" w:rsidRPr="000435A2" w:rsidRDefault="00B55C67" w:rsidP="000435A2">
      <w:pPr>
        <w:spacing w:after="0"/>
        <w:jc w:val="center"/>
        <w:rPr>
          <w:rFonts w:eastAsia="Aptos" w:cstheme="minorHAnsi"/>
          <w:color w:val="203864"/>
          <w:kern w:val="2"/>
          <w:sz w:val="24"/>
          <w:szCs w:val="24"/>
          <w14:ligatures w14:val="standardContextual"/>
        </w:rPr>
      </w:pPr>
      <w:r>
        <w:rPr>
          <w:rFonts w:ascii="ZWAdobeF" w:eastAsia="Aptos" w:hAnsi="ZWAdobeF" w:cs="ZWAdobeF"/>
          <w:bCs/>
          <w:kern w:val="2"/>
          <w:sz w:val="2"/>
          <w:szCs w:val="2"/>
          <w14:ligatures w14:val="standardContextual"/>
        </w:rPr>
        <w:t>621B</w:t>
      </w:r>
      <w:r w:rsidR="000435A2" w:rsidRPr="000435A2">
        <w:rPr>
          <w:rFonts w:eastAsia="Aptos" w:cstheme="minorHAnsi"/>
          <w:b/>
          <w:bCs/>
          <w:color w:val="203864"/>
          <w:kern w:val="2"/>
          <w:sz w:val="24"/>
          <w:szCs w:val="24"/>
          <w14:ligatures w14:val="standardContextual"/>
        </w:rPr>
        <w:t>Figure 4. Contract-Related Factors That Hinder Timely Delivery</w:t>
      </w:r>
      <w:r>
        <w:rPr>
          <w:rFonts w:ascii="ZWAdobeF" w:eastAsia="Aptos" w:hAnsi="ZWAdobeF" w:cs="ZWAdobeF"/>
          <w:bCs/>
          <w:kern w:val="2"/>
          <w:sz w:val="2"/>
          <w:szCs w:val="2"/>
          <w14:ligatures w14:val="standardContextual"/>
        </w:rPr>
        <w:t>85F</w:t>
      </w:r>
      <w:r w:rsidR="000435A2" w:rsidRPr="000435A2">
        <w:rPr>
          <w:rFonts w:eastAsia="Aptos" w:cstheme="minorHAnsi"/>
          <w:b/>
          <w:bCs/>
          <w:color w:val="203864"/>
          <w:kern w:val="2"/>
          <w:sz w:val="24"/>
          <w:szCs w:val="24"/>
          <w:vertAlign w:val="superscript"/>
          <w14:ligatures w14:val="standardContextual"/>
        </w:rPr>
        <w:footnoteReference w:id="87"/>
      </w:r>
    </w:p>
    <w:p w14:paraId="4F9E8D62" w14:textId="364DF737" w:rsidR="000435A2" w:rsidRPr="000435A2" w:rsidRDefault="00B55C67" w:rsidP="000435A2">
      <w:pPr>
        <w:spacing w:after="0" w:line="240" w:lineRule="auto"/>
        <w:jc w:val="center"/>
        <w:rPr>
          <w:rFonts w:eastAsia="Aptos" w:cstheme="minorHAnsi"/>
          <w:b/>
          <w:bCs/>
          <w:color w:val="156082"/>
          <w:kern w:val="2"/>
          <w:sz w:val="24"/>
          <w:szCs w:val="24"/>
          <w14:ligatures w14:val="standardContextual"/>
        </w:rPr>
      </w:pPr>
      <w:r>
        <w:rPr>
          <w:rFonts w:ascii="ZWAdobeF" w:eastAsia="Aptos" w:hAnsi="ZWAdobeF" w:cs="ZWAdobeF"/>
          <w:bCs/>
          <w:kern w:val="2"/>
          <w:sz w:val="2"/>
          <w:szCs w:val="2"/>
          <w14:ligatures w14:val="standardContextual"/>
        </w:rPr>
        <w:t>622</w:t>
      </w:r>
      <w:proofErr w:type="gramStart"/>
      <w:r>
        <w:rPr>
          <w:rFonts w:ascii="ZWAdobeF" w:eastAsia="Aptos" w:hAnsi="ZWAdobeF" w:cs="ZWAdobeF"/>
          <w:bCs/>
          <w:kern w:val="2"/>
          <w:sz w:val="2"/>
          <w:szCs w:val="2"/>
          <w14:ligatures w14:val="standardContextual"/>
        </w:rPr>
        <w:t>B</w:t>
      </w:r>
      <w:r w:rsidR="000435A2" w:rsidRPr="000435A2">
        <w:rPr>
          <w:rFonts w:eastAsia="Aptos" w:cstheme="minorHAnsi"/>
          <w:b/>
          <w:bCs/>
          <w:color w:val="203864"/>
          <w:kern w:val="2"/>
          <w:sz w:val="24"/>
          <w:szCs w:val="24"/>
          <w14:ligatures w14:val="standardContextual"/>
        </w:rPr>
        <w:t>(</w:t>
      </w:r>
      <w:proofErr w:type="gramEnd"/>
      <w:r w:rsidR="000435A2" w:rsidRPr="000435A2">
        <w:rPr>
          <w:rFonts w:eastAsia="Aptos" w:cstheme="minorHAnsi"/>
          <w:b/>
          <w:bCs/>
          <w:i/>
          <w:iCs/>
          <w:color w:val="203864"/>
          <w:kern w:val="2"/>
          <w:sz w:val="24"/>
          <w:szCs w:val="24"/>
          <w14:ligatures w14:val="standardContextual"/>
        </w:rPr>
        <w:t>n</w:t>
      </w:r>
      <w:r w:rsidR="000435A2" w:rsidRPr="000435A2">
        <w:rPr>
          <w:rFonts w:eastAsia="Aptos" w:cstheme="minorHAnsi"/>
          <w:b/>
          <w:bCs/>
          <w:color w:val="203864"/>
          <w:kern w:val="2"/>
          <w:sz w:val="24"/>
          <w:szCs w:val="24"/>
          <w14:ligatures w14:val="standardContextual"/>
        </w:rPr>
        <w:t xml:space="preserve"> = 5)</w:t>
      </w:r>
    </w:p>
    <w:p w14:paraId="10A2C1FF" w14:textId="6BB26808" w:rsidR="000435A2" w:rsidRPr="000435A2" w:rsidRDefault="00B55C67" w:rsidP="000435A2">
      <w:pPr>
        <w:jc w:val="center"/>
        <w:rPr>
          <w:rFonts w:ascii="Times New Roman" w:eastAsia="Aptos" w:hAnsi="Times New Roman" w:cs="Times New Roman"/>
          <w:kern w:val="2"/>
          <w14:ligatures w14:val="standardContextual"/>
        </w:rPr>
      </w:pPr>
      <w:r>
        <w:rPr>
          <w:rFonts w:ascii="ZWAdobeF" w:eastAsia="Aptos" w:hAnsi="ZWAdobeF" w:cs="ZWAdobeF"/>
          <w:kern w:val="2"/>
          <w:sz w:val="2"/>
          <w:szCs w:val="2"/>
          <w14:ligatures w14:val="standardContextual"/>
        </w:rPr>
        <w:t>623B</w:t>
      </w:r>
      <w:r w:rsidR="000435A2" w:rsidRPr="000435A2">
        <w:rPr>
          <w:rFonts w:ascii="Times New Roman" w:eastAsia="Aptos" w:hAnsi="Times New Roman" w:cs="Times New Roman"/>
          <w:b/>
          <w:bCs/>
          <w:noProof/>
          <w:color w:val="FF0000"/>
          <w:kern w:val="2"/>
          <w:sz w:val="28"/>
          <w:szCs w:val="28"/>
          <w14:ligatures w14:val="standardContextual"/>
        </w:rPr>
        <w:drawing>
          <wp:inline distT="0" distB="0" distL="0" distR="0" wp14:anchorId="38EA6234" wp14:editId="4C495816">
            <wp:extent cx="6654800" cy="3651250"/>
            <wp:effectExtent l="0" t="0" r="0" b="6350"/>
            <wp:docPr id="48354027" name="Chart 48354027" descr="Publisher/Vendor Part 2 Exit Survey, Figure 4 is a horizontal bar chart showing contract-related factors that hinder timely delivery of accessible formats (n = 5). Respondents reported that timelines for instructional materials adoption that do not provide enough lead time to produce accessible formats hinder timely delivery (80%). Lack of awareness that NIMAS language should be included among state or district staff coordinating procurement contracts was reported by 60%. Deadlines for NIMAS file production not being included in procurement contracts was reported by 40%. Materials being purchased at the school level without inclusion of the NIMAS requirement in procurement contracts was reported by 40%. Inconsistent inclusion of the NIMAS requirement in procurement contracts for educational materials was also reported by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p>
    <w:p w14:paraId="07CEEDBB" w14:textId="77777777" w:rsidR="000435A2" w:rsidRDefault="000435A2">
      <w:pPr>
        <w:rPr>
          <w:rFonts w:eastAsia="Aptos" w:cstheme="minorHAnsi"/>
          <w:b/>
          <w:bCs/>
          <w:color w:val="203864"/>
          <w:kern w:val="2"/>
          <w:sz w:val="24"/>
          <w:szCs w:val="24"/>
          <w14:ligatures w14:val="standardContextual"/>
        </w:rPr>
      </w:pPr>
      <w:r>
        <w:rPr>
          <w:rFonts w:eastAsia="Aptos" w:cstheme="minorHAnsi"/>
          <w:b/>
          <w:bCs/>
          <w:color w:val="203864"/>
          <w:kern w:val="2"/>
          <w:sz w:val="24"/>
          <w:szCs w:val="24"/>
          <w14:ligatures w14:val="standardContextual"/>
        </w:rPr>
        <w:br w:type="page"/>
      </w:r>
    </w:p>
    <w:p w14:paraId="4EF8FB7F" w14:textId="46D8027F" w:rsidR="000435A2" w:rsidRPr="000435A2" w:rsidRDefault="00B55C67" w:rsidP="000435A2">
      <w:pPr>
        <w:spacing w:after="0" w:line="240" w:lineRule="auto"/>
        <w:jc w:val="center"/>
        <w:rPr>
          <w:rFonts w:eastAsia="Aptos" w:cstheme="minorHAnsi"/>
          <w:color w:val="203864"/>
          <w:kern w:val="2"/>
          <w:sz w:val="20"/>
          <w:szCs w:val="20"/>
          <w14:ligatures w14:val="standardContextual"/>
        </w:rPr>
      </w:pPr>
      <w:r>
        <w:rPr>
          <w:rFonts w:ascii="ZWAdobeF" w:eastAsia="Aptos" w:hAnsi="ZWAdobeF" w:cs="ZWAdobeF"/>
          <w:bCs/>
          <w:kern w:val="2"/>
          <w:sz w:val="2"/>
          <w:szCs w:val="2"/>
          <w14:ligatures w14:val="standardContextual"/>
        </w:rPr>
        <w:lastRenderedPageBreak/>
        <w:t>624B</w:t>
      </w:r>
      <w:r w:rsidR="000435A2" w:rsidRPr="000435A2">
        <w:rPr>
          <w:rFonts w:eastAsia="Aptos" w:cstheme="minorHAnsi"/>
          <w:b/>
          <w:bCs/>
          <w:color w:val="203864"/>
          <w:kern w:val="2"/>
          <w:sz w:val="24"/>
          <w:szCs w:val="24"/>
          <w14:ligatures w14:val="standardContextual"/>
        </w:rPr>
        <w:t>Figure 5. Challenges That Hinder Timely Delivery</w:t>
      </w:r>
      <w:r>
        <w:rPr>
          <w:rFonts w:ascii="ZWAdobeF" w:eastAsia="Aptos" w:hAnsi="ZWAdobeF" w:cs="ZWAdobeF"/>
          <w:bCs/>
          <w:kern w:val="2"/>
          <w:sz w:val="2"/>
          <w:szCs w:val="2"/>
          <w14:ligatures w14:val="standardContextual"/>
        </w:rPr>
        <w:t>86F</w:t>
      </w:r>
      <w:r w:rsidR="000435A2" w:rsidRPr="000435A2">
        <w:rPr>
          <w:rFonts w:eastAsia="Aptos" w:cstheme="minorHAnsi"/>
          <w:b/>
          <w:bCs/>
          <w:color w:val="203864"/>
          <w:kern w:val="2"/>
          <w:sz w:val="24"/>
          <w:szCs w:val="24"/>
          <w:vertAlign w:val="superscript"/>
          <w14:ligatures w14:val="standardContextual"/>
        </w:rPr>
        <w:footnoteReference w:id="88"/>
      </w:r>
    </w:p>
    <w:p w14:paraId="40D52941" w14:textId="34BABF7D" w:rsidR="000435A2" w:rsidRPr="000435A2" w:rsidRDefault="00B55C67" w:rsidP="000435A2">
      <w:pPr>
        <w:spacing w:after="0" w:line="240" w:lineRule="auto"/>
        <w:jc w:val="center"/>
        <w:rPr>
          <w:rFonts w:eastAsia="Aptos" w:cstheme="minorHAnsi"/>
          <w:b/>
          <w:bCs/>
          <w:color w:val="156082"/>
          <w:kern w:val="2"/>
          <w:sz w:val="24"/>
          <w:szCs w:val="24"/>
          <w14:ligatures w14:val="standardContextual"/>
        </w:rPr>
      </w:pPr>
      <w:r>
        <w:rPr>
          <w:rFonts w:ascii="ZWAdobeF" w:eastAsia="Aptos" w:hAnsi="ZWAdobeF" w:cs="ZWAdobeF"/>
          <w:bCs/>
          <w:kern w:val="2"/>
          <w:sz w:val="2"/>
          <w:szCs w:val="2"/>
          <w14:ligatures w14:val="standardContextual"/>
        </w:rPr>
        <w:t>625</w:t>
      </w:r>
      <w:proofErr w:type="gramStart"/>
      <w:r>
        <w:rPr>
          <w:rFonts w:ascii="ZWAdobeF" w:eastAsia="Aptos" w:hAnsi="ZWAdobeF" w:cs="ZWAdobeF"/>
          <w:bCs/>
          <w:kern w:val="2"/>
          <w:sz w:val="2"/>
          <w:szCs w:val="2"/>
          <w14:ligatures w14:val="standardContextual"/>
        </w:rPr>
        <w:t>B</w:t>
      </w:r>
      <w:r w:rsidR="000435A2" w:rsidRPr="000435A2">
        <w:rPr>
          <w:rFonts w:eastAsia="Aptos" w:cstheme="minorHAnsi"/>
          <w:b/>
          <w:bCs/>
          <w:color w:val="203864"/>
          <w:kern w:val="2"/>
          <w:sz w:val="24"/>
          <w:szCs w:val="24"/>
          <w14:ligatures w14:val="standardContextual"/>
        </w:rPr>
        <w:t>(</w:t>
      </w:r>
      <w:proofErr w:type="gramEnd"/>
      <w:r w:rsidR="000435A2" w:rsidRPr="000435A2">
        <w:rPr>
          <w:rFonts w:eastAsia="Aptos" w:cstheme="minorHAnsi"/>
          <w:b/>
          <w:bCs/>
          <w:i/>
          <w:iCs/>
          <w:color w:val="203864"/>
          <w:kern w:val="2"/>
          <w:sz w:val="24"/>
          <w:szCs w:val="24"/>
          <w14:ligatures w14:val="standardContextual"/>
        </w:rPr>
        <w:t>n</w:t>
      </w:r>
      <w:r w:rsidR="000435A2" w:rsidRPr="000435A2">
        <w:rPr>
          <w:rFonts w:eastAsia="Aptos" w:cstheme="minorHAnsi"/>
          <w:b/>
          <w:bCs/>
          <w:color w:val="203864"/>
          <w:kern w:val="2"/>
          <w:sz w:val="24"/>
          <w:szCs w:val="24"/>
          <w14:ligatures w14:val="standardContextual"/>
        </w:rPr>
        <w:t xml:space="preserve"> = 7)</w:t>
      </w:r>
    </w:p>
    <w:p w14:paraId="4C9C6E97" w14:textId="466BE847" w:rsidR="000435A2" w:rsidRPr="000435A2" w:rsidRDefault="00B55C67" w:rsidP="000435A2">
      <w:pPr>
        <w:rPr>
          <w:rFonts w:ascii="Times New Roman" w:eastAsia="Aptos" w:hAnsi="Times New Roman" w:cs="Times New Roman"/>
          <w:kern w:val="2"/>
          <w14:ligatures w14:val="standardContextual"/>
        </w:rPr>
      </w:pPr>
      <w:r>
        <w:rPr>
          <w:rFonts w:ascii="ZWAdobeF" w:eastAsia="Aptos" w:hAnsi="ZWAdobeF" w:cs="ZWAdobeF"/>
          <w:kern w:val="2"/>
          <w:sz w:val="2"/>
          <w:szCs w:val="2"/>
          <w14:ligatures w14:val="standardContextual"/>
        </w:rPr>
        <w:t>626B</w:t>
      </w:r>
      <w:r w:rsidR="000435A2" w:rsidRPr="000435A2">
        <w:rPr>
          <w:rFonts w:ascii="Times New Roman" w:eastAsia="Aptos" w:hAnsi="Times New Roman" w:cs="Times New Roman"/>
          <w:b/>
          <w:bCs/>
          <w:noProof/>
          <w:color w:val="FF0000"/>
          <w:kern w:val="2"/>
          <w:sz w:val="28"/>
          <w:szCs w:val="28"/>
          <w14:ligatures w14:val="standardContextual"/>
        </w:rPr>
        <w:drawing>
          <wp:inline distT="0" distB="0" distL="0" distR="0" wp14:anchorId="5B920FE5" wp14:editId="544C54D6">
            <wp:extent cx="6503670" cy="4519930"/>
            <wp:effectExtent l="0" t="0" r="0" b="0"/>
            <wp:docPr id="1403948259" name="Chart 1403948259" descr="Publisher/Vendor Part 2 Exit Survey, Figure 5 is a horizontal bar chart showing challenges that hinder timely delivery of accessible formats (n = 7). Respondents reported significant differences between the printing needed for accessible formats and the version submitted to the NIMAC as a challenge (57%), as well as NIMAS conversion vendor turnaround times (57%). Lack of knowledge or misunderstanding of the role of the NIMAC was reported by 29%, as was turnover of state or district staff responsible for procurement contracts without knowledge transfer (29%). Challenges producing NIMAS for digital instructional materials were reported by 14%, and lack of understanding or awareness of the NIMAC was also reported by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inline>
        </w:drawing>
      </w:r>
    </w:p>
    <w:p w14:paraId="284B77BD" w14:textId="77777777" w:rsidR="000435A2" w:rsidRPr="000435A2" w:rsidRDefault="000435A2" w:rsidP="000435A2">
      <w:pPr>
        <w:rPr>
          <w:rFonts w:ascii="Times New Roman" w:eastAsia="Aptos" w:hAnsi="Times New Roman" w:cs="Times New Roman"/>
          <w:kern w:val="2"/>
          <w14:ligatures w14:val="standardContextual"/>
        </w:rPr>
      </w:pPr>
      <w:r w:rsidRPr="000435A2">
        <w:rPr>
          <w:rFonts w:ascii="Times New Roman" w:eastAsia="Aptos" w:hAnsi="Times New Roman" w:cs="Times New Roman"/>
          <w:kern w:val="2"/>
          <w14:ligatures w14:val="standardContextual"/>
        </w:rPr>
        <w:br w:type="page"/>
      </w:r>
    </w:p>
    <w:p w14:paraId="723D622D" w14:textId="474BEA64" w:rsidR="000435A2" w:rsidRPr="000435A2" w:rsidRDefault="00B55C67" w:rsidP="000435A2">
      <w:pPr>
        <w:spacing w:after="360"/>
        <w:jc w:val="center"/>
        <w:rPr>
          <w:rFonts w:eastAsia="Aptos" w:cstheme="minorHAnsi"/>
          <w:b/>
          <w:bCs/>
          <w:color w:val="203864"/>
          <w:kern w:val="2"/>
          <w:sz w:val="28"/>
          <w:szCs w:val="28"/>
          <w14:ligatures w14:val="standardContextual"/>
        </w:rPr>
      </w:pPr>
      <w:r>
        <w:rPr>
          <w:rFonts w:ascii="ZWAdobeF" w:eastAsia="Aptos" w:hAnsi="ZWAdobeF" w:cs="ZWAdobeF"/>
          <w:bCs/>
          <w:kern w:val="2"/>
          <w:sz w:val="2"/>
          <w:szCs w:val="2"/>
          <w14:ligatures w14:val="standardContextual"/>
        </w:rPr>
        <w:lastRenderedPageBreak/>
        <w:t>627B</w:t>
      </w:r>
      <w:r w:rsidR="000435A2" w:rsidRPr="000435A2">
        <w:rPr>
          <w:rFonts w:eastAsia="Aptos" w:cstheme="minorHAnsi"/>
          <w:b/>
          <w:bCs/>
          <w:color w:val="203864"/>
          <w:kern w:val="2"/>
          <w:sz w:val="28"/>
          <w:szCs w:val="28"/>
          <w14:ligatures w14:val="standardContextual"/>
        </w:rPr>
        <w:t>Publisher/Vendor Part 3 Exit Survey</w:t>
      </w:r>
    </w:p>
    <w:p w14:paraId="37EC545B" w14:textId="67E4A677" w:rsidR="000435A2" w:rsidRPr="000435A2" w:rsidRDefault="00B55C67" w:rsidP="000435A2">
      <w:pPr>
        <w:spacing w:after="0" w:line="240" w:lineRule="auto"/>
        <w:jc w:val="center"/>
        <w:rPr>
          <w:rFonts w:eastAsia="Aptos" w:cstheme="minorHAnsi"/>
          <w:color w:val="203864"/>
          <w:kern w:val="2"/>
          <w:sz w:val="20"/>
          <w:szCs w:val="20"/>
          <w14:ligatures w14:val="standardContextual"/>
        </w:rPr>
      </w:pPr>
      <w:r>
        <w:rPr>
          <w:rFonts w:ascii="ZWAdobeF" w:eastAsia="Aptos" w:hAnsi="ZWAdobeF" w:cs="ZWAdobeF"/>
          <w:bCs/>
          <w:kern w:val="2"/>
          <w:sz w:val="2"/>
          <w:szCs w:val="2"/>
          <w14:ligatures w14:val="standardContextual"/>
        </w:rPr>
        <w:t>628B</w:t>
      </w:r>
      <w:r w:rsidR="000435A2" w:rsidRPr="000435A2">
        <w:rPr>
          <w:rFonts w:eastAsia="Aptos" w:cstheme="minorHAnsi"/>
          <w:b/>
          <w:bCs/>
          <w:color w:val="203864"/>
          <w:kern w:val="2"/>
          <w:sz w:val="24"/>
          <w:szCs w:val="24"/>
          <w14:ligatures w14:val="standardContextual"/>
        </w:rPr>
        <w:t>Figure 6. Understanding of Educational Materials That Fall Within Scope for NIMAS</w:t>
      </w:r>
      <w:r>
        <w:rPr>
          <w:rFonts w:ascii="ZWAdobeF" w:eastAsia="Aptos" w:hAnsi="ZWAdobeF" w:cs="ZWAdobeF"/>
          <w:bCs/>
          <w:kern w:val="2"/>
          <w:sz w:val="2"/>
          <w:szCs w:val="2"/>
          <w14:ligatures w14:val="standardContextual"/>
        </w:rPr>
        <w:t>87F</w:t>
      </w:r>
      <w:r w:rsidR="000435A2" w:rsidRPr="000435A2">
        <w:rPr>
          <w:rFonts w:eastAsia="Aptos" w:cstheme="minorHAnsi"/>
          <w:b/>
          <w:bCs/>
          <w:color w:val="203864"/>
          <w:kern w:val="2"/>
          <w:sz w:val="24"/>
          <w:szCs w:val="24"/>
          <w:vertAlign w:val="superscript"/>
          <w14:ligatures w14:val="standardContextual"/>
        </w:rPr>
        <w:footnoteReference w:id="89"/>
      </w:r>
    </w:p>
    <w:p w14:paraId="006CF237" w14:textId="06EB5848" w:rsidR="000435A2" w:rsidRPr="000435A2" w:rsidRDefault="00B55C67" w:rsidP="000435A2">
      <w:pPr>
        <w:spacing w:after="0" w:line="240" w:lineRule="auto"/>
        <w:jc w:val="center"/>
        <w:rPr>
          <w:rFonts w:eastAsia="Aptos" w:cstheme="minorHAnsi"/>
          <w:b/>
          <w:bCs/>
          <w:color w:val="156082"/>
          <w:kern w:val="2"/>
          <w:sz w:val="24"/>
          <w:szCs w:val="24"/>
          <w14:ligatures w14:val="standardContextual"/>
        </w:rPr>
      </w:pPr>
      <w:r>
        <w:rPr>
          <w:rFonts w:ascii="ZWAdobeF" w:eastAsia="Aptos" w:hAnsi="ZWAdobeF" w:cs="ZWAdobeF"/>
          <w:bCs/>
          <w:kern w:val="2"/>
          <w:sz w:val="2"/>
          <w:szCs w:val="2"/>
          <w14:ligatures w14:val="standardContextual"/>
        </w:rPr>
        <w:t>629</w:t>
      </w:r>
      <w:proofErr w:type="gramStart"/>
      <w:r>
        <w:rPr>
          <w:rFonts w:ascii="ZWAdobeF" w:eastAsia="Aptos" w:hAnsi="ZWAdobeF" w:cs="ZWAdobeF"/>
          <w:bCs/>
          <w:kern w:val="2"/>
          <w:sz w:val="2"/>
          <w:szCs w:val="2"/>
          <w14:ligatures w14:val="standardContextual"/>
        </w:rPr>
        <w:t>B</w:t>
      </w:r>
      <w:r w:rsidR="000435A2" w:rsidRPr="000435A2">
        <w:rPr>
          <w:rFonts w:eastAsia="Aptos" w:cstheme="minorHAnsi"/>
          <w:b/>
          <w:bCs/>
          <w:color w:val="203864"/>
          <w:kern w:val="2"/>
          <w:sz w:val="24"/>
          <w:szCs w:val="24"/>
          <w14:ligatures w14:val="standardContextual"/>
        </w:rPr>
        <w:t>(</w:t>
      </w:r>
      <w:proofErr w:type="gramEnd"/>
      <w:r w:rsidR="000435A2" w:rsidRPr="000435A2">
        <w:rPr>
          <w:rFonts w:eastAsia="Aptos" w:cstheme="minorHAnsi"/>
          <w:b/>
          <w:bCs/>
          <w:i/>
          <w:iCs/>
          <w:color w:val="203864"/>
          <w:kern w:val="2"/>
          <w:sz w:val="24"/>
          <w:szCs w:val="24"/>
          <w14:ligatures w14:val="standardContextual"/>
        </w:rPr>
        <w:t>n</w:t>
      </w:r>
      <w:r w:rsidR="000435A2" w:rsidRPr="000435A2">
        <w:rPr>
          <w:rFonts w:eastAsia="Aptos" w:cstheme="minorHAnsi"/>
          <w:b/>
          <w:bCs/>
          <w:color w:val="203864"/>
          <w:kern w:val="2"/>
          <w:sz w:val="24"/>
          <w:szCs w:val="24"/>
          <w14:ligatures w14:val="standardContextual"/>
        </w:rPr>
        <w:t xml:space="preserve"> = 17)</w:t>
      </w:r>
    </w:p>
    <w:p w14:paraId="6E94E292" w14:textId="4A8C6429" w:rsidR="000435A2" w:rsidRPr="000435A2" w:rsidRDefault="00B55C67" w:rsidP="000435A2">
      <w:pPr>
        <w:rPr>
          <w:rFonts w:ascii="Times New Roman" w:eastAsia="Aptos" w:hAnsi="Times New Roman" w:cs="Times New Roman"/>
          <w:kern w:val="2"/>
          <w14:ligatures w14:val="standardContextual"/>
        </w:rPr>
      </w:pPr>
      <w:r>
        <w:rPr>
          <w:rFonts w:ascii="ZWAdobeF" w:eastAsia="Aptos" w:hAnsi="ZWAdobeF" w:cs="ZWAdobeF"/>
          <w:kern w:val="2"/>
          <w:sz w:val="2"/>
          <w:szCs w:val="2"/>
          <w14:ligatures w14:val="standardContextual"/>
        </w:rPr>
        <w:t>630B</w:t>
      </w:r>
      <w:r w:rsidR="000435A2" w:rsidRPr="000435A2">
        <w:rPr>
          <w:rFonts w:ascii="Times New Roman" w:eastAsia="Aptos" w:hAnsi="Times New Roman" w:cs="Times New Roman"/>
          <w:b/>
          <w:bCs/>
          <w:noProof/>
          <w:kern w:val="2"/>
          <w14:ligatures w14:val="standardContextual"/>
        </w:rPr>
        <w:drawing>
          <wp:inline distT="0" distB="0" distL="0" distR="0" wp14:anchorId="6AC8C2BE" wp14:editId="075907A5">
            <wp:extent cx="5943600" cy="1324610"/>
            <wp:effectExtent l="0" t="0" r="0" b="8890"/>
            <wp:docPr id="563126428" name="Chart 563126428" descr="Publisher/Vendor Part 3 Exit Survey, Figure 6 is a stacked bar chart showing respondents’ understanding of which educational materials fall within scope for NIMAS (n = 17). Six percent of respondents disagreed that they understand which materials fall within scope, 82% agreed, and 12% strongly agreed."/>
            <wp:cNvGraphicFramePr/>
            <a:graphic xmlns:a="http://schemas.openxmlformats.org/drawingml/2006/main">
              <a:graphicData uri="http://schemas.openxmlformats.org/drawingml/2006/chart">
                <c:chart xmlns:c="http://schemas.openxmlformats.org/drawingml/2006/chart" xmlns:r="http://schemas.openxmlformats.org/officeDocument/2006/relationships" r:id="rId57"/>
              </a:graphicData>
            </a:graphic>
          </wp:inline>
        </w:drawing>
      </w:r>
    </w:p>
    <w:p w14:paraId="0291198C" w14:textId="1A0379E9" w:rsidR="001A1347" w:rsidRPr="00A63DBC" w:rsidRDefault="001A1347" w:rsidP="003F07F8">
      <w:pPr>
        <w:spacing w:after="0"/>
        <w:jc w:val="center"/>
        <w:rPr>
          <w:rStyle w:val="Strong"/>
          <w:rFonts w:ascii="Times New Roman" w:hAnsi="Times New Roman" w:cs="Times New Roman"/>
          <w:b w:val="0"/>
          <w:bCs w:val="0"/>
          <w:color w:val="auto"/>
          <w:sz w:val="24"/>
          <w:szCs w:val="24"/>
        </w:rPr>
      </w:pPr>
    </w:p>
    <w:sectPr w:rsidR="001A1347" w:rsidRPr="00A63DBC" w:rsidSect="004726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CBBBBF" w14:textId="77777777" w:rsidR="003C7C8F" w:rsidRDefault="003C7C8F" w:rsidP="00C26166">
      <w:pPr>
        <w:spacing w:after="0" w:line="240" w:lineRule="auto"/>
      </w:pPr>
      <w:r>
        <w:separator/>
      </w:r>
    </w:p>
  </w:endnote>
  <w:endnote w:type="continuationSeparator" w:id="0">
    <w:p w14:paraId="6F37F2AF" w14:textId="77777777" w:rsidR="003C7C8F" w:rsidRDefault="003C7C8F" w:rsidP="00C261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Bold">
    <w:altName w:val="Times New Roman"/>
    <w:panose1 w:val="02020803070505020304"/>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ZWAdobeF">
    <w:panose1 w:val="00000000000000000000"/>
    <w:charset w:val="00"/>
    <w:family w:val="auto"/>
    <w:pitch w:val="variable"/>
    <w:sig w:usb0="20002A87" w:usb1="00000000" w:usb2="00000000" w:usb3="00000000" w:csb0="000001FF" w:csb1="00000000"/>
  </w:font>
  <w:font w:name="Arial Black">
    <w:panose1 w:val="020B0A04020102020204"/>
    <w:charset w:val="00"/>
    <w:family w:val="swiss"/>
    <w:pitch w:val="variable"/>
    <w:sig w:usb0="A00002AF" w:usb1="400078FB" w:usb2="00000000" w:usb3="00000000" w:csb0="0000009F" w:csb1="00000000"/>
  </w:font>
  <w:font w:name="Aptos">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1FF5FD" w14:textId="18A966B4" w:rsidR="00F8352D" w:rsidRDefault="00322BBB">
    <w:pPr>
      <w:pStyle w:val="Footer"/>
    </w:pPr>
    <w:r w:rsidRPr="006D52F3">
      <w:rPr>
        <w:rFonts w:ascii="Calibri" w:eastAsia="Calibri" w:hAnsi="Calibri" w:cs="Times New Roman"/>
        <w:noProof/>
        <w:color w:val="1C3457"/>
      </w:rPr>
      <w:drawing>
        <wp:anchor distT="0" distB="0" distL="114300" distR="114300" simplePos="0" relativeHeight="251659264" behindDoc="0" locked="1" layoutInCell="1" allowOverlap="1" wp14:anchorId="2FFB6F3D" wp14:editId="4FB279B1">
          <wp:simplePos x="0" y="0"/>
          <wp:positionH relativeFrom="margin">
            <wp:posOffset>0</wp:posOffset>
          </wp:positionH>
          <wp:positionV relativeFrom="margin">
            <wp:posOffset>8371840</wp:posOffset>
          </wp:positionV>
          <wp:extent cx="1727835" cy="466090"/>
          <wp:effectExtent l="0" t="0" r="0" b="3810"/>
          <wp:wrapSquare wrapText="bothSides"/>
          <wp:docPr id="679080411" name="Picture 679080411" descr="A picture containing the TrueNorth Evaluation logo in the header of the document.&#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703217" name="Picture 1830703217" descr="A picture containing the TrueNorth Evaluation logo in the header of the document.&#10;&#10;"/>
                  <pic:cNvPicPr>
                    <a:picLocks noChangeAspect="1" noChangeArrowheads="1"/>
                  </pic:cNvPicPr>
                </pic:nvPicPr>
                <pic:blipFill>
                  <a:blip r:embed="rId1" cstate="screen">
                    <a:extLst>
                      <a:ext uri="{28A0092B-C50C-407E-A947-70E740481C1C}">
                        <a14:useLocalDpi xmlns:a14="http://schemas.microsoft.com/office/drawing/2010/main"/>
                      </a:ext>
                    </a:extLst>
                  </a:blip>
                  <a:srcRect/>
                  <a:stretch>
                    <a:fillRect/>
                  </a:stretch>
                </pic:blipFill>
                <pic:spPr bwMode="auto">
                  <a:xfrm>
                    <a:off x="0" y="0"/>
                    <a:ext cx="1727835" cy="4660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8352D">
      <w:ptab w:relativeTo="margin" w:alignment="center" w:leader="none"/>
    </w:r>
    <w:r w:rsidR="00F8352D" w:rsidRPr="007029C4">
      <w:rPr>
        <w:sz w:val="24"/>
        <w:szCs w:val="24"/>
      </w:rPr>
      <w:t xml:space="preserve"> </w:t>
    </w:r>
    <w:r w:rsidRPr="00944084">
      <w:rPr>
        <w:rFonts w:ascii="Trebuchet MS" w:hAnsi="Trebuchet MS"/>
        <w:b/>
        <w:bCs/>
        <w:color w:val="1B4466"/>
      </w:rPr>
      <w:t>NIMAC Case Study</w:t>
    </w:r>
    <w:r w:rsidR="00F8352D" w:rsidRPr="00944084">
      <w:rPr>
        <w:color w:val="1B4466"/>
      </w:rPr>
      <w:ptab w:relativeTo="margin" w:alignment="right" w:leader="none"/>
    </w:r>
    <w:r w:rsidR="00A81BBD">
      <w:rPr>
        <w:rFonts w:ascii="Trebuchet MS" w:hAnsi="Trebuchet MS"/>
        <w:color w:val="1B4466"/>
      </w:rPr>
      <w:fldChar w:fldCharType="begin"/>
    </w:r>
    <w:r w:rsidR="00A81BBD">
      <w:rPr>
        <w:rFonts w:ascii="Trebuchet MS" w:hAnsi="Trebuchet MS"/>
        <w:color w:val="1B4466"/>
      </w:rPr>
      <w:instrText xml:space="preserve"> PAGE  \* Arabic  \* MERGEFORMAT </w:instrText>
    </w:r>
    <w:r w:rsidR="00A81BBD">
      <w:rPr>
        <w:rFonts w:ascii="Trebuchet MS" w:hAnsi="Trebuchet MS"/>
        <w:color w:val="1B4466"/>
      </w:rPr>
      <w:fldChar w:fldCharType="separate"/>
    </w:r>
    <w:r w:rsidR="00A81BBD">
      <w:rPr>
        <w:rFonts w:ascii="Trebuchet MS" w:hAnsi="Trebuchet MS"/>
        <w:noProof/>
        <w:color w:val="1B4466"/>
      </w:rPr>
      <w:t>1</w:t>
    </w:r>
    <w:r w:rsidR="00A81BBD">
      <w:rPr>
        <w:rFonts w:ascii="Trebuchet MS" w:hAnsi="Trebuchet MS"/>
        <w:color w:val="1B446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BC92A1" w14:textId="77777777" w:rsidR="003C7C8F" w:rsidRDefault="003C7C8F" w:rsidP="00C26166">
      <w:pPr>
        <w:spacing w:after="0" w:line="240" w:lineRule="auto"/>
      </w:pPr>
      <w:r>
        <w:separator/>
      </w:r>
    </w:p>
  </w:footnote>
  <w:footnote w:type="continuationSeparator" w:id="0">
    <w:p w14:paraId="244C29E6" w14:textId="77777777" w:rsidR="003C7C8F" w:rsidRDefault="003C7C8F" w:rsidP="00C26166">
      <w:pPr>
        <w:spacing w:after="0" w:line="240" w:lineRule="auto"/>
      </w:pPr>
      <w:r>
        <w:continuationSeparator/>
      </w:r>
    </w:p>
  </w:footnote>
  <w:footnote w:id="1">
    <w:p w14:paraId="0C84CE15" w14:textId="77777777" w:rsidR="003B7656" w:rsidRDefault="003B7656" w:rsidP="003B7656">
      <w:pPr>
        <w:pStyle w:val="FootnoteText"/>
      </w:pPr>
      <w:r>
        <w:rPr>
          <w:rStyle w:val="FootnoteReference"/>
        </w:rPr>
        <w:footnoteRef/>
      </w:r>
      <w:r>
        <w:t xml:space="preserve"> Both the Project Director, Nicole Gaines, and Manager, Elizabeth Schaller, participated in all planning and implementation stages of the case study with True North Evaluation. </w:t>
      </w:r>
    </w:p>
  </w:footnote>
  <w:footnote w:id="2">
    <w:p w14:paraId="5DE2BF4A" w14:textId="6CE149B1" w:rsidR="003B7656" w:rsidRDefault="003B7656" w:rsidP="003B7656">
      <w:pPr>
        <w:pStyle w:val="FootnoteText"/>
      </w:pPr>
      <w:r>
        <w:rPr>
          <w:rStyle w:val="FootnoteReference"/>
        </w:rPr>
        <w:footnoteRef/>
      </w:r>
      <w:r>
        <w:t xml:space="preserve"> The NIMAC Request for Service</w:t>
      </w:r>
      <w:r w:rsidR="00F65B79">
        <w:t>s</w:t>
      </w:r>
      <w:r>
        <w:t xml:space="preserve"> stated, “</w:t>
      </w:r>
      <w:r w:rsidRPr="00195206">
        <w:t>Our area of interest for the present case study is to examine the positive benefits to timely delivery when NIMAS is required by the states and districts in procurement contracts, as opposed to the challenges to timely delivery when this does not happen</w:t>
      </w:r>
      <w:r>
        <w:t>.”</w:t>
      </w:r>
    </w:p>
  </w:footnote>
  <w:footnote w:id="3">
    <w:p w14:paraId="5ED1548B" w14:textId="4323D004" w:rsidR="003B7656" w:rsidRDefault="003B7656" w:rsidP="003B7656">
      <w:pPr>
        <w:pStyle w:val="FootnoteText"/>
      </w:pPr>
      <w:r>
        <w:rPr>
          <w:rStyle w:val="FootnoteReference"/>
        </w:rPr>
        <w:footnoteRef/>
      </w:r>
      <w:r>
        <w:t xml:space="preserve"> An initial list of 7 case study states was developed with the NIMAC. They represented states that the NIMAC worked closely with and that seemed to include NIMAS language in procurement contracts</w:t>
      </w:r>
      <w:r w:rsidR="0061187A">
        <w:t xml:space="preserve"> with some regularity</w:t>
      </w:r>
      <w:r>
        <w:t xml:space="preserve">, </w:t>
      </w:r>
      <w:r w:rsidR="00695D20">
        <w:t xml:space="preserve">possibly </w:t>
      </w:r>
      <w:r>
        <w:t xml:space="preserve">indicating more </w:t>
      </w:r>
      <w:r w:rsidR="00695D20">
        <w:t xml:space="preserve">effective </w:t>
      </w:r>
      <w:r>
        <w:t xml:space="preserve">systems for </w:t>
      </w:r>
      <w:r w:rsidR="00695D20">
        <w:t xml:space="preserve">accessible format production and </w:t>
      </w:r>
      <w:r>
        <w:t xml:space="preserve">delivery. True North Evaluation drafted an outreach email describing the case study and its flexible, customized approach to data collection. The NIMAC sent the email, to which some declined the invitation, some provided mixed or partial responses, and others welcomed the opportunity to </w:t>
      </w:r>
      <w:r w:rsidR="006D2284">
        <w:t>contribute to</w:t>
      </w:r>
      <w:r w:rsidR="0061187A">
        <w:t xml:space="preserve"> </w:t>
      </w:r>
      <w:r>
        <w:t>the study.</w:t>
      </w:r>
    </w:p>
  </w:footnote>
  <w:footnote w:id="4">
    <w:p w14:paraId="5EBDF96A" w14:textId="77777777" w:rsidR="00692AD9" w:rsidRDefault="00692AD9" w:rsidP="00692AD9">
      <w:pPr>
        <w:pStyle w:val="FootnoteText"/>
      </w:pPr>
      <w:r>
        <w:rPr>
          <w:rStyle w:val="FootnoteReference"/>
        </w:rPr>
        <w:footnoteRef/>
      </w:r>
      <w:r>
        <w:t xml:space="preserve"> These represent avenues known to True North Evaluation. It is possible that case study states disseminated the Case Study Survey through additional channels not listed (i.e., unknown to True North Evaluation). Additionally, some of the avenues listed were coupled with virtual presentations at monthly meetings, where True North Evaluation was invited to present the case study and share the survey link. </w:t>
      </w:r>
    </w:p>
  </w:footnote>
  <w:footnote w:id="5">
    <w:p w14:paraId="727FFCA3" w14:textId="04709BE0" w:rsidR="006F6352" w:rsidRDefault="006F6352">
      <w:pPr>
        <w:pStyle w:val="FootnoteText"/>
      </w:pPr>
      <w:r>
        <w:rPr>
          <w:rStyle w:val="FootnoteReference"/>
        </w:rPr>
        <w:footnoteRef/>
      </w:r>
      <w:r>
        <w:t xml:space="preserve"> The term “interviews” includes both </w:t>
      </w:r>
      <w:r w:rsidR="00BA77AD">
        <w:t>1</w:t>
      </w:r>
      <w:r>
        <w:t>-on-</w:t>
      </w:r>
      <w:r w:rsidR="00BA77AD">
        <w:t>1</w:t>
      </w:r>
      <w:r>
        <w:t xml:space="preserve"> interviews and focus group interviews.</w:t>
      </w:r>
    </w:p>
  </w:footnote>
  <w:footnote w:id="6">
    <w:p w14:paraId="01FB8FCC" w14:textId="34C0C7CC" w:rsidR="00087482" w:rsidRDefault="00087482" w:rsidP="00087482">
      <w:pPr>
        <w:pStyle w:val="FootnoteText"/>
      </w:pPr>
      <w:r>
        <w:rPr>
          <w:rStyle w:val="FootnoteReference"/>
        </w:rPr>
        <w:footnoteRef/>
      </w:r>
      <w:r>
        <w:t xml:space="preserve"> In Washington and the case study state of Oregon, the term “Education Service District (ESD)” is used instead of “Local Education Agency (LEA).”</w:t>
      </w:r>
    </w:p>
  </w:footnote>
  <w:footnote w:id="7">
    <w:p w14:paraId="354E3131" w14:textId="0A1D79A3" w:rsidR="006F6352" w:rsidRDefault="006F6352">
      <w:pPr>
        <w:pStyle w:val="FootnoteText"/>
      </w:pPr>
      <w:r>
        <w:rPr>
          <w:rStyle w:val="FootnoteReference"/>
        </w:rPr>
        <w:footnoteRef/>
      </w:r>
      <w:r>
        <w:t xml:space="preserve"> </w:t>
      </w:r>
      <w:r w:rsidR="00BA77AD">
        <w:t>2</w:t>
      </w:r>
      <w:r>
        <w:t xml:space="preserve"> participants participated in </w:t>
      </w:r>
      <w:r w:rsidR="00BA77AD">
        <w:t>2</w:t>
      </w:r>
      <w:r>
        <w:t xml:space="preserve"> focus group interviews.</w:t>
      </w:r>
    </w:p>
  </w:footnote>
  <w:footnote w:id="8">
    <w:p w14:paraId="75AAD990" w14:textId="0D6B8EC6" w:rsidR="0069159F" w:rsidRDefault="0069159F">
      <w:pPr>
        <w:pStyle w:val="FootnoteText"/>
      </w:pPr>
      <w:r>
        <w:rPr>
          <w:rStyle w:val="FootnoteReference"/>
        </w:rPr>
        <w:footnoteRef/>
      </w:r>
      <w:r>
        <w:t xml:space="preserve"> </w:t>
      </w:r>
      <w:r w:rsidRPr="0069159F">
        <w:t>Response rates cannot be determined given the snowball sampling method that was used to distribute the survey through key partners and stakeholders.</w:t>
      </w:r>
    </w:p>
  </w:footnote>
  <w:footnote w:id="9">
    <w:p w14:paraId="502C31F8" w14:textId="565170A8" w:rsidR="0087454E" w:rsidRDefault="0087454E" w:rsidP="0087454E">
      <w:pPr>
        <w:pStyle w:val="FootnoteText"/>
      </w:pPr>
      <w:r>
        <w:rPr>
          <w:rStyle w:val="FootnoteReference"/>
        </w:rPr>
        <w:footnoteRef/>
      </w:r>
      <w:r>
        <w:t xml:space="preserve"> A total of 395 respondents started the survey. The final sample size of 329 includes respondents who answered at least </w:t>
      </w:r>
      <w:r w:rsidR="00BA77AD">
        <w:t>1</w:t>
      </w:r>
      <w:r>
        <w:t xml:space="preserve"> substantive question. </w:t>
      </w:r>
    </w:p>
  </w:footnote>
  <w:footnote w:id="10">
    <w:p w14:paraId="4A85E9A9" w14:textId="1328DED2" w:rsidR="0087454E" w:rsidRDefault="0087454E" w:rsidP="0087454E">
      <w:pPr>
        <w:pStyle w:val="FootnoteText"/>
      </w:pPr>
      <w:r>
        <w:rPr>
          <w:rStyle w:val="FootnoteReference"/>
        </w:rPr>
        <w:footnoteRef/>
      </w:r>
      <w:r>
        <w:t xml:space="preserve"> Some individuals from each case study state received the </w:t>
      </w:r>
      <w:r w:rsidR="0030099F">
        <w:t>national survey</w:t>
      </w:r>
      <w:r>
        <w:t xml:space="preserve"> through our outreach attempts. </w:t>
      </w:r>
      <w:r w:rsidR="00AD4BDC">
        <w:t xml:space="preserve">Although </w:t>
      </w:r>
      <w:r>
        <w:t xml:space="preserve">these individuals completed the survey through the </w:t>
      </w:r>
      <w:r w:rsidR="0030099F">
        <w:t>national survey</w:t>
      </w:r>
      <w:r>
        <w:t xml:space="preserve"> link, they </w:t>
      </w:r>
      <w:r w:rsidR="00113C0F">
        <w:t xml:space="preserve">are included with their case study state throughout this report. </w:t>
      </w:r>
    </w:p>
  </w:footnote>
  <w:footnote w:id="11">
    <w:p w14:paraId="73FA355E" w14:textId="2C4BB431" w:rsidR="00CF2F1D" w:rsidRDefault="00CF2F1D" w:rsidP="00CF2F1D">
      <w:pPr>
        <w:pStyle w:val="FootnoteText"/>
      </w:pPr>
      <w:r>
        <w:rPr>
          <w:rStyle w:val="FootnoteReference"/>
        </w:rPr>
        <w:footnoteRef/>
      </w:r>
      <w:r>
        <w:t xml:space="preserve"> Respondents were asked to choose their role from a list of options, all of which are presented in Figure </w:t>
      </w:r>
      <w:r w:rsidR="00AD4BDC">
        <w:t>1</w:t>
      </w:r>
      <w:r>
        <w:t>.</w:t>
      </w:r>
    </w:p>
  </w:footnote>
  <w:footnote w:id="12">
    <w:p w14:paraId="0367E4F1" w14:textId="408AFFE4" w:rsidR="00BB4D0B" w:rsidRDefault="00BB4D0B" w:rsidP="00BB4D0B">
      <w:pPr>
        <w:pStyle w:val="FootnoteText"/>
      </w:pPr>
      <w:r>
        <w:rPr>
          <w:rStyle w:val="FootnoteReference"/>
        </w:rPr>
        <w:footnoteRef/>
      </w:r>
      <w:r>
        <w:t xml:space="preserve"> This question was not presented to publishers </w:t>
      </w:r>
      <w:r w:rsidR="002D7ACD">
        <w:t xml:space="preserve">or </w:t>
      </w:r>
      <w:r>
        <w:t xml:space="preserve">conversion vendors who </w:t>
      </w:r>
      <w:r w:rsidR="00BA06CA">
        <w:t xml:space="preserve">were </w:t>
      </w:r>
      <w:r>
        <w:t>not NIMAC Users.</w:t>
      </w:r>
    </w:p>
  </w:footnote>
  <w:footnote w:id="13">
    <w:p w14:paraId="6C9B6336" w14:textId="1C0A1E83" w:rsidR="00A56AC6" w:rsidRPr="00A56AC6" w:rsidRDefault="00A56AC6" w:rsidP="00A56AC6">
      <w:pPr>
        <w:pStyle w:val="FootnoteText"/>
      </w:pPr>
      <w:r>
        <w:rPr>
          <w:rStyle w:val="FootnoteReference"/>
        </w:rPr>
        <w:footnoteRef/>
      </w:r>
      <w:r>
        <w:t xml:space="preserve"> </w:t>
      </w:r>
      <w:r w:rsidR="00BA77AD">
        <w:t>8</w:t>
      </w:r>
      <w:r w:rsidRPr="00A56AC6">
        <w:t xml:space="preserve"> </w:t>
      </w:r>
      <w:r>
        <w:t xml:space="preserve">respondents selected </w:t>
      </w:r>
      <w:r w:rsidRPr="00A56AC6">
        <w:t xml:space="preserve">“Don’t Know” (these responses are not included in the </w:t>
      </w:r>
      <w:r w:rsidR="00A85DB9">
        <w:t>figure</w:t>
      </w:r>
      <w:r w:rsidRPr="00A56AC6">
        <w:t xml:space="preserve">). </w:t>
      </w:r>
      <w:r w:rsidR="00BA77AD">
        <w:t>13</w:t>
      </w:r>
      <w:r w:rsidR="00E5061A">
        <w:t xml:space="preserve"> respondents selected “Other” and described additional benefits of timely delivery</w:t>
      </w:r>
      <w:r w:rsidR="003447A0">
        <w:t>, which are</w:t>
      </w:r>
      <w:r w:rsidR="00C967CC">
        <w:t xml:space="preserve"> </w:t>
      </w:r>
      <w:r w:rsidR="00E5061A">
        <w:t>included in the qualitative analysis</w:t>
      </w:r>
      <w:r w:rsidR="00B9406C">
        <w:t xml:space="preserve"> described below</w:t>
      </w:r>
      <w:r w:rsidR="00E5061A">
        <w:t>.</w:t>
      </w:r>
    </w:p>
    <w:p w14:paraId="323052F2" w14:textId="2039FCB0" w:rsidR="00A56AC6" w:rsidRDefault="00A56AC6">
      <w:pPr>
        <w:pStyle w:val="FootnoteText"/>
      </w:pPr>
    </w:p>
  </w:footnote>
  <w:footnote w:id="14">
    <w:p w14:paraId="5629F49B" w14:textId="4852C9E0" w:rsidR="002622C3" w:rsidRDefault="002622C3" w:rsidP="002622C3">
      <w:pPr>
        <w:pStyle w:val="FootnoteText"/>
      </w:pPr>
      <w:r>
        <w:rPr>
          <w:rStyle w:val="FootnoteReference"/>
        </w:rPr>
        <w:footnoteRef/>
      </w:r>
      <w:r>
        <w:t xml:space="preserve"> </w:t>
      </w:r>
      <w:r w:rsidR="00BA77AD">
        <w:t>8</w:t>
      </w:r>
      <w:r w:rsidRPr="00A56AC6">
        <w:t xml:space="preserve"> </w:t>
      </w:r>
      <w:r>
        <w:t xml:space="preserve">respondents selected </w:t>
      </w:r>
      <w:r w:rsidRPr="00A56AC6">
        <w:t xml:space="preserve">“Don’t Know” (these responses are not included in the </w:t>
      </w:r>
      <w:r>
        <w:t>figure</w:t>
      </w:r>
      <w:r w:rsidRPr="00A56AC6">
        <w:t xml:space="preserve">). </w:t>
      </w:r>
      <w:r w:rsidR="007A5F1B">
        <w:t>The *</w:t>
      </w:r>
      <w:r w:rsidR="0090296C">
        <w:t xml:space="preserve"> </w:t>
      </w:r>
      <w:r w:rsidR="007A5F1B">
        <w:t>indicate</w:t>
      </w:r>
      <w:r w:rsidR="00883156">
        <w:t>s</w:t>
      </w:r>
      <w:r w:rsidR="007A5F1B">
        <w:t xml:space="preserve"> </w:t>
      </w:r>
      <w:r w:rsidR="0030099F">
        <w:t xml:space="preserve">a </w:t>
      </w:r>
      <w:r w:rsidR="00C94304">
        <w:t>statistically significant difference.</w:t>
      </w:r>
    </w:p>
  </w:footnote>
  <w:footnote w:id="15">
    <w:p w14:paraId="3CAE051D" w14:textId="77777777" w:rsidR="00B038B0" w:rsidRDefault="00B038B0" w:rsidP="00B038B0">
      <w:pPr>
        <w:pStyle w:val="FootnoteText"/>
      </w:pPr>
      <w:r>
        <w:rPr>
          <w:rStyle w:val="FootnoteReference"/>
        </w:rPr>
        <w:footnoteRef/>
      </w:r>
      <w:r>
        <w:t xml:space="preserve"> When examining statistically significant differences across respondents’ roles, we examined 5 role categories: 1)</w:t>
      </w:r>
    </w:p>
    <w:p w14:paraId="7B06F2A9" w14:textId="0B39F9EC" w:rsidR="00B038B0" w:rsidRDefault="00B038B0" w:rsidP="00B038B0">
      <w:pPr>
        <w:pStyle w:val="FootnoteText"/>
      </w:pPr>
      <w:r>
        <w:t xml:space="preserve">LEA, ESD, and </w:t>
      </w:r>
      <w:r w:rsidR="00620304">
        <w:t>r</w:t>
      </w:r>
      <w:r>
        <w:t>egional/</w:t>
      </w:r>
      <w:r w:rsidR="00620304">
        <w:t>c</w:t>
      </w:r>
      <w:r>
        <w:t xml:space="preserve">ooperative </w:t>
      </w:r>
      <w:r w:rsidR="00620304">
        <w:t>a</w:t>
      </w:r>
      <w:r>
        <w:t xml:space="preserve">gency </w:t>
      </w:r>
      <w:r w:rsidR="00620304">
        <w:t>s</w:t>
      </w:r>
      <w:r>
        <w:t xml:space="preserve">taff, 2) </w:t>
      </w:r>
      <w:r w:rsidR="00620304">
        <w:t>s</w:t>
      </w:r>
      <w:r>
        <w:t xml:space="preserve">chool </w:t>
      </w:r>
      <w:r w:rsidR="00620304">
        <w:t>s</w:t>
      </w:r>
      <w:r>
        <w:t xml:space="preserve">taff, 3) </w:t>
      </w:r>
      <w:r w:rsidR="00620304">
        <w:t>IMC/IRC staff</w:t>
      </w:r>
      <w:r>
        <w:t xml:space="preserve">, 4) SEA </w:t>
      </w:r>
      <w:r w:rsidR="00620304">
        <w:t>s</w:t>
      </w:r>
      <w:r>
        <w:t xml:space="preserve">taff, and 5) AMPs, </w:t>
      </w:r>
      <w:r w:rsidR="00620304">
        <w:t>p</w:t>
      </w:r>
      <w:r>
        <w:t xml:space="preserve">ublishers, and </w:t>
      </w:r>
      <w:r w:rsidR="00620304">
        <w:t>c</w:t>
      </w:r>
      <w:r>
        <w:t xml:space="preserve">onversion </w:t>
      </w:r>
      <w:r w:rsidR="00620304">
        <w:t>v</w:t>
      </w:r>
      <w:r>
        <w:t>endors. We also examined differences between NIMAC Users and respondents who were not NIMAC Users.</w:t>
      </w:r>
    </w:p>
  </w:footnote>
  <w:footnote w:id="16">
    <w:p w14:paraId="47BC6936" w14:textId="6E6F3429" w:rsidR="004F6999" w:rsidRDefault="004F6999" w:rsidP="004F6999">
      <w:pPr>
        <w:pStyle w:val="FootnoteText"/>
      </w:pPr>
      <w:r>
        <w:rPr>
          <w:rStyle w:val="FootnoteReference"/>
        </w:rPr>
        <w:footnoteRef/>
      </w:r>
      <w:r>
        <w:t xml:space="preserve"> </w:t>
      </w:r>
      <w:r w:rsidR="00BA77AD">
        <w:t>8</w:t>
      </w:r>
      <w:r w:rsidRPr="00A56AC6">
        <w:t xml:space="preserve"> </w:t>
      </w:r>
      <w:r>
        <w:t xml:space="preserve">respondents selected </w:t>
      </w:r>
      <w:r w:rsidRPr="00A56AC6">
        <w:t xml:space="preserve">“Don’t Know” (these responses are not included in the </w:t>
      </w:r>
      <w:r>
        <w:t>figure</w:t>
      </w:r>
      <w:r w:rsidRPr="00A56AC6">
        <w:t xml:space="preserve">). </w:t>
      </w:r>
      <w:r>
        <w:t>The * indicates a statistically significant difference.</w:t>
      </w:r>
    </w:p>
  </w:footnote>
  <w:footnote w:id="17">
    <w:p w14:paraId="074A1E38" w14:textId="2DA02C66" w:rsidR="00521F3F" w:rsidRDefault="00521F3F">
      <w:pPr>
        <w:pStyle w:val="FootnoteText"/>
      </w:pPr>
      <w:r>
        <w:rPr>
          <w:rStyle w:val="FootnoteReference"/>
        </w:rPr>
        <w:footnoteRef/>
      </w:r>
      <w:r>
        <w:t xml:space="preserve"> </w:t>
      </w:r>
      <w:r w:rsidR="007B029F" w:rsidRPr="007B029F">
        <w:t>Throughout the report, the term “participants” refers to interview participants and may include survey respondents who provided qualitative data in response to open-ended survey questions.</w:t>
      </w:r>
    </w:p>
  </w:footnote>
  <w:footnote w:id="18">
    <w:p w14:paraId="31F6929A" w14:textId="7B18C0B3" w:rsidR="00883156" w:rsidRDefault="00883156">
      <w:pPr>
        <w:pStyle w:val="FootnoteText"/>
      </w:pPr>
      <w:r>
        <w:rPr>
          <w:rStyle w:val="FootnoteReference"/>
        </w:rPr>
        <w:footnoteRef/>
      </w:r>
      <w:r>
        <w:t xml:space="preserve"> “Excerpts” refer to short segments of text (e.g., sentences or short passages) from open-ended survey responses and </w:t>
      </w:r>
      <w:r w:rsidR="00F92026">
        <w:t xml:space="preserve">interview </w:t>
      </w:r>
      <w:r>
        <w:t>transcript</w:t>
      </w:r>
      <w:r w:rsidR="00F92026">
        <w:t>s</w:t>
      </w:r>
      <w:r>
        <w:t>. In qualitative data analysis, excerpts are identified</w:t>
      </w:r>
      <w:r w:rsidR="00354D06">
        <w:t xml:space="preserve"> and then examined to determine</w:t>
      </w:r>
      <w:r>
        <w:t xml:space="preserve"> themes </w:t>
      </w:r>
      <w:r w:rsidR="00354D06">
        <w:t xml:space="preserve">in the data. </w:t>
      </w:r>
      <w:r w:rsidR="00F133DC">
        <w:t xml:space="preserve">Multiple excerpts </w:t>
      </w:r>
      <w:r w:rsidR="005118E9">
        <w:t xml:space="preserve">may come from the same </w:t>
      </w:r>
      <w:r w:rsidR="00863270">
        <w:t xml:space="preserve">participant. </w:t>
      </w:r>
      <w:r w:rsidR="006749E0">
        <w:t>Excerpts</w:t>
      </w:r>
      <w:r w:rsidR="002854D9">
        <w:t xml:space="preserve"> </w:t>
      </w:r>
      <w:r w:rsidR="005D7583">
        <w:t xml:space="preserve">throughout this report </w:t>
      </w:r>
      <w:r w:rsidR="002854D9">
        <w:t xml:space="preserve">are </w:t>
      </w:r>
      <w:r w:rsidR="002854D9" w:rsidRPr="002854D9">
        <w:t>presented verbatim and correct</w:t>
      </w:r>
      <w:r w:rsidR="00066787">
        <w:t>ed</w:t>
      </w:r>
      <w:r w:rsidR="002854D9" w:rsidRPr="002854D9">
        <w:t xml:space="preserve"> only for grammar or readability</w:t>
      </w:r>
      <w:r w:rsidR="002854D9">
        <w:t>.</w:t>
      </w:r>
    </w:p>
  </w:footnote>
  <w:footnote w:id="19">
    <w:p w14:paraId="6A817F25" w14:textId="5F9971B0" w:rsidR="00447B57" w:rsidRDefault="00447B57">
      <w:pPr>
        <w:pStyle w:val="FootnoteText"/>
      </w:pPr>
      <w:r>
        <w:rPr>
          <w:rStyle w:val="FootnoteReference"/>
        </w:rPr>
        <w:footnoteRef/>
      </w:r>
      <w:r>
        <w:t xml:space="preserve"> </w:t>
      </w:r>
      <w:r w:rsidRPr="00447B57">
        <w:t>For all tables labeled “Qualitative Descriptions” or “Representative Quotations,” the identified themes emerged from participants’ responses to open-ended survey and interview questions. These themes were not generated from survey-supplied items.</w:t>
      </w:r>
    </w:p>
  </w:footnote>
  <w:footnote w:id="20">
    <w:p w14:paraId="1A411D62" w14:textId="77777777" w:rsidR="00E456ED" w:rsidRDefault="00E456ED" w:rsidP="00E456ED">
      <w:pPr>
        <w:pStyle w:val="FootnoteText"/>
      </w:pPr>
      <w:r>
        <w:rPr>
          <w:rStyle w:val="FootnoteReference"/>
        </w:rPr>
        <w:footnoteRef/>
      </w:r>
      <w:r>
        <w:t xml:space="preserve"> Numbers in parentheses indicate the number of excerpts associated with each theme.</w:t>
      </w:r>
    </w:p>
  </w:footnote>
  <w:footnote w:id="21">
    <w:p w14:paraId="4CECBFE8" w14:textId="4DDA9D20" w:rsidR="00354D06" w:rsidRDefault="00354D06">
      <w:pPr>
        <w:pStyle w:val="FootnoteText"/>
      </w:pPr>
      <w:r>
        <w:rPr>
          <w:rStyle w:val="FootnoteReference"/>
        </w:rPr>
        <w:footnoteRef/>
      </w:r>
      <w:r>
        <w:t xml:space="preserve"> Respondents to the </w:t>
      </w:r>
      <w:r w:rsidR="0030099F">
        <w:t>national survey</w:t>
      </w:r>
      <w:r>
        <w:t xml:space="preserve"> indicated their state.</w:t>
      </w:r>
    </w:p>
  </w:footnote>
  <w:footnote w:id="22">
    <w:p w14:paraId="5C04DAE8" w14:textId="40024F3C" w:rsidR="008B6B54" w:rsidRDefault="008B6B54">
      <w:pPr>
        <w:pStyle w:val="FootnoteText"/>
      </w:pPr>
      <w:r>
        <w:rPr>
          <w:rStyle w:val="FootnoteReference"/>
        </w:rPr>
        <w:footnoteRef/>
      </w:r>
      <w:r>
        <w:t xml:space="preserve"> R</w:t>
      </w:r>
      <w:r w:rsidRPr="008B6B54">
        <w:t xml:space="preserve">espondents were asked about </w:t>
      </w:r>
      <w:r>
        <w:t xml:space="preserve">the timelines for delivery of </w:t>
      </w:r>
      <w:r w:rsidRPr="008B6B54">
        <w:t>accessible format “materials”</w:t>
      </w:r>
      <w:r w:rsidR="00CD1BD1">
        <w:t xml:space="preserve"> within each category (e.g., </w:t>
      </w:r>
      <w:r w:rsidR="00EA653A">
        <w:t>b</w:t>
      </w:r>
      <w:r w:rsidR="00CD1BD1">
        <w:t>raille for STEM materials)</w:t>
      </w:r>
      <w:r>
        <w:t xml:space="preserve"> and were not limited to a specific type of material (e.g., textbook</w:t>
      </w:r>
      <w:r w:rsidR="00CD1BD1">
        <w:t>s</w:t>
      </w:r>
      <w:r>
        <w:t xml:space="preserve">). Therefore, the timelines for delivery </w:t>
      </w:r>
      <w:r w:rsidR="00CD1BD1">
        <w:t xml:space="preserve">should be interpreted as applying to a range of materials within each category (e.g., </w:t>
      </w:r>
      <w:r w:rsidR="00EA653A">
        <w:t>b</w:t>
      </w:r>
      <w:r w:rsidR="00CD1BD1">
        <w:t xml:space="preserve">raille for STEM materials could include textbooks, workbooks, </w:t>
      </w:r>
      <w:r w:rsidR="008F5DAB">
        <w:t>lab manuals</w:t>
      </w:r>
      <w:r w:rsidR="00CD1BD1">
        <w:t>, etc.).</w:t>
      </w:r>
    </w:p>
  </w:footnote>
  <w:footnote w:id="23">
    <w:p w14:paraId="67F55847" w14:textId="11C3C397" w:rsidR="00D06533" w:rsidRDefault="00D06533">
      <w:pPr>
        <w:pStyle w:val="FootnoteText"/>
      </w:pPr>
      <w:r>
        <w:rPr>
          <w:rStyle w:val="FootnoteReference"/>
        </w:rPr>
        <w:footnoteRef/>
      </w:r>
      <w:r>
        <w:t xml:space="preserve"> </w:t>
      </w:r>
      <w:r w:rsidR="00BF023A">
        <w:t xml:space="preserve">Median and average timelines are presented. For this analysis, median values are more reliable </w:t>
      </w:r>
      <w:r>
        <w:t xml:space="preserve">because </w:t>
      </w:r>
      <w:r w:rsidR="00C42016">
        <w:t xml:space="preserve">the median is less sensitive to extreme values </w:t>
      </w:r>
      <w:r w:rsidR="00BF023A">
        <w:t>(</w:t>
      </w:r>
      <w:r w:rsidR="00C42016">
        <w:t>especially when the sample size is relatively small</w:t>
      </w:r>
      <w:r w:rsidR="00BF023A">
        <w:t>)</w:t>
      </w:r>
      <w:r w:rsidR="00C42016">
        <w:t>.</w:t>
      </w:r>
    </w:p>
  </w:footnote>
  <w:footnote w:id="24">
    <w:p w14:paraId="763F3C5B" w14:textId="67B65F26" w:rsidR="008861B2" w:rsidRDefault="008861B2">
      <w:pPr>
        <w:pStyle w:val="FootnoteText"/>
      </w:pPr>
      <w:r>
        <w:rPr>
          <w:rStyle w:val="FootnoteReference"/>
        </w:rPr>
        <w:footnoteRef/>
      </w:r>
      <w:r w:rsidR="00C73FA0">
        <w:t xml:space="preserve"> </w:t>
      </w:r>
      <w:r w:rsidR="00E248E4">
        <w:t>Respondents provided a total of</w:t>
      </w:r>
      <w:r w:rsidR="00C73FA0">
        <w:t xml:space="preserve"> </w:t>
      </w:r>
      <w:r w:rsidR="0021567B">
        <w:t xml:space="preserve">82 </w:t>
      </w:r>
      <w:r w:rsidR="00C73FA0">
        <w:t>responses</w:t>
      </w:r>
      <w:r w:rsidR="00E248E4">
        <w:t xml:space="preserve"> </w:t>
      </w:r>
      <w:r w:rsidR="00C73FA0">
        <w:t>to the</w:t>
      </w:r>
      <w:r w:rsidR="00E248E4">
        <w:t xml:space="preserve"> questions about</w:t>
      </w:r>
      <w:r w:rsidR="00C73FA0">
        <w:t xml:space="preserve"> timeline</w:t>
      </w:r>
      <w:r w:rsidR="00E248E4">
        <w:t>s</w:t>
      </w:r>
      <w:r w:rsidR="00C73FA0">
        <w:t xml:space="preserve"> for delivery</w:t>
      </w:r>
      <w:r w:rsidR="00E248E4">
        <w:t>. Of these responses,</w:t>
      </w:r>
      <w:r w:rsidR="00C73FA0">
        <w:t xml:space="preserve"> </w:t>
      </w:r>
      <w:r w:rsidR="0021567B">
        <w:t>71</w:t>
      </w:r>
      <w:r w:rsidR="008F5DAB">
        <w:t xml:space="preserve"> (</w:t>
      </w:r>
      <w:r w:rsidR="00C73FA0">
        <w:t>8</w:t>
      </w:r>
      <w:r w:rsidR="0021567B">
        <w:t>7</w:t>
      </w:r>
      <w:r w:rsidR="00C73FA0">
        <w:t>%</w:t>
      </w:r>
      <w:r w:rsidR="008F5DAB">
        <w:t>)</w:t>
      </w:r>
      <w:r w:rsidR="00C73FA0">
        <w:t xml:space="preserve"> were used to calculate the median </w:t>
      </w:r>
      <w:r w:rsidR="00E248E4">
        <w:t xml:space="preserve">and average </w:t>
      </w:r>
      <w:r w:rsidR="00C73FA0">
        <w:t xml:space="preserve">timelines for delivery. Some responses </w:t>
      </w:r>
      <w:r w:rsidR="00A376AC">
        <w:t>could not</w:t>
      </w:r>
      <w:r w:rsidR="00C73FA0">
        <w:t xml:space="preserve"> be used because they were too vague (e.g., “</w:t>
      </w:r>
      <w:r w:rsidR="0082508C">
        <w:t xml:space="preserve">it can take </w:t>
      </w:r>
      <w:r w:rsidR="00C73FA0">
        <w:t xml:space="preserve">weeks </w:t>
      </w:r>
      <w:r w:rsidR="003A23C0">
        <w:t>or longer</w:t>
      </w:r>
      <w:r w:rsidR="00C73FA0">
        <w:t>”)</w:t>
      </w:r>
      <w:r w:rsidR="006C7F46">
        <w:t xml:space="preserve"> or lacked validity (e.g., responses that </w:t>
      </w:r>
      <w:r w:rsidR="00B1480A">
        <w:t>were</w:t>
      </w:r>
      <w:r w:rsidR="006C7F46">
        <w:t xml:space="preserve"> </w:t>
      </w:r>
      <w:r w:rsidR="00B1480A">
        <w:t>implausible</w:t>
      </w:r>
      <w:r w:rsidR="006C7F46">
        <w:t>).</w:t>
      </w:r>
      <w:r w:rsidR="00C73FA0">
        <w:t xml:space="preserve"> </w:t>
      </w:r>
      <w:r>
        <w:t xml:space="preserve">If respondents indicated a range for the timeline of delivery (e.g., 2 to 3 months), the average of the </w:t>
      </w:r>
      <w:r w:rsidR="00BA77AD">
        <w:t>2</w:t>
      </w:r>
      <w:r>
        <w:t xml:space="preserve"> numbers was used</w:t>
      </w:r>
      <w:r w:rsidR="00B1480A">
        <w:t>.</w:t>
      </w:r>
    </w:p>
  </w:footnote>
  <w:footnote w:id="25">
    <w:p w14:paraId="0D9BD353" w14:textId="6B26B841" w:rsidR="00335412" w:rsidRDefault="00335412" w:rsidP="00335412">
      <w:pPr>
        <w:pStyle w:val="FootnoteText"/>
      </w:pPr>
      <w:r>
        <w:rPr>
          <w:rStyle w:val="FootnoteReference"/>
        </w:rPr>
        <w:footnoteRef/>
      </w:r>
      <w:r>
        <w:t xml:space="preserve"> Respondents provided a total of </w:t>
      </w:r>
      <w:r w:rsidR="00CC5266">
        <w:t>33</w:t>
      </w:r>
      <w:r>
        <w:t xml:space="preserve"> responses to the questions about timelines for delivery. Of these responses, </w:t>
      </w:r>
      <w:r w:rsidR="00CC5266">
        <w:t>3</w:t>
      </w:r>
      <w:r>
        <w:t>1 (</w:t>
      </w:r>
      <w:r w:rsidR="00CC5266">
        <w:t>94</w:t>
      </w:r>
      <w:r>
        <w:t xml:space="preserve">%) were used to calculate the median and average timelines for delivery. </w:t>
      </w:r>
      <w:r w:rsidR="00CC5266">
        <w:t>Two</w:t>
      </w:r>
      <w:r>
        <w:t xml:space="preserve"> responses could not be used because they were too vague (e.g., “</w:t>
      </w:r>
      <w:r w:rsidR="00CC5266">
        <w:t xml:space="preserve">it can take </w:t>
      </w:r>
      <w:r>
        <w:t>weeks or longer”)</w:t>
      </w:r>
      <w:r w:rsidR="00CC5266">
        <w:t>.</w:t>
      </w:r>
      <w:r>
        <w:t xml:space="preserve"> If respondents indicated a range for the timeline of delivery (e.g., 2 to 3 months), the average of the 2 numbers was used.</w:t>
      </w:r>
    </w:p>
  </w:footnote>
  <w:footnote w:id="26">
    <w:p w14:paraId="09B62A15" w14:textId="6CC29451" w:rsidR="004C2F81" w:rsidRDefault="004C2F81">
      <w:pPr>
        <w:pStyle w:val="FootnoteText"/>
      </w:pPr>
      <w:r>
        <w:rPr>
          <w:rStyle w:val="FootnoteReference"/>
        </w:rPr>
        <w:footnoteRef/>
      </w:r>
      <w:r>
        <w:t xml:space="preserve"> Respondents’ access to concrete data regarding timelines for delivery is unknown, so their comments should be interpreted with caution (i.e., their answers may be rough estimates rather than based in factual data).</w:t>
      </w:r>
    </w:p>
  </w:footnote>
  <w:footnote w:id="27">
    <w:p w14:paraId="36574FE5" w14:textId="157A7164" w:rsidR="005C2400" w:rsidRDefault="005C2400" w:rsidP="005C2400">
      <w:pPr>
        <w:pStyle w:val="FootnoteText"/>
      </w:pPr>
      <w:r>
        <w:rPr>
          <w:rStyle w:val="FootnoteReference"/>
        </w:rPr>
        <w:footnoteRef/>
      </w:r>
      <w:r>
        <w:t xml:space="preserve"> Median and average timelines are presented. For this analysis, median values are more reliable because the median is less sensitive to extreme values (e.g., unusually long wait times that are not representative of typical situations).</w:t>
      </w:r>
    </w:p>
  </w:footnote>
  <w:footnote w:id="28">
    <w:p w14:paraId="4EA0C275" w14:textId="77777777" w:rsidR="005C2400" w:rsidRDefault="005C2400" w:rsidP="005C2400">
      <w:pPr>
        <w:pStyle w:val="FootnoteText"/>
        <w:spacing w:after="80"/>
      </w:pPr>
      <w:r>
        <w:rPr>
          <w:rStyle w:val="FootnoteReference"/>
        </w:rPr>
        <w:footnoteRef/>
      </w:r>
      <w:r>
        <w:t xml:space="preserve"> “</w:t>
      </w:r>
      <w:r w:rsidRPr="00285961">
        <w:t xml:space="preserve">Watchlist </w:t>
      </w:r>
      <w:r>
        <w:t>R</w:t>
      </w:r>
      <w:r w:rsidRPr="00285961">
        <w:t xml:space="preserve">equests </w:t>
      </w:r>
      <w:r>
        <w:t>P</w:t>
      </w:r>
      <w:r w:rsidRPr="00285961">
        <w:t>rocessed</w:t>
      </w:r>
      <w:r>
        <w:t>”</w:t>
      </w:r>
      <w:r w:rsidRPr="00285961">
        <w:t xml:space="preserve"> do not include requests that were duplicated, </w:t>
      </w:r>
      <w:r>
        <w:t xml:space="preserve">requests </w:t>
      </w:r>
      <w:r w:rsidRPr="00285961">
        <w:t xml:space="preserve">for materials </w:t>
      </w:r>
      <w:r>
        <w:t>exempt</w:t>
      </w:r>
      <w:r w:rsidRPr="00285961">
        <w:t xml:space="preserve"> from NIMA</w:t>
      </w:r>
      <w:r>
        <w:t>S</w:t>
      </w:r>
      <w:r w:rsidRPr="00285961">
        <w:t xml:space="preserve"> or already in the NIMAC system, </w:t>
      </w:r>
      <w:r>
        <w:t xml:space="preserve">requests </w:t>
      </w:r>
      <w:r w:rsidRPr="00285961">
        <w:t xml:space="preserve">fulfilled by the provision of an alternative file, </w:t>
      </w:r>
      <w:r>
        <w:t xml:space="preserve">requests </w:t>
      </w:r>
      <w:r w:rsidRPr="00285961">
        <w:t>dropped by the user, or</w:t>
      </w:r>
      <w:r>
        <w:t xml:space="preserve"> requests that were </w:t>
      </w:r>
      <w:r w:rsidRPr="00285961">
        <w:t>n</w:t>
      </w:r>
      <w:r>
        <w:t>ever fulfilled.</w:t>
      </w:r>
    </w:p>
  </w:footnote>
  <w:footnote w:id="29">
    <w:p w14:paraId="05875E75" w14:textId="1E556D20" w:rsidR="00B86F88" w:rsidRDefault="00B86F88">
      <w:pPr>
        <w:pStyle w:val="FootnoteText"/>
      </w:pPr>
      <w:r>
        <w:rPr>
          <w:rStyle w:val="FootnoteReference"/>
        </w:rPr>
        <w:footnoteRef/>
      </w:r>
      <w:r>
        <w:t xml:space="preserve"> </w:t>
      </w:r>
      <w:r w:rsidR="008A48CD">
        <w:t xml:space="preserve">When asked about their satisfaction with timelines for delivery, respondents selected “Don’t Know” 25 times when the NIMAS file is already in the NIMAC system, 33 times when the NIMAS file is not in the NIMAC system and is added to the NIMAC Watchlist, and 21 times when accessible formats are not within scope for NIMAS. These “Don’t Know” responses are not included in the figure. </w:t>
      </w:r>
    </w:p>
  </w:footnote>
  <w:footnote w:id="30">
    <w:p w14:paraId="0DD2CFBB" w14:textId="26D8E8AF" w:rsidR="00C00E5D" w:rsidRDefault="00C00E5D" w:rsidP="00C00E5D">
      <w:pPr>
        <w:pStyle w:val="FootnoteText"/>
      </w:pPr>
      <w:r>
        <w:rPr>
          <w:rStyle w:val="FootnoteReference"/>
        </w:rPr>
        <w:footnoteRef/>
      </w:r>
      <w:r>
        <w:t xml:space="preserve"> This question was not presented to AMPs, publishers, </w:t>
      </w:r>
      <w:r w:rsidR="0065215F">
        <w:t xml:space="preserve">or </w:t>
      </w:r>
      <w:r>
        <w:t xml:space="preserve">conversion vendors who </w:t>
      </w:r>
      <w:r w:rsidR="0065215F">
        <w:t xml:space="preserve">were </w:t>
      </w:r>
      <w:r>
        <w:t>not NIMAC Users.</w:t>
      </w:r>
    </w:p>
  </w:footnote>
  <w:footnote w:id="31">
    <w:p w14:paraId="236C26BB" w14:textId="5F4F5F74" w:rsidR="00464D96" w:rsidRDefault="00464D96">
      <w:pPr>
        <w:pStyle w:val="FootnoteText"/>
      </w:pPr>
      <w:r>
        <w:rPr>
          <w:rStyle w:val="FootnoteReference"/>
        </w:rPr>
        <w:footnoteRef/>
      </w:r>
      <w:r>
        <w:t xml:space="preserve"> </w:t>
      </w:r>
      <w:r w:rsidR="00BA77AD">
        <w:t>51</w:t>
      </w:r>
      <w:r w:rsidRPr="00A56AC6">
        <w:t xml:space="preserve"> </w:t>
      </w:r>
      <w:r>
        <w:t xml:space="preserve">respondents selected </w:t>
      </w:r>
      <w:r w:rsidRPr="00A56AC6">
        <w:t xml:space="preserve">“Don’t Know” (these responses are not included in the </w:t>
      </w:r>
      <w:r>
        <w:t>figure</w:t>
      </w:r>
      <w:r w:rsidRPr="00A56AC6">
        <w:t>).</w:t>
      </w:r>
    </w:p>
  </w:footnote>
  <w:footnote w:id="32">
    <w:p w14:paraId="722EED27" w14:textId="6999534D" w:rsidR="00F2046F" w:rsidRDefault="00F2046F" w:rsidP="00F2046F">
      <w:pPr>
        <w:pStyle w:val="FootnoteText"/>
      </w:pPr>
      <w:r>
        <w:rPr>
          <w:rStyle w:val="FootnoteReference"/>
        </w:rPr>
        <w:footnoteRef/>
      </w:r>
      <w:r>
        <w:t xml:space="preserve"> This question was not presented to AMPs, publishers, </w:t>
      </w:r>
      <w:r w:rsidR="00670FD0">
        <w:t xml:space="preserve">or </w:t>
      </w:r>
      <w:r>
        <w:t xml:space="preserve">conversion vendors who </w:t>
      </w:r>
      <w:r w:rsidR="00670FD0">
        <w:t xml:space="preserve">were </w:t>
      </w:r>
      <w:r>
        <w:t>not NIMAC Users.</w:t>
      </w:r>
    </w:p>
  </w:footnote>
  <w:footnote w:id="33">
    <w:p w14:paraId="6F7760BF" w14:textId="4DAEE0C7" w:rsidR="00092830" w:rsidRDefault="00092830" w:rsidP="00092830">
      <w:pPr>
        <w:pStyle w:val="FootnoteText"/>
      </w:pPr>
      <w:r>
        <w:rPr>
          <w:rStyle w:val="FootnoteReference"/>
        </w:rPr>
        <w:footnoteRef/>
      </w:r>
      <w:r>
        <w:t xml:space="preserve"> </w:t>
      </w:r>
      <w:r w:rsidR="00BA77AD">
        <w:t>62</w:t>
      </w:r>
      <w:r w:rsidRPr="00A56AC6">
        <w:t xml:space="preserve"> </w:t>
      </w:r>
      <w:r>
        <w:t xml:space="preserve">respondents selected </w:t>
      </w:r>
      <w:r w:rsidRPr="00A56AC6">
        <w:t xml:space="preserve">“Don’t Know” (these responses are not included in the </w:t>
      </w:r>
      <w:r>
        <w:t>figure</w:t>
      </w:r>
      <w:r w:rsidRPr="00A56AC6">
        <w:t>).</w:t>
      </w:r>
    </w:p>
  </w:footnote>
  <w:footnote w:id="34">
    <w:p w14:paraId="05AB6222" w14:textId="4251766C" w:rsidR="00932E2A" w:rsidRDefault="00932E2A" w:rsidP="00932E2A">
      <w:r>
        <w:rPr>
          <w:rStyle w:val="FootnoteReference"/>
        </w:rPr>
        <w:footnoteRef/>
      </w:r>
      <w:r>
        <w:t xml:space="preserve"> </w:t>
      </w:r>
      <w:r w:rsidRPr="00932E2A">
        <w:rPr>
          <w:sz w:val="20"/>
          <w:szCs w:val="20"/>
        </w:rPr>
        <w:t xml:space="preserve">The results presented in this case study do not distinguish between students with print disabilities and students with visual impairments. However, the experiences of these two groups of students </w:t>
      </w:r>
      <w:r w:rsidR="00CF1031">
        <w:rPr>
          <w:sz w:val="20"/>
          <w:szCs w:val="20"/>
        </w:rPr>
        <w:t>can be</w:t>
      </w:r>
      <w:r w:rsidRPr="00932E2A">
        <w:rPr>
          <w:sz w:val="20"/>
          <w:szCs w:val="20"/>
        </w:rPr>
        <w:t xml:space="preserve"> quite different. For example, students with print disabilities are primarily served with digital formats that are inexpensive (or free) and quick to produce and access, whereas students with visual impairments are more likely to require materials that are very expensive and time-consuming to produce (e.g., braille). As a result, there are likely differences across disabilities regarding how often accessible formats are provided to students. In addition, the number of students with print disabilities far exceeds the number of students with visual impairments. These differences are not captured by the present case study, and this limitation should be considered when interpreting the results. </w:t>
      </w:r>
    </w:p>
  </w:footnote>
  <w:footnote w:id="35">
    <w:p w14:paraId="357D8A3E" w14:textId="69065F22" w:rsidR="00C4518E" w:rsidRDefault="00C4518E">
      <w:pPr>
        <w:pStyle w:val="FootnoteText"/>
      </w:pPr>
      <w:r>
        <w:rPr>
          <w:rStyle w:val="FootnoteReference"/>
        </w:rPr>
        <w:footnoteRef/>
      </w:r>
      <w:r>
        <w:t xml:space="preserve"> </w:t>
      </w:r>
      <w:r w:rsidRPr="00C4518E">
        <w:t>Feedback provided in written form from a focus group participant.</w:t>
      </w:r>
    </w:p>
  </w:footnote>
  <w:footnote w:id="36">
    <w:p w14:paraId="3C8FF5A2" w14:textId="14846183" w:rsidR="00006D03" w:rsidRDefault="00006D03" w:rsidP="00006D03">
      <w:pPr>
        <w:pStyle w:val="FootnoteText"/>
      </w:pPr>
      <w:r>
        <w:rPr>
          <w:rStyle w:val="FootnoteReference"/>
        </w:rPr>
        <w:footnoteRef/>
      </w:r>
      <w:r>
        <w:t xml:space="preserve"> This question was not presented to AMPs, publishers, </w:t>
      </w:r>
      <w:r w:rsidR="004678D5">
        <w:t xml:space="preserve">or </w:t>
      </w:r>
      <w:r>
        <w:t xml:space="preserve">conversion vendors who </w:t>
      </w:r>
      <w:r w:rsidR="004678D5">
        <w:t>were</w:t>
      </w:r>
      <w:r>
        <w:t xml:space="preserve"> not NIMAC Users.</w:t>
      </w:r>
    </w:p>
  </w:footnote>
  <w:footnote w:id="37">
    <w:p w14:paraId="1D23695A" w14:textId="7A52AEE7" w:rsidR="0056503D" w:rsidRDefault="0056503D" w:rsidP="0056503D">
      <w:pPr>
        <w:pStyle w:val="FootnoteText"/>
      </w:pPr>
      <w:r>
        <w:rPr>
          <w:rStyle w:val="FootnoteReference"/>
        </w:rPr>
        <w:footnoteRef/>
      </w:r>
      <w:r>
        <w:t xml:space="preserve"> </w:t>
      </w:r>
      <w:r w:rsidR="00BA77AD">
        <w:t>38</w:t>
      </w:r>
      <w:r w:rsidRPr="00A56AC6">
        <w:t xml:space="preserve"> </w:t>
      </w:r>
      <w:r>
        <w:t xml:space="preserve">respondents selected </w:t>
      </w:r>
      <w:r w:rsidRPr="00A56AC6">
        <w:t xml:space="preserve">“Don’t Know” (these responses are not included in the </w:t>
      </w:r>
      <w:r>
        <w:t>figure</w:t>
      </w:r>
      <w:r w:rsidRPr="00A56AC6">
        <w:t>).</w:t>
      </w:r>
    </w:p>
  </w:footnote>
  <w:footnote w:id="38">
    <w:p w14:paraId="55506AF3" w14:textId="24F98B5B" w:rsidR="00BB4D0B" w:rsidRDefault="00BB4D0B" w:rsidP="00BB4D0B">
      <w:pPr>
        <w:pStyle w:val="FootnoteText"/>
      </w:pPr>
      <w:r>
        <w:rPr>
          <w:rStyle w:val="FootnoteReference"/>
        </w:rPr>
        <w:footnoteRef/>
      </w:r>
      <w:r>
        <w:t xml:space="preserve"> </w:t>
      </w:r>
      <w:bookmarkStart w:id="34" w:name="_Hlk216007544"/>
      <w:r>
        <w:t xml:space="preserve">This question was not presented to AMPs, publishers, </w:t>
      </w:r>
      <w:r w:rsidR="002D7ACD">
        <w:t xml:space="preserve">or </w:t>
      </w:r>
      <w:r>
        <w:t xml:space="preserve">conversion vendors who </w:t>
      </w:r>
      <w:r w:rsidR="002D7ACD">
        <w:t xml:space="preserve">were </w:t>
      </w:r>
      <w:r>
        <w:t>not NIMAC Users.</w:t>
      </w:r>
      <w:bookmarkEnd w:id="34"/>
    </w:p>
  </w:footnote>
  <w:footnote w:id="39">
    <w:p w14:paraId="2BEFA81D" w14:textId="3BFE771E" w:rsidR="001F7AED" w:rsidRDefault="001F7AED" w:rsidP="001F7AED">
      <w:pPr>
        <w:pStyle w:val="FootnoteText"/>
      </w:pPr>
      <w:r w:rsidRPr="003A63D1">
        <w:rPr>
          <w:rStyle w:val="FootnoteReference"/>
        </w:rPr>
        <w:footnoteRef/>
      </w:r>
      <w:r w:rsidRPr="003A63D1">
        <w:t xml:space="preserve"> </w:t>
      </w:r>
      <w:r w:rsidR="00BA77AD">
        <w:t>37</w:t>
      </w:r>
      <w:r w:rsidRPr="003A63D1">
        <w:t xml:space="preserve"> respondents selected “Don’t Know” (these responses are not included in the figure). </w:t>
      </w:r>
      <w:r w:rsidR="00BA77AD">
        <w:t>35</w:t>
      </w:r>
      <w:r w:rsidRPr="003A63D1">
        <w:t xml:space="preserve"> respondents selected “Other” and described additional </w:t>
      </w:r>
      <w:r w:rsidR="003A63D1" w:rsidRPr="003A63D1">
        <w:t>factors that negatively impact the use of accessible formats that are best formatted to meets students’ needs</w:t>
      </w:r>
      <w:r w:rsidRPr="003A63D1">
        <w:t>. These “Other” responses are included in the qualitative analysis described below.</w:t>
      </w:r>
    </w:p>
  </w:footnote>
  <w:footnote w:id="40">
    <w:p w14:paraId="42A615CF" w14:textId="29BC34C5" w:rsidR="001F7AED" w:rsidRDefault="001F7AED" w:rsidP="001F7AED">
      <w:pPr>
        <w:pStyle w:val="FootnoteText"/>
      </w:pPr>
      <w:r w:rsidRPr="001C77D9">
        <w:rPr>
          <w:rStyle w:val="FootnoteReference"/>
        </w:rPr>
        <w:footnoteRef/>
      </w:r>
      <w:r w:rsidRPr="001C77D9">
        <w:t xml:space="preserve"> </w:t>
      </w:r>
      <w:r w:rsidR="00BA77AD">
        <w:t>37</w:t>
      </w:r>
      <w:r w:rsidRPr="001C77D9">
        <w:t xml:space="preserve"> respondents selected “Don’t Know” (these responses are not included in the figure). The * indicates</w:t>
      </w:r>
      <w:r w:rsidR="000A2721" w:rsidRPr="001C77D9">
        <w:t xml:space="preserve"> </w:t>
      </w:r>
      <w:r w:rsidR="00293EAC">
        <w:t xml:space="preserve">a </w:t>
      </w:r>
      <w:r w:rsidR="000A2721" w:rsidRPr="001C77D9">
        <w:t>statistically significant difference</w:t>
      </w:r>
      <w:r w:rsidRPr="001C77D9">
        <w:t>.</w:t>
      </w:r>
    </w:p>
  </w:footnote>
  <w:footnote w:id="41">
    <w:p w14:paraId="7D611F3C" w14:textId="5758B068" w:rsidR="00BB4D0B" w:rsidRDefault="00BB4D0B" w:rsidP="00BB4D0B">
      <w:pPr>
        <w:pStyle w:val="FootnoteText"/>
      </w:pPr>
      <w:r>
        <w:rPr>
          <w:rStyle w:val="FootnoteReference"/>
        </w:rPr>
        <w:footnoteRef/>
      </w:r>
      <w:r>
        <w:t xml:space="preserve"> </w:t>
      </w:r>
      <w:r w:rsidRPr="001E7722">
        <w:t xml:space="preserve">This question was not presented to publishers </w:t>
      </w:r>
      <w:r w:rsidR="002D7ACD">
        <w:t>or</w:t>
      </w:r>
      <w:r w:rsidR="002D7ACD" w:rsidRPr="001E7722">
        <w:t xml:space="preserve"> </w:t>
      </w:r>
      <w:r w:rsidRPr="001E7722">
        <w:t xml:space="preserve">conversion vendors who </w:t>
      </w:r>
      <w:r w:rsidR="002D7ACD">
        <w:t>were</w:t>
      </w:r>
      <w:r w:rsidR="002D7ACD" w:rsidRPr="001E7722">
        <w:t xml:space="preserve"> </w:t>
      </w:r>
      <w:r w:rsidRPr="001E7722">
        <w:t>not NIMAC Users.</w:t>
      </w:r>
    </w:p>
  </w:footnote>
  <w:footnote w:id="42">
    <w:p w14:paraId="3A711C0D" w14:textId="5CF7725E" w:rsidR="00D85B0B" w:rsidRDefault="00D85B0B" w:rsidP="00D85B0B">
      <w:pPr>
        <w:pStyle w:val="FootnoteText"/>
      </w:pPr>
      <w:r>
        <w:rPr>
          <w:rStyle w:val="FootnoteReference"/>
        </w:rPr>
        <w:footnoteRef/>
      </w:r>
      <w:r>
        <w:t xml:space="preserve"> </w:t>
      </w:r>
      <w:r w:rsidR="00BA77AD">
        <w:t>77</w:t>
      </w:r>
      <w:r w:rsidRPr="00A56AC6">
        <w:t xml:space="preserve"> </w:t>
      </w:r>
      <w:r>
        <w:t xml:space="preserve">respondents selected </w:t>
      </w:r>
      <w:r w:rsidRPr="00A56AC6">
        <w:t xml:space="preserve">“Don’t Know” (these responses are not </w:t>
      </w:r>
      <w:r w:rsidRPr="00762866">
        <w:t xml:space="preserve">included in the figure). </w:t>
      </w:r>
      <w:r w:rsidR="00BA77AD">
        <w:t>9</w:t>
      </w:r>
      <w:r w:rsidRPr="00762866">
        <w:t xml:space="preserve"> respondents selected “Other” and described additional </w:t>
      </w:r>
      <w:r w:rsidR="00DF47F7">
        <w:t xml:space="preserve">production-related </w:t>
      </w:r>
      <w:r w:rsidR="00762866" w:rsidRPr="00762866">
        <w:t>practices that facilitate timely delivery</w:t>
      </w:r>
      <w:r w:rsidRPr="00762866">
        <w:t>. These “Other” responses are included in the qualitative analysis described below.</w:t>
      </w:r>
    </w:p>
  </w:footnote>
  <w:footnote w:id="43">
    <w:p w14:paraId="204DF1E5" w14:textId="725B8895" w:rsidR="00D85B0B" w:rsidRPr="00A56AC6" w:rsidRDefault="00D85B0B" w:rsidP="00D85B0B">
      <w:pPr>
        <w:pStyle w:val="FootnoteText"/>
      </w:pPr>
      <w:r>
        <w:rPr>
          <w:rStyle w:val="FootnoteReference"/>
        </w:rPr>
        <w:footnoteRef/>
      </w:r>
      <w:r>
        <w:t xml:space="preserve"> </w:t>
      </w:r>
      <w:r w:rsidR="00BA77AD">
        <w:t>77</w:t>
      </w:r>
      <w:r w:rsidR="00AD7345" w:rsidRPr="00A56AC6">
        <w:t xml:space="preserve"> </w:t>
      </w:r>
      <w:r w:rsidR="00AD7345">
        <w:t xml:space="preserve">respondents selected </w:t>
      </w:r>
      <w:r w:rsidR="00AD7345" w:rsidRPr="00A56AC6">
        <w:t xml:space="preserve">“Don’t Know” (these responses are not </w:t>
      </w:r>
      <w:r w:rsidR="00AD7345" w:rsidRPr="00762866">
        <w:t xml:space="preserve">included in the figure). </w:t>
      </w:r>
      <w:r>
        <w:t xml:space="preserve">The * indicates </w:t>
      </w:r>
      <w:r w:rsidR="00AB7F00">
        <w:t xml:space="preserve">a </w:t>
      </w:r>
      <w:r w:rsidR="00AD7345">
        <w:t xml:space="preserve">statistically significant difference. </w:t>
      </w:r>
    </w:p>
    <w:p w14:paraId="6945A97E" w14:textId="77777777" w:rsidR="00D85B0B" w:rsidRDefault="00D85B0B" w:rsidP="00D85B0B">
      <w:pPr>
        <w:pStyle w:val="FootnoteText"/>
      </w:pPr>
    </w:p>
  </w:footnote>
  <w:footnote w:id="44">
    <w:p w14:paraId="06535F85" w14:textId="1F652A26" w:rsidR="00CE4909" w:rsidRPr="00A56AC6" w:rsidRDefault="00CE4909" w:rsidP="00CE4909">
      <w:pPr>
        <w:pStyle w:val="FootnoteText"/>
      </w:pPr>
      <w:r>
        <w:rPr>
          <w:rStyle w:val="FootnoteReference"/>
        </w:rPr>
        <w:footnoteRef/>
      </w:r>
      <w:r>
        <w:t xml:space="preserve"> </w:t>
      </w:r>
      <w:r w:rsidR="00BA77AD">
        <w:t>77</w:t>
      </w:r>
      <w:r w:rsidRPr="00A56AC6">
        <w:t xml:space="preserve"> </w:t>
      </w:r>
      <w:r>
        <w:t xml:space="preserve">respondents selected </w:t>
      </w:r>
      <w:r w:rsidRPr="00A56AC6">
        <w:t xml:space="preserve">“Don’t Know” (these responses are not </w:t>
      </w:r>
      <w:r w:rsidRPr="00762866">
        <w:t xml:space="preserve">included in the figure). </w:t>
      </w:r>
      <w:r>
        <w:t xml:space="preserve">The * indicates a statistically significant difference. </w:t>
      </w:r>
    </w:p>
    <w:p w14:paraId="47843640" w14:textId="77777777" w:rsidR="00CE4909" w:rsidRDefault="00CE4909" w:rsidP="00CE4909">
      <w:pPr>
        <w:pStyle w:val="FootnoteText"/>
      </w:pPr>
    </w:p>
  </w:footnote>
  <w:footnote w:id="45">
    <w:p w14:paraId="071B7563" w14:textId="761353AC" w:rsidR="00BB4D0B" w:rsidRDefault="00BB4D0B" w:rsidP="00BB4D0B">
      <w:pPr>
        <w:pStyle w:val="FootnoteText"/>
      </w:pPr>
      <w:r>
        <w:rPr>
          <w:rStyle w:val="FootnoteReference"/>
        </w:rPr>
        <w:footnoteRef/>
      </w:r>
      <w:r>
        <w:t xml:space="preserve"> </w:t>
      </w:r>
      <w:r w:rsidRPr="001E7722">
        <w:t xml:space="preserve">This question was not presented to publishers </w:t>
      </w:r>
      <w:r w:rsidR="00BA7861">
        <w:t>or</w:t>
      </w:r>
      <w:r w:rsidR="00BA7861" w:rsidRPr="001E7722">
        <w:t xml:space="preserve"> </w:t>
      </w:r>
      <w:r w:rsidRPr="001E7722">
        <w:t xml:space="preserve">conversion vendors who </w:t>
      </w:r>
      <w:r w:rsidR="00BA7861">
        <w:t>were</w:t>
      </w:r>
      <w:r w:rsidR="00BA7861" w:rsidRPr="001E7722">
        <w:t xml:space="preserve"> </w:t>
      </w:r>
      <w:r w:rsidRPr="001E7722">
        <w:t>not NIMAC Users.</w:t>
      </w:r>
    </w:p>
  </w:footnote>
  <w:footnote w:id="46">
    <w:p w14:paraId="7C90C6B2" w14:textId="1F09ECA8" w:rsidR="00CC3502" w:rsidRDefault="00CC3502">
      <w:pPr>
        <w:pStyle w:val="FootnoteText"/>
      </w:pPr>
      <w:r>
        <w:rPr>
          <w:rStyle w:val="FootnoteReference"/>
        </w:rPr>
        <w:footnoteRef/>
      </w:r>
      <w:r>
        <w:t xml:space="preserve"> Throughout the survey and interviews,</w:t>
      </w:r>
      <w:r w:rsidR="003A759C">
        <w:t xml:space="preserve"> </w:t>
      </w:r>
      <w:r>
        <w:t xml:space="preserve">we asked participants from Oregon about “Education Service Districts” (ESDs) in addition to LEAs because ESDs are an important organizing structure within Oregon’s education system. </w:t>
      </w:r>
    </w:p>
  </w:footnote>
  <w:footnote w:id="47">
    <w:p w14:paraId="6C298A2C" w14:textId="611BD1D4" w:rsidR="009A1CF7" w:rsidRPr="00A56AC6" w:rsidRDefault="009A1CF7" w:rsidP="009A1CF7">
      <w:pPr>
        <w:pStyle w:val="FootnoteText"/>
      </w:pPr>
      <w:r>
        <w:rPr>
          <w:rStyle w:val="FootnoteReference"/>
        </w:rPr>
        <w:footnoteRef/>
      </w:r>
      <w:r>
        <w:t xml:space="preserve"> </w:t>
      </w:r>
      <w:r w:rsidR="00BA77AD">
        <w:t>80</w:t>
      </w:r>
      <w:r w:rsidRPr="00A56AC6">
        <w:t xml:space="preserve"> </w:t>
      </w:r>
      <w:r>
        <w:t xml:space="preserve">respondents selected </w:t>
      </w:r>
      <w:r w:rsidRPr="00A56AC6">
        <w:t xml:space="preserve">“Don’t Know” (these responses are not </w:t>
      </w:r>
      <w:r w:rsidRPr="00762866">
        <w:t>included in the figu</w:t>
      </w:r>
      <w:r w:rsidRPr="00E73859">
        <w:t xml:space="preserve">re). </w:t>
      </w:r>
      <w:r w:rsidR="00BA77AD">
        <w:t>5</w:t>
      </w:r>
      <w:r w:rsidRPr="00E73859">
        <w:t xml:space="preserve"> respondents selected “Other” and described additional </w:t>
      </w:r>
      <w:r w:rsidR="00E73859" w:rsidRPr="00E73859">
        <w:t>state, regional, district, or school-level practices that facilitate timely delivery</w:t>
      </w:r>
      <w:r w:rsidRPr="00E73859">
        <w:t>. These “Other” responses are included in the qualitative analysis described below.</w:t>
      </w:r>
    </w:p>
    <w:p w14:paraId="10A69B2B" w14:textId="77777777" w:rsidR="009A1CF7" w:rsidRDefault="009A1CF7" w:rsidP="009A1CF7">
      <w:pPr>
        <w:pStyle w:val="FootnoteText"/>
      </w:pPr>
    </w:p>
  </w:footnote>
  <w:footnote w:id="48">
    <w:p w14:paraId="629B8AB9" w14:textId="58B86212" w:rsidR="009A1CF7" w:rsidRPr="00A56AC6" w:rsidRDefault="009A1CF7" w:rsidP="009A1CF7">
      <w:pPr>
        <w:pStyle w:val="FootnoteText"/>
      </w:pPr>
      <w:r>
        <w:rPr>
          <w:rStyle w:val="FootnoteReference"/>
        </w:rPr>
        <w:footnoteRef/>
      </w:r>
      <w:r>
        <w:t xml:space="preserve"> </w:t>
      </w:r>
      <w:r w:rsidR="00BA77AD">
        <w:t>80</w:t>
      </w:r>
      <w:r w:rsidRPr="00A56AC6">
        <w:t xml:space="preserve"> </w:t>
      </w:r>
      <w:r>
        <w:t xml:space="preserve">respondents selected </w:t>
      </w:r>
      <w:r w:rsidRPr="00A56AC6">
        <w:t xml:space="preserve">“Don’t Know” (these responses are not </w:t>
      </w:r>
      <w:r w:rsidRPr="00762866">
        <w:t xml:space="preserve">included in the figure). </w:t>
      </w:r>
      <w:r>
        <w:t xml:space="preserve">The * indicates </w:t>
      </w:r>
      <w:r w:rsidR="003A759C">
        <w:t xml:space="preserve">a </w:t>
      </w:r>
      <w:r>
        <w:t xml:space="preserve">statistically significant difference. </w:t>
      </w:r>
    </w:p>
    <w:p w14:paraId="0425CDB4" w14:textId="77777777" w:rsidR="009A1CF7" w:rsidRDefault="009A1CF7" w:rsidP="009A1CF7">
      <w:pPr>
        <w:pStyle w:val="FootnoteText"/>
      </w:pPr>
    </w:p>
  </w:footnote>
  <w:footnote w:id="49">
    <w:p w14:paraId="70292FD3" w14:textId="57CC3DD4" w:rsidR="00DA7410" w:rsidRDefault="00DA7410" w:rsidP="00DA7410">
      <w:pPr>
        <w:pStyle w:val="FootnoteText"/>
      </w:pPr>
      <w:r>
        <w:rPr>
          <w:rStyle w:val="FootnoteReference"/>
        </w:rPr>
        <w:footnoteRef/>
      </w:r>
      <w:r>
        <w:t xml:space="preserve"> </w:t>
      </w:r>
      <w:r w:rsidR="00BA77AD">
        <w:t>10</w:t>
      </w:r>
      <w:r w:rsidRPr="00A56AC6">
        <w:t xml:space="preserve"> </w:t>
      </w:r>
      <w:r>
        <w:t xml:space="preserve">respondents selected </w:t>
      </w:r>
      <w:r w:rsidRPr="00A56AC6">
        <w:t xml:space="preserve">“Don’t Know” (these responses are not </w:t>
      </w:r>
      <w:r w:rsidRPr="002370E3">
        <w:t xml:space="preserve">included in the figure). </w:t>
      </w:r>
      <w:r w:rsidR="00BA77AD">
        <w:t>3</w:t>
      </w:r>
      <w:r w:rsidRPr="002370E3">
        <w:t xml:space="preserve"> respondents selected “Other” and described additional </w:t>
      </w:r>
      <w:r w:rsidR="002370E3" w:rsidRPr="002370E3">
        <w:t xml:space="preserve">NIMAC-related </w:t>
      </w:r>
      <w:r w:rsidRPr="002370E3">
        <w:t>practices that facilitate timely delivery. These “Other” responses are included in the qualitative analysis described below.</w:t>
      </w:r>
    </w:p>
  </w:footnote>
  <w:footnote w:id="50">
    <w:p w14:paraId="0D7FBA5F" w14:textId="4BF08188" w:rsidR="007C5EEA" w:rsidRDefault="007C5EEA">
      <w:pPr>
        <w:pStyle w:val="FootnoteText"/>
      </w:pPr>
      <w:r>
        <w:rPr>
          <w:rStyle w:val="FootnoteReference"/>
        </w:rPr>
        <w:footnoteRef/>
      </w:r>
      <w:r>
        <w:t xml:space="preserve"> </w:t>
      </w:r>
      <w:r w:rsidR="00BA77AD">
        <w:t>4</w:t>
      </w:r>
      <w:r>
        <w:t xml:space="preserve"> respondents selected </w:t>
      </w:r>
      <w:r w:rsidRPr="00A56AC6">
        <w:t xml:space="preserve">“Don’t Know” (these responses are not </w:t>
      </w:r>
      <w:r w:rsidRPr="002370E3">
        <w:t>included in the figure).</w:t>
      </w:r>
    </w:p>
  </w:footnote>
  <w:footnote w:id="51">
    <w:p w14:paraId="1F35A42E" w14:textId="781471F2" w:rsidR="004F0E4C" w:rsidRDefault="004F0E4C" w:rsidP="004F0E4C">
      <w:pPr>
        <w:pStyle w:val="FootnoteText"/>
      </w:pPr>
      <w:r>
        <w:rPr>
          <w:rStyle w:val="FootnoteReference"/>
        </w:rPr>
        <w:footnoteRef/>
      </w:r>
      <w:r>
        <w:t xml:space="preserve"> </w:t>
      </w:r>
      <w:r w:rsidR="00BA77AD">
        <w:t>22</w:t>
      </w:r>
      <w:r>
        <w:t xml:space="preserve"> respondents selected </w:t>
      </w:r>
      <w:r w:rsidRPr="00A56AC6">
        <w:t xml:space="preserve">“Don’t Know” (these responses are not </w:t>
      </w:r>
      <w:r w:rsidRPr="002370E3">
        <w:t>included in the figure).</w:t>
      </w:r>
      <w:r w:rsidR="00AF3B65">
        <w:t xml:space="preserve"> No respondents selected “Disagree.” </w:t>
      </w:r>
    </w:p>
  </w:footnote>
  <w:footnote w:id="52">
    <w:p w14:paraId="07A600F0" w14:textId="36569BD3" w:rsidR="00BB4D0B" w:rsidRDefault="00BB4D0B" w:rsidP="00BB4D0B">
      <w:pPr>
        <w:pStyle w:val="FootnoteText"/>
      </w:pPr>
      <w:r>
        <w:rPr>
          <w:rStyle w:val="FootnoteReference"/>
        </w:rPr>
        <w:footnoteRef/>
      </w:r>
      <w:r>
        <w:t xml:space="preserve"> </w:t>
      </w:r>
      <w:r w:rsidRPr="00525691">
        <w:t xml:space="preserve">This question was not presented to publishers </w:t>
      </w:r>
      <w:r w:rsidR="008A52E3">
        <w:t>or</w:t>
      </w:r>
      <w:r w:rsidR="008A52E3" w:rsidRPr="00525691">
        <w:t xml:space="preserve"> </w:t>
      </w:r>
      <w:r w:rsidRPr="00525691">
        <w:t xml:space="preserve">conversion vendors who </w:t>
      </w:r>
      <w:r w:rsidR="008A52E3">
        <w:t>were</w:t>
      </w:r>
      <w:r w:rsidR="008A52E3" w:rsidRPr="00525691">
        <w:t xml:space="preserve"> </w:t>
      </w:r>
      <w:r w:rsidRPr="00525691">
        <w:t>not NIMAC Users.</w:t>
      </w:r>
    </w:p>
  </w:footnote>
  <w:footnote w:id="53">
    <w:p w14:paraId="2BF56B71" w14:textId="4EB5F3AF" w:rsidR="00AF7B63" w:rsidRPr="00A56AC6" w:rsidRDefault="00AF7B63" w:rsidP="00AF7B63">
      <w:pPr>
        <w:pStyle w:val="FootnoteText"/>
      </w:pPr>
      <w:r w:rsidRPr="003D1AFA">
        <w:rPr>
          <w:rStyle w:val="FootnoteReference"/>
        </w:rPr>
        <w:footnoteRef/>
      </w:r>
      <w:r w:rsidRPr="003D1AFA">
        <w:t xml:space="preserve"> </w:t>
      </w:r>
      <w:r w:rsidR="00BA77AD">
        <w:t>103</w:t>
      </w:r>
      <w:r w:rsidRPr="003D1AFA">
        <w:t xml:space="preserve"> respondents selected “Don’t Know” (these responses are not included in the figure). </w:t>
      </w:r>
      <w:r w:rsidR="00BA77AD">
        <w:t>11</w:t>
      </w:r>
      <w:r w:rsidRPr="003D1AFA">
        <w:t xml:space="preserve"> respondents selected “Other” and described additional </w:t>
      </w:r>
      <w:r w:rsidR="003D1AFA" w:rsidRPr="003D1AFA">
        <w:t>procurement-related factors</w:t>
      </w:r>
      <w:r w:rsidRPr="003D1AFA">
        <w:t xml:space="preserve"> that </w:t>
      </w:r>
      <w:r w:rsidR="003D1AFA" w:rsidRPr="003D1AFA">
        <w:t>hinder</w:t>
      </w:r>
      <w:r w:rsidRPr="003D1AFA">
        <w:t xml:space="preserve"> timely delivery. These “Other” responses are included in the qualitative analysis described below.</w:t>
      </w:r>
    </w:p>
    <w:p w14:paraId="0127996F" w14:textId="77777777" w:rsidR="00AF7B63" w:rsidRDefault="00AF7B63" w:rsidP="00AF7B63">
      <w:pPr>
        <w:pStyle w:val="FootnoteText"/>
      </w:pPr>
    </w:p>
  </w:footnote>
  <w:footnote w:id="54">
    <w:p w14:paraId="5BF3868C" w14:textId="6424758D" w:rsidR="008C7B3D" w:rsidRPr="00A56AC6" w:rsidRDefault="008C7B3D" w:rsidP="008C7B3D">
      <w:pPr>
        <w:pStyle w:val="FootnoteText"/>
      </w:pPr>
      <w:r w:rsidRPr="003D1AFA">
        <w:rPr>
          <w:rStyle w:val="FootnoteReference"/>
        </w:rPr>
        <w:footnoteRef/>
      </w:r>
      <w:r w:rsidRPr="003D1AFA">
        <w:t xml:space="preserve"> </w:t>
      </w:r>
      <w:r w:rsidR="00BA77AD">
        <w:t>103</w:t>
      </w:r>
      <w:r w:rsidRPr="003D1AFA">
        <w:t xml:space="preserve"> respondents selected “Don’t Know” (these responses are not included in the figure).</w:t>
      </w:r>
      <w:r w:rsidR="00AC4B3A">
        <w:t xml:space="preserve"> The * indicates a statistically significant difference.</w:t>
      </w:r>
    </w:p>
    <w:p w14:paraId="287D9761" w14:textId="77777777" w:rsidR="008C7B3D" w:rsidRDefault="008C7B3D" w:rsidP="008C7B3D">
      <w:pPr>
        <w:pStyle w:val="FootnoteText"/>
      </w:pPr>
    </w:p>
  </w:footnote>
  <w:footnote w:id="55">
    <w:p w14:paraId="19B10B00" w14:textId="3DA3B78C" w:rsidR="00475A16" w:rsidRPr="00A56AC6" w:rsidRDefault="00475A16" w:rsidP="00475A16">
      <w:pPr>
        <w:pStyle w:val="FootnoteText"/>
      </w:pPr>
      <w:r w:rsidRPr="00BF227B">
        <w:rPr>
          <w:rStyle w:val="FootnoteReference"/>
        </w:rPr>
        <w:footnoteRef/>
      </w:r>
      <w:r w:rsidR="00BF227B" w:rsidRPr="00BF227B">
        <w:t xml:space="preserve"> </w:t>
      </w:r>
      <w:r w:rsidR="00BA77AD">
        <w:t>9</w:t>
      </w:r>
      <w:r w:rsidR="00BF227B" w:rsidRPr="00BF227B">
        <w:t xml:space="preserve"> </w:t>
      </w:r>
      <w:r w:rsidRPr="00BF227B">
        <w:t xml:space="preserve">respondents selected “Don’t Know” (these responses are not included in the figure). </w:t>
      </w:r>
      <w:r w:rsidR="00BA77AD">
        <w:t>3</w:t>
      </w:r>
      <w:r w:rsidRPr="00BF227B">
        <w:t xml:space="preserve"> respondents selected “Other” and described additional </w:t>
      </w:r>
      <w:r w:rsidR="00BF227B" w:rsidRPr="00BF227B">
        <w:t>NIMAC</w:t>
      </w:r>
      <w:r w:rsidRPr="00BF227B">
        <w:t>-related factors that hinder timely delivery. These “Other” responses are included in the qualitative analysis described below.</w:t>
      </w:r>
    </w:p>
    <w:p w14:paraId="37FFCFA0" w14:textId="77777777" w:rsidR="00475A16" w:rsidRDefault="00475A16" w:rsidP="00475A16">
      <w:pPr>
        <w:pStyle w:val="FootnoteText"/>
      </w:pPr>
    </w:p>
  </w:footnote>
  <w:footnote w:id="56">
    <w:p w14:paraId="73903572" w14:textId="5F82B698" w:rsidR="00BB4D0B" w:rsidRDefault="00BB4D0B" w:rsidP="00BB4D0B">
      <w:pPr>
        <w:pStyle w:val="FootnoteText"/>
      </w:pPr>
      <w:r>
        <w:rPr>
          <w:rStyle w:val="FootnoteReference"/>
        </w:rPr>
        <w:footnoteRef/>
      </w:r>
      <w:r>
        <w:t xml:space="preserve"> </w:t>
      </w:r>
      <w:r w:rsidRPr="00C14BBB">
        <w:t xml:space="preserve">This question was not presented to publishers </w:t>
      </w:r>
      <w:r w:rsidR="008A52E3">
        <w:t>or</w:t>
      </w:r>
      <w:r w:rsidR="008A52E3" w:rsidRPr="00C14BBB">
        <w:t xml:space="preserve"> </w:t>
      </w:r>
      <w:r w:rsidRPr="00C14BBB">
        <w:t xml:space="preserve">conversion vendors who </w:t>
      </w:r>
      <w:r w:rsidR="00FF38BD">
        <w:t>were</w:t>
      </w:r>
      <w:r w:rsidRPr="00C14BBB">
        <w:t xml:space="preserve"> not NIMAC Users.</w:t>
      </w:r>
    </w:p>
  </w:footnote>
  <w:footnote w:id="57">
    <w:p w14:paraId="54B817CA" w14:textId="7247741C" w:rsidR="002A105E" w:rsidRPr="00A56AC6" w:rsidRDefault="002A105E" w:rsidP="002A105E">
      <w:pPr>
        <w:pStyle w:val="FootnoteText"/>
      </w:pPr>
      <w:r w:rsidRPr="002A105E">
        <w:rPr>
          <w:rStyle w:val="FootnoteReference"/>
        </w:rPr>
        <w:footnoteRef/>
      </w:r>
      <w:r w:rsidRPr="002A105E">
        <w:t xml:space="preserve"> </w:t>
      </w:r>
      <w:r w:rsidR="00BA77AD">
        <w:t>59</w:t>
      </w:r>
      <w:r w:rsidRPr="002A105E">
        <w:t xml:space="preserve"> respondents selected “Don’t Know” (these responses are not included in the figure). </w:t>
      </w:r>
      <w:r w:rsidR="00BA77AD">
        <w:t>6</w:t>
      </w:r>
      <w:r w:rsidRPr="002A105E">
        <w:t xml:space="preserve"> respondents selected “Other” and described production-related factors that hinder timely delivery. These “Other” responses are included in the qualitative analysis described below.</w:t>
      </w:r>
    </w:p>
    <w:p w14:paraId="35759319" w14:textId="77777777" w:rsidR="002A105E" w:rsidRDefault="002A105E" w:rsidP="002A105E">
      <w:pPr>
        <w:pStyle w:val="FootnoteText"/>
      </w:pPr>
    </w:p>
  </w:footnote>
  <w:footnote w:id="58">
    <w:p w14:paraId="35DB206C" w14:textId="61CCEC7F" w:rsidR="008A0B5B" w:rsidRPr="00A56AC6" w:rsidRDefault="008A0B5B" w:rsidP="008A0B5B">
      <w:pPr>
        <w:pStyle w:val="FootnoteText"/>
      </w:pPr>
      <w:r w:rsidRPr="00957D9B">
        <w:rPr>
          <w:rStyle w:val="FootnoteReference"/>
        </w:rPr>
        <w:footnoteRef/>
      </w:r>
      <w:r w:rsidRPr="00957D9B">
        <w:t xml:space="preserve"> </w:t>
      </w:r>
      <w:r w:rsidR="00BA77AD">
        <w:t>59</w:t>
      </w:r>
      <w:r w:rsidRPr="00957D9B">
        <w:t xml:space="preserve"> respondents selected “Don’t Know” (these responses are not included in the figure). The * indicates </w:t>
      </w:r>
      <w:r w:rsidR="00957D9B" w:rsidRPr="00957D9B">
        <w:t xml:space="preserve">a </w:t>
      </w:r>
      <w:r w:rsidRPr="00957D9B">
        <w:t>statistically significant difference.</w:t>
      </w:r>
      <w:r>
        <w:t xml:space="preserve"> </w:t>
      </w:r>
    </w:p>
    <w:p w14:paraId="32778F00" w14:textId="77777777" w:rsidR="008A0B5B" w:rsidRDefault="008A0B5B" w:rsidP="008A0B5B">
      <w:pPr>
        <w:pStyle w:val="FootnoteText"/>
      </w:pPr>
    </w:p>
  </w:footnote>
  <w:footnote w:id="59">
    <w:p w14:paraId="20541DCA" w14:textId="5E89AA20" w:rsidR="006948AB" w:rsidRDefault="006948AB" w:rsidP="006948AB">
      <w:pPr>
        <w:pStyle w:val="FootnoteText"/>
      </w:pPr>
      <w:r>
        <w:rPr>
          <w:rStyle w:val="FootnoteReference"/>
        </w:rPr>
        <w:footnoteRef/>
      </w:r>
      <w:r>
        <w:t xml:space="preserve"> </w:t>
      </w:r>
      <w:r w:rsidR="00BA77AD">
        <w:t>18</w:t>
      </w:r>
      <w:r w:rsidRPr="00A56AC6">
        <w:t xml:space="preserve"> </w:t>
      </w:r>
      <w:r>
        <w:t xml:space="preserve">respondents selected </w:t>
      </w:r>
      <w:r w:rsidRPr="00A56AC6">
        <w:t xml:space="preserve">“Don’t Know” (these responses are not included in the </w:t>
      </w:r>
      <w:r>
        <w:t>figure</w:t>
      </w:r>
      <w:r w:rsidRPr="00A56AC6">
        <w:t>).</w:t>
      </w:r>
    </w:p>
  </w:footnote>
  <w:footnote w:id="60">
    <w:p w14:paraId="06479FF1" w14:textId="77777777" w:rsidR="007D12D8" w:rsidRDefault="007D12D8">
      <w:pPr>
        <w:pStyle w:val="FootnoteText"/>
      </w:pPr>
      <w:r>
        <w:rPr>
          <w:rStyle w:val="FootnoteReference"/>
        </w:rPr>
        <w:footnoteRef/>
      </w:r>
      <w:r>
        <w:t xml:space="preserve"> </w:t>
      </w:r>
      <w:r w:rsidRPr="00C4518E">
        <w:t>Feedback provided in written form from a focus group participant.</w:t>
      </w:r>
    </w:p>
  </w:footnote>
  <w:footnote w:id="61">
    <w:p w14:paraId="28A876A6" w14:textId="77777777" w:rsidR="007D12D8" w:rsidRDefault="007D12D8">
      <w:pPr>
        <w:pStyle w:val="FootnoteText"/>
      </w:pPr>
      <w:r>
        <w:rPr>
          <w:rStyle w:val="FootnoteReference"/>
        </w:rPr>
        <w:footnoteRef/>
      </w:r>
      <w:r>
        <w:t xml:space="preserve"> </w:t>
      </w:r>
      <w:r w:rsidRPr="00C4518E">
        <w:t>Feedback provided in written form from a focus group participant.</w:t>
      </w:r>
    </w:p>
  </w:footnote>
  <w:footnote w:id="62">
    <w:p w14:paraId="081A9FBA" w14:textId="796B8D96" w:rsidR="00BB4D0B" w:rsidRDefault="00BB4D0B" w:rsidP="00BB4D0B">
      <w:pPr>
        <w:pStyle w:val="FootnoteText"/>
      </w:pPr>
      <w:r>
        <w:rPr>
          <w:rStyle w:val="FootnoteReference"/>
        </w:rPr>
        <w:footnoteRef/>
      </w:r>
      <w:r>
        <w:t xml:space="preserve"> </w:t>
      </w:r>
      <w:r w:rsidRPr="00EA4EB2">
        <w:t xml:space="preserve">This question was not presented to publishers </w:t>
      </w:r>
      <w:r w:rsidR="008A52E3">
        <w:t>or</w:t>
      </w:r>
      <w:r w:rsidR="008A52E3" w:rsidRPr="00EA4EB2">
        <w:t xml:space="preserve"> </w:t>
      </w:r>
      <w:r w:rsidRPr="00EA4EB2">
        <w:t xml:space="preserve">conversion vendors who </w:t>
      </w:r>
      <w:r w:rsidR="008A52E3">
        <w:t>were</w:t>
      </w:r>
      <w:r w:rsidR="008A52E3" w:rsidRPr="00EA4EB2">
        <w:t xml:space="preserve"> </w:t>
      </w:r>
      <w:r w:rsidRPr="00EA4EB2">
        <w:t>not NIMAC Users.</w:t>
      </w:r>
    </w:p>
  </w:footnote>
  <w:footnote w:id="63">
    <w:p w14:paraId="1075B1CB" w14:textId="55E46707" w:rsidR="00D0758C" w:rsidRPr="00A56AC6" w:rsidRDefault="00D0758C" w:rsidP="00D0758C">
      <w:pPr>
        <w:pStyle w:val="FootnoteText"/>
      </w:pPr>
      <w:r w:rsidRPr="00D0758C">
        <w:rPr>
          <w:rStyle w:val="FootnoteReference"/>
        </w:rPr>
        <w:footnoteRef/>
      </w:r>
      <w:r w:rsidRPr="00D0758C">
        <w:t xml:space="preserve"> </w:t>
      </w:r>
      <w:r w:rsidR="00BA77AD">
        <w:t>49</w:t>
      </w:r>
      <w:r w:rsidRPr="00D0758C">
        <w:t xml:space="preserve"> respondents selected “Don’t Know” (these responses are not included in the figure). </w:t>
      </w:r>
      <w:r w:rsidR="00BA77AD">
        <w:t>14</w:t>
      </w:r>
      <w:r w:rsidRPr="00D0758C">
        <w:t xml:space="preserve"> respondents selected “Other” and described additional state, regional, district, or school-level practices that hinder timely delivery. These “Other” responses are included in the qualitative analysis described below.</w:t>
      </w:r>
    </w:p>
    <w:p w14:paraId="0E32815B" w14:textId="77777777" w:rsidR="00D0758C" w:rsidRDefault="00D0758C" w:rsidP="00D0758C">
      <w:pPr>
        <w:pStyle w:val="FootnoteText"/>
      </w:pPr>
    </w:p>
  </w:footnote>
  <w:footnote w:id="64">
    <w:p w14:paraId="429933E9" w14:textId="7C692947" w:rsidR="00D0758C" w:rsidRPr="00A56AC6" w:rsidRDefault="00D0758C" w:rsidP="00D0758C">
      <w:pPr>
        <w:pStyle w:val="FootnoteText"/>
      </w:pPr>
      <w:r w:rsidRPr="00BF74BD">
        <w:rPr>
          <w:rStyle w:val="FootnoteReference"/>
        </w:rPr>
        <w:footnoteRef/>
      </w:r>
      <w:r w:rsidRPr="00BF74BD">
        <w:t xml:space="preserve"> </w:t>
      </w:r>
      <w:r w:rsidR="00BA77AD">
        <w:t>49</w:t>
      </w:r>
      <w:r w:rsidRPr="00BF74BD">
        <w:t xml:space="preserve"> respondents selected “Don’t Know” (these responses are not included in the figure). The * indicates </w:t>
      </w:r>
      <w:r w:rsidR="00EA4EB2">
        <w:t xml:space="preserve">a </w:t>
      </w:r>
      <w:r w:rsidRPr="00BF74BD">
        <w:t>statistically significant difference.</w:t>
      </w:r>
      <w:r>
        <w:t xml:space="preserve"> </w:t>
      </w:r>
    </w:p>
    <w:p w14:paraId="0A693FCC" w14:textId="77777777" w:rsidR="00D0758C" w:rsidRDefault="00D0758C" w:rsidP="00D0758C">
      <w:pPr>
        <w:pStyle w:val="FootnoteText"/>
      </w:pPr>
    </w:p>
  </w:footnote>
  <w:footnote w:id="65">
    <w:p w14:paraId="7E7B98A7" w14:textId="58C53BEE" w:rsidR="00B332E3" w:rsidRDefault="00B332E3">
      <w:pPr>
        <w:pStyle w:val="FootnoteText"/>
      </w:pPr>
      <w:r>
        <w:rPr>
          <w:rStyle w:val="FootnoteReference"/>
        </w:rPr>
        <w:footnoteRef/>
      </w:r>
      <w:r>
        <w:t xml:space="preserve"> </w:t>
      </w:r>
      <w:r w:rsidRPr="00C4518E">
        <w:t>Feedback provided in written form from a focus group participant.</w:t>
      </w:r>
    </w:p>
  </w:footnote>
  <w:footnote w:id="66">
    <w:p w14:paraId="71F3F5FD" w14:textId="3BEA5240" w:rsidR="00001364" w:rsidRPr="00001364" w:rsidRDefault="00001364">
      <w:pPr>
        <w:pStyle w:val="FootnoteText"/>
        <w:rPr>
          <w:b/>
          <w:bCs/>
        </w:rPr>
      </w:pPr>
      <w:r>
        <w:rPr>
          <w:rStyle w:val="FootnoteReference"/>
        </w:rPr>
        <w:footnoteRef/>
      </w:r>
      <w:r>
        <w:t xml:space="preserve"> </w:t>
      </w:r>
      <w:r w:rsidRPr="00C4518E">
        <w:t xml:space="preserve">Feedback provided in written form from </w:t>
      </w:r>
      <w:r>
        <w:t xml:space="preserve">a stakeholder who was invited to attend a focus group but was unable to attend due to </w:t>
      </w:r>
      <w:r w:rsidR="00FA5EB9">
        <w:t xml:space="preserve">a </w:t>
      </w:r>
      <w:r>
        <w:t>scheduling conflic</w:t>
      </w:r>
      <w:r w:rsidR="00FA5EB9">
        <w:t>t</w:t>
      </w:r>
      <w:r w:rsidRPr="00C4518E">
        <w:t>.</w:t>
      </w:r>
    </w:p>
  </w:footnote>
  <w:footnote w:id="67">
    <w:p w14:paraId="601A3B69" w14:textId="2EA18397" w:rsidR="00BB4D0B" w:rsidRDefault="00BB4D0B" w:rsidP="00BB4D0B">
      <w:pPr>
        <w:pStyle w:val="FootnoteText"/>
      </w:pPr>
      <w:r>
        <w:rPr>
          <w:rStyle w:val="FootnoteReference"/>
        </w:rPr>
        <w:footnoteRef/>
      </w:r>
      <w:r>
        <w:t xml:space="preserve"> </w:t>
      </w:r>
      <w:r w:rsidRPr="005469F1">
        <w:t xml:space="preserve">This question was not presented to publishers </w:t>
      </w:r>
      <w:r w:rsidR="008A52E3">
        <w:t>or</w:t>
      </w:r>
      <w:r w:rsidR="008A52E3" w:rsidRPr="005469F1">
        <w:t xml:space="preserve"> </w:t>
      </w:r>
      <w:r w:rsidRPr="005469F1">
        <w:t xml:space="preserve">conversion vendors who </w:t>
      </w:r>
      <w:r w:rsidR="008A52E3">
        <w:t>were</w:t>
      </w:r>
      <w:r w:rsidR="008A52E3" w:rsidRPr="005469F1">
        <w:t xml:space="preserve"> </w:t>
      </w:r>
      <w:r w:rsidRPr="005469F1">
        <w:t>not NIMAC Users.</w:t>
      </w:r>
    </w:p>
  </w:footnote>
  <w:footnote w:id="68">
    <w:p w14:paraId="4FDB7B7F" w14:textId="626C7201" w:rsidR="00F0250B" w:rsidRPr="00A56AC6" w:rsidRDefault="00F0250B" w:rsidP="00F0250B">
      <w:pPr>
        <w:pStyle w:val="FootnoteText"/>
      </w:pPr>
      <w:r w:rsidRPr="005C3D87">
        <w:rPr>
          <w:rStyle w:val="FootnoteReference"/>
        </w:rPr>
        <w:footnoteRef/>
      </w:r>
      <w:r w:rsidRPr="005C3D87">
        <w:t xml:space="preserve"> </w:t>
      </w:r>
      <w:r w:rsidR="00BA77AD">
        <w:t>102</w:t>
      </w:r>
      <w:r w:rsidRPr="005C3D87">
        <w:t xml:space="preserve"> respondents selected “Don’t Know” (these responses are not included in the figure). </w:t>
      </w:r>
      <w:r w:rsidR="00BA77AD">
        <w:t>5</w:t>
      </w:r>
      <w:r w:rsidRPr="005C3D87">
        <w:t xml:space="preserve"> respondents selected “Other” and described additional </w:t>
      </w:r>
      <w:r w:rsidR="005C3D87" w:rsidRPr="005C3D87">
        <w:t>factors that hinder timely delivery in charter schools</w:t>
      </w:r>
      <w:r w:rsidRPr="005C3D87">
        <w:t>. These “Other” responses are included in the qualitative analysis described below.</w:t>
      </w:r>
    </w:p>
    <w:p w14:paraId="321DA55B" w14:textId="77777777" w:rsidR="00F0250B" w:rsidRDefault="00F0250B" w:rsidP="00F0250B">
      <w:pPr>
        <w:pStyle w:val="FootnoteText"/>
      </w:pPr>
    </w:p>
  </w:footnote>
  <w:footnote w:id="69">
    <w:p w14:paraId="365D7551" w14:textId="2C825C4B" w:rsidR="00F0250B" w:rsidRPr="00A56AC6" w:rsidRDefault="00F0250B" w:rsidP="00F0250B">
      <w:pPr>
        <w:pStyle w:val="FootnoteText"/>
      </w:pPr>
      <w:r w:rsidRPr="005C3D87">
        <w:rPr>
          <w:rStyle w:val="FootnoteReference"/>
        </w:rPr>
        <w:footnoteRef/>
      </w:r>
      <w:r w:rsidRPr="005C3D87">
        <w:t xml:space="preserve"> </w:t>
      </w:r>
      <w:r w:rsidR="00BA77AD">
        <w:t>102</w:t>
      </w:r>
      <w:r w:rsidRPr="005C3D87">
        <w:t xml:space="preserve"> respondents selected “</w:t>
      </w:r>
      <w:r w:rsidRPr="005F4601">
        <w:t>Don’t Know” (these responses are not included in the figure). The * indicates</w:t>
      </w:r>
      <w:r w:rsidR="005F4601" w:rsidRPr="005F4601">
        <w:t xml:space="preserve"> </w:t>
      </w:r>
      <w:r w:rsidR="002A440D">
        <w:t xml:space="preserve">a </w:t>
      </w:r>
      <w:r w:rsidR="005F4601" w:rsidRPr="005F4601">
        <w:t>statistically significant difference.</w:t>
      </w:r>
      <w:r w:rsidR="005F4601">
        <w:t xml:space="preserve"> </w:t>
      </w:r>
    </w:p>
    <w:p w14:paraId="3A6A756D" w14:textId="77777777" w:rsidR="00F0250B" w:rsidRDefault="00F0250B" w:rsidP="00F0250B">
      <w:pPr>
        <w:pStyle w:val="FootnoteText"/>
      </w:pPr>
    </w:p>
  </w:footnote>
  <w:footnote w:id="70">
    <w:p w14:paraId="7042A909" w14:textId="77777777" w:rsidR="009F0355" w:rsidRDefault="009F0355" w:rsidP="009F0355">
      <w:pPr>
        <w:pStyle w:val="FootnoteText"/>
      </w:pPr>
      <w:r>
        <w:rPr>
          <w:rStyle w:val="FootnoteReference"/>
        </w:rPr>
        <w:footnoteRef/>
      </w:r>
      <w:r>
        <w:t xml:space="preserve"> </w:t>
      </w:r>
      <w:r w:rsidRPr="00FE2E8D">
        <w:t xml:space="preserve">This question was not presented to publishers </w:t>
      </w:r>
      <w:r>
        <w:t>or</w:t>
      </w:r>
      <w:r w:rsidRPr="00FE2E8D">
        <w:t xml:space="preserve"> conversion vendors who </w:t>
      </w:r>
      <w:r>
        <w:t>were</w:t>
      </w:r>
      <w:r w:rsidRPr="00FE2E8D">
        <w:t xml:space="preserve"> not NIMAC Users.</w:t>
      </w:r>
    </w:p>
  </w:footnote>
  <w:footnote w:id="71">
    <w:p w14:paraId="3A3F8604" w14:textId="2A46D716" w:rsidR="00760A0D" w:rsidRDefault="00760A0D">
      <w:pPr>
        <w:pStyle w:val="FootnoteText"/>
      </w:pPr>
      <w:r>
        <w:rPr>
          <w:rStyle w:val="FootnoteReference"/>
        </w:rPr>
        <w:footnoteRef/>
      </w:r>
      <w:r>
        <w:t xml:space="preserve"> The * indicates a statistically significant difference. </w:t>
      </w:r>
    </w:p>
  </w:footnote>
  <w:footnote w:id="72">
    <w:p w14:paraId="36F90B39" w14:textId="542C65FA" w:rsidR="00FE2E8D" w:rsidRDefault="00FE2E8D">
      <w:pPr>
        <w:pStyle w:val="FootnoteText"/>
      </w:pPr>
      <w:r>
        <w:rPr>
          <w:rStyle w:val="FootnoteReference"/>
        </w:rPr>
        <w:footnoteRef/>
      </w:r>
      <w:r>
        <w:t xml:space="preserve"> </w:t>
      </w:r>
      <w:bookmarkStart w:id="87" w:name="_Hlk216017624"/>
      <w:r w:rsidRPr="00FE2E8D">
        <w:t xml:space="preserve">This question was not presented to </w:t>
      </w:r>
      <w:r>
        <w:t xml:space="preserve">IRC/IMC staff </w:t>
      </w:r>
      <w:r w:rsidR="008A52E3">
        <w:t xml:space="preserve">or </w:t>
      </w:r>
      <w:r>
        <w:t>AMPs</w:t>
      </w:r>
      <w:r w:rsidRPr="00FE2E8D">
        <w:t xml:space="preserve"> who </w:t>
      </w:r>
      <w:r w:rsidR="008A52E3">
        <w:t>were</w:t>
      </w:r>
      <w:r w:rsidR="008A52E3" w:rsidRPr="00FE2E8D">
        <w:t xml:space="preserve"> </w:t>
      </w:r>
      <w:r w:rsidRPr="00FE2E8D">
        <w:t>not NIMAC Users.</w:t>
      </w:r>
      <w:bookmarkEnd w:id="87"/>
    </w:p>
  </w:footnote>
  <w:footnote w:id="73">
    <w:p w14:paraId="38116D2B" w14:textId="2135BAC2" w:rsidR="00FE2E8D" w:rsidRDefault="00FE2E8D">
      <w:pPr>
        <w:pStyle w:val="FootnoteText"/>
      </w:pPr>
      <w:r>
        <w:rPr>
          <w:rStyle w:val="FootnoteReference"/>
        </w:rPr>
        <w:footnoteRef/>
      </w:r>
      <w:r>
        <w:t xml:space="preserve"> </w:t>
      </w:r>
      <w:r w:rsidRPr="00FE2E8D">
        <w:t xml:space="preserve">This question was not presented to IRC/IMC staff </w:t>
      </w:r>
      <w:r w:rsidR="008A52E3">
        <w:t>or</w:t>
      </w:r>
      <w:r w:rsidR="008A52E3" w:rsidRPr="00FE2E8D">
        <w:t xml:space="preserve"> </w:t>
      </w:r>
      <w:r w:rsidRPr="00FE2E8D">
        <w:t xml:space="preserve">AMPs who </w:t>
      </w:r>
      <w:r w:rsidR="008A52E3">
        <w:t>were</w:t>
      </w:r>
      <w:r w:rsidRPr="00FE2E8D">
        <w:t xml:space="preserve"> not NIMAC Users.</w:t>
      </w:r>
    </w:p>
  </w:footnote>
  <w:footnote w:id="74">
    <w:p w14:paraId="6C8731DB" w14:textId="414049FD" w:rsidR="002E3ED3" w:rsidRDefault="002E3ED3" w:rsidP="002E3ED3">
      <w:pPr>
        <w:pStyle w:val="FootnoteText"/>
      </w:pPr>
      <w:r>
        <w:rPr>
          <w:rStyle w:val="FootnoteReference"/>
        </w:rPr>
        <w:footnoteRef/>
      </w:r>
      <w:r>
        <w:t xml:space="preserve"> </w:t>
      </w:r>
      <w:r w:rsidR="00BA77AD">
        <w:t>151</w:t>
      </w:r>
      <w:r>
        <w:t xml:space="preserve"> respondents selected </w:t>
      </w:r>
      <w:r w:rsidRPr="00A56AC6">
        <w:t>“Don’t Know</w:t>
      </w:r>
      <w:r>
        <w:t>,</w:t>
      </w:r>
      <w:r w:rsidRPr="00A56AC6">
        <w:t>”</w:t>
      </w:r>
      <w:r>
        <w:t xml:space="preserve"> and 5 respondents selected “Other”</w:t>
      </w:r>
      <w:r w:rsidRPr="00A56AC6">
        <w:t xml:space="preserve"> (these responses are not included in the </w:t>
      </w:r>
      <w:r>
        <w:t>figure</w:t>
      </w:r>
      <w:r w:rsidRPr="00A56AC6">
        <w:t>).</w:t>
      </w:r>
      <w:r>
        <w:t xml:space="preserve"> The “Other” responses included “Does not apply to ESD,” “For textbook adoptions – yes, but not for ‘educational materials’ as this can include much more,” and “We address it annually through our IDEA application.” </w:t>
      </w:r>
    </w:p>
  </w:footnote>
  <w:footnote w:id="75">
    <w:p w14:paraId="06166C76" w14:textId="0CD7316A" w:rsidR="00FE2E8D" w:rsidRDefault="00FE2E8D">
      <w:pPr>
        <w:pStyle w:val="FootnoteText"/>
      </w:pPr>
      <w:r>
        <w:rPr>
          <w:rStyle w:val="FootnoteReference"/>
        </w:rPr>
        <w:footnoteRef/>
      </w:r>
      <w:r>
        <w:t xml:space="preserve"> </w:t>
      </w:r>
      <w:r w:rsidRPr="00FE2E8D">
        <w:t xml:space="preserve">This question was not presented to IRC/IMC staff </w:t>
      </w:r>
      <w:r w:rsidR="008A52E3">
        <w:t>or</w:t>
      </w:r>
      <w:r w:rsidR="008A52E3" w:rsidRPr="00FE2E8D">
        <w:t xml:space="preserve"> </w:t>
      </w:r>
      <w:r w:rsidRPr="00FE2E8D">
        <w:t xml:space="preserve">AMPs who </w:t>
      </w:r>
      <w:r w:rsidR="008A52E3">
        <w:t>were</w:t>
      </w:r>
      <w:r w:rsidR="008A52E3" w:rsidRPr="00FE2E8D">
        <w:t xml:space="preserve"> </w:t>
      </w:r>
      <w:r w:rsidRPr="00FE2E8D">
        <w:t>not NIMAC Users.</w:t>
      </w:r>
    </w:p>
  </w:footnote>
  <w:footnote w:id="76">
    <w:p w14:paraId="5DAD3117" w14:textId="69905DFE" w:rsidR="002F1F98" w:rsidRDefault="002F1F98">
      <w:pPr>
        <w:pStyle w:val="FootnoteText"/>
      </w:pPr>
      <w:r>
        <w:rPr>
          <w:rStyle w:val="FootnoteReference"/>
        </w:rPr>
        <w:footnoteRef/>
      </w:r>
      <w:r>
        <w:t xml:space="preserve"> A brief data report was prepared to summarize findings from a separate survey that was administered to publishers and conversion vendors after three NIMAC Webinar Trainings during the summer of 2025. Th</w:t>
      </w:r>
      <w:r w:rsidR="007E7162">
        <w:t>at</w:t>
      </w:r>
      <w:r>
        <w:t xml:space="preserve"> survey asked similar questions, and the data report is provided in Appendix </w:t>
      </w:r>
      <w:r w:rsidR="002D7D92">
        <w:t xml:space="preserve">C. </w:t>
      </w:r>
      <w:r w:rsidR="007E7162">
        <w:t>F</w:t>
      </w:r>
      <w:r w:rsidR="002D7D92">
        <w:t xml:space="preserve">indings among publishers and conversion vendors who attended the </w:t>
      </w:r>
      <w:r w:rsidR="007E7162">
        <w:t xml:space="preserve">NIMAC </w:t>
      </w:r>
      <w:r w:rsidR="002D7D92">
        <w:t>Webinar Trainings were similar to those of the Case Study survey respondents, except a larger percentage of publisher and vendor</w:t>
      </w:r>
      <w:r w:rsidR="007E7162">
        <w:t xml:space="preserve"> trainees</w:t>
      </w:r>
      <w:r w:rsidR="002D7D92">
        <w:t xml:space="preserve"> 1) reported that the NIMAS file is often or always included in procurement contracts, and 2) agreed or strongly agreed that they understand which educational materials fall within scope for NIMAS. </w:t>
      </w:r>
    </w:p>
  </w:footnote>
  <w:footnote w:id="77">
    <w:p w14:paraId="7DED6C67" w14:textId="4E7F3E37" w:rsidR="001A2F4A" w:rsidRDefault="001A2F4A" w:rsidP="001A2F4A">
      <w:pPr>
        <w:pStyle w:val="FootnoteText"/>
      </w:pPr>
      <w:r w:rsidRPr="001A2F4A">
        <w:rPr>
          <w:rStyle w:val="FootnoteReference"/>
        </w:rPr>
        <w:footnoteRef/>
      </w:r>
      <w:r w:rsidRPr="001A2F4A">
        <w:t xml:space="preserve"> </w:t>
      </w:r>
      <w:r w:rsidR="00BA77AD">
        <w:t>58</w:t>
      </w:r>
      <w:r w:rsidRPr="001A2F4A">
        <w:t xml:space="preserve"> respondents selected “Don’t Know” (these responses are not included in the figure).</w:t>
      </w:r>
    </w:p>
  </w:footnote>
  <w:footnote w:id="78">
    <w:p w14:paraId="12D44A99" w14:textId="7DE411F5" w:rsidR="004E453C" w:rsidRDefault="004E453C" w:rsidP="004E453C">
      <w:pPr>
        <w:pStyle w:val="FootnoteText"/>
      </w:pPr>
      <w:r>
        <w:rPr>
          <w:rStyle w:val="FootnoteReference"/>
        </w:rPr>
        <w:footnoteRef/>
      </w:r>
      <w:r>
        <w:t xml:space="preserve"> </w:t>
      </w:r>
      <w:r w:rsidR="00BA77AD">
        <w:t>58</w:t>
      </w:r>
      <w:r w:rsidRPr="001A2F4A">
        <w:t xml:space="preserve"> respondents selected “Don’t Know” (these responses are not included in the figure).</w:t>
      </w:r>
      <w:r>
        <w:t xml:space="preserve"> The * indicates a statistically significant difference. </w:t>
      </w:r>
    </w:p>
  </w:footnote>
  <w:footnote w:id="79">
    <w:p w14:paraId="46F7F704" w14:textId="5E596022" w:rsidR="004608EC" w:rsidRDefault="004608EC">
      <w:pPr>
        <w:pStyle w:val="FootnoteText"/>
      </w:pPr>
      <w:r>
        <w:rPr>
          <w:rStyle w:val="FootnoteReference"/>
        </w:rPr>
        <w:footnoteRef/>
      </w:r>
      <w:r>
        <w:t xml:space="preserve"> </w:t>
      </w:r>
      <w:r w:rsidRPr="004608EC">
        <w:t xml:space="preserve">This question was not presented to IRC/IMC staff, AMPs, publishers, </w:t>
      </w:r>
      <w:r w:rsidR="008A52E3">
        <w:t>or</w:t>
      </w:r>
      <w:r w:rsidR="008A52E3" w:rsidRPr="004608EC">
        <w:t xml:space="preserve"> </w:t>
      </w:r>
      <w:r w:rsidRPr="004608EC">
        <w:t xml:space="preserve">conversion vendors who </w:t>
      </w:r>
      <w:r w:rsidR="00391625">
        <w:t>were</w:t>
      </w:r>
      <w:r w:rsidR="00391625" w:rsidRPr="004608EC">
        <w:t xml:space="preserve"> </w:t>
      </w:r>
      <w:r w:rsidRPr="004608EC">
        <w:t>not NIMAC Users.</w:t>
      </w:r>
    </w:p>
  </w:footnote>
  <w:footnote w:id="80">
    <w:p w14:paraId="799BC745" w14:textId="7DCB6AF9" w:rsidR="00F657D0" w:rsidRPr="00A56AC6" w:rsidRDefault="00F657D0" w:rsidP="00F657D0">
      <w:pPr>
        <w:pStyle w:val="FootnoteText"/>
      </w:pPr>
      <w:r w:rsidRPr="00B03A7B">
        <w:rPr>
          <w:rStyle w:val="FootnoteReference"/>
        </w:rPr>
        <w:footnoteRef/>
      </w:r>
      <w:r w:rsidRPr="00B03A7B">
        <w:t xml:space="preserve"> </w:t>
      </w:r>
      <w:r w:rsidR="00BA77AD">
        <w:t>54</w:t>
      </w:r>
      <w:r w:rsidRPr="00B03A7B">
        <w:t xml:space="preserve"> respondents </w:t>
      </w:r>
      <w:r w:rsidRPr="00CD351D">
        <w:t xml:space="preserve">selected “Don’t Know” (these responses are not included in the figure). </w:t>
      </w:r>
      <w:r w:rsidR="00BA77AD">
        <w:t>8</w:t>
      </w:r>
      <w:r w:rsidRPr="00CD351D">
        <w:t xml:space="preserve"> respondents selected “Other” and described additional strategies to help SEAs and LEAs consistently include the NIMAS requirement in procurement contracts. These “Other” responses are included in the qualitative analysis described below.</w:t>
      </w:r>
    </w:p>
    <w:p w14:paraId="68388B1D" w14:textId="77777777" w:rsidR="00F657D0" w:rsidRDefault="00F657D0" w:rsidP="00F657D0">
      <w:pPr>
        <w:pStyle w:val="FootnoteText"/>
      </w:pPr>
    </w:p>
  </w:footnote>
  <w:footnote w:id="81">
    <w:p w14:paraId="6FFAB6F5" w14:textId="42DD4B62" w:rsidR="00255A7D" w:rsidRDefault="00255A7D" w:rsidP="00255A7D">
      <w:pPr>
        <w:pStyle w:val="FootnoteText"/>
      </w:pPr>
      <w:r w:rsidRPr="00B03A7B">
        <w:rPr>
          <w:rStyle w:val="FootnoteReference"/>
        </w:rPr>
        <w:footnoteRef/>
      </w:r>
      <w:r w:rsidRPr="00B03A7B">
        <w:t xml:space="preserve"> </w:t>
      </w:r>
      <w:r w:rsidR="00BA77AD">
        <w:t>54</w:t>
      </w:r>
      <w:r w:rsidRPr="00B03A7B">
        <w:t xml:space="preserve"> respondents </w:t>
      </w:r>
      <w:r w:rsidRPr="00CD351D">
        <w:t>selected “Don’t Know” (these responses are not included in the figure).</w:t>
      </w:r>
      <w:r w:rsidR="00CC2436">
        <w:t xml:space="preserve"> The * indicates a statistically significant difference.</w:t>
      </w:r>
    </w:p>
  </w:footnote>
  <w:footnote w:id="82">
    <w:p w14:paraId="7F68B81C" w14:textId="0E03AC1E" w:rsidR="00CC2436" w:rsidRDefault="00CC2436" w:rsidP="00CC2436">
      <w:pPr>
        <w:pStyle w:val="FootnoteText"/>
      </w:pPr>
      <w:r w:rsidRPr="00B03A7B">
        <w:rPr>
          <w:rStyle w:val="FootnoteReference"/>
        </w:rPr>
        <w:footnoteRef/>
      </w:r>
      <w:r w:rsidRPr="00B03A7B">
        <w:t xml:space="preserve"> </w:t>
      </w:r>
      <w:r w:rsidR="00BA77AD">
        <w:t>54</w:t>
      </w:r>
      <w:r w:rsidRPr="00B03A7B">
        <w:t xml:space="preserve"> respondents </w:t>
      </w:r>
      <w:r w:rsidRPr="00CD351D">
        <w:t>selected “Don’t Know” (these responses are not included in the figure).</w:t>
      </w:r>
      <w:r>
        <w:t xml:space="preserve"> The * indicates a statistically significant difference.</w:t>
      </w:r>
    </w:p>
  </w:footnote>
  <w:footnote w:id="83">
    <w:p w14:paraId="4053B6C8" w14:textId="5FC1691B" w:rsidR="009A5120" w:rsidRDefault="009A5120">
      <w:pPr>
        <w:pStyle w:val="FootnoteText"/>
      </w:pPr>
      <w:r>
        <w:rPr>
          <w:rStyle w:val="FootnoteReference"/>
        </w:rPr>
        <w:footnoteRef/>
      </w:r>
      <w:r>
        <w:t xml:space="preserve"> IDEA 2004 currently requires all SEAs and LEAs </w:t>
      </w:r>
      <w:r w:rsidR="00CF1031">
        <w:t>that</w:t>
      </w:r>
      <w:r>
        <w:t xml:space="preserve"> choose to work with the NIMAC include the NIMAS requirement in their procurement contracts.</w:t>
      </w:r>
    </w:p>
  </w:footnote>
  <w:footnote w:id="84">
    <w:p w14:paraId="6D671048" w14:textId="1F90F747" w:rsidR="000435A2" w:rsidRPr="000435A2" w:rsidRDefault="000435A2" w:rsidP="000435A2">
      <w:pPr>
        <w:pStyle w:val="FootnoteText"/>
        <w:rPr>
          <w:rFonts w:cstheme="minorHAnsi"/>
        </w:rPr>
      </w:pPr>
      <w:r w:rsidRPr="000435A2">
        <w:rPr>
          <w:rStyle w:val="FootnoteReference"/>
          <w:rFonts w:cstheme="minorHAnsi"/>
        </w:rPr>
        <w:footnoteRef/>
      </w:r>
      <w:r w:rsidRPr="000435A2">
        <w:rPr>
          <w:rFonts w:cstheme="minorHAnsi"/>
        </w:rPr>
        <w:t xml:space="preserve"> Respondents were asked, “How familiar are you with procurement processes/contracts used by states and districts to adopt/acquire K-12 educational materials?” </w:t>
      </w:r>
      <w:r w:rsidR="00BA77AD">
        <w:rPr>
          <w:rFonts w:cstheme="minorHAnsi"/>
        </w:rPr>
        <w:t>3</w:t>
      </w:r>
      <w:r w:rsidRPr="000435A2">
        <w:rPr>
          <w:rFonts w:cstheme="minorHAnsi"/>
        </w:rPr>
        <w:t xml:space="preserve"> respondents did not answer this question. Respondents were asked for additional comments after answering this question, and no additional comments were provided.</w:t>
      </w:r>
    </w:p>
  </w:footnote>
  <w:footnote w:id="85">
    <w:p w14:paraId="25E888C1" w14:textId="2B2EC42C" w:rsidR="000435A2" w:rsidRPr="0087346D" w:rsidRDefault="000435A2" w:rsidP="000435A2">
      <w:pPr>
        <w:pStyle w:val="FootnoteText"/>
      </w:pPr>
      <w:r w:rsidRPr="000435A2">
        <w:rPr>
          <w:rStyle w:val="FootnoteReference"/>
          <w:rFonts w:cstheme="minorHAnsi"/>
        </w:rPr>
        <w:footnoteRef/>
      </w:r>
      <w:r w:rsidRPr="000435A2">
        <w:rPr>
          <w:rFonts w:cstheme="minorHAnsi"/>
        </w:rPr>
        <w:t xml:space="preserve"> Respondents were asked, “Have you been directly involved in the procurement contract process for educational materials with at least one state or district?” </w:t>
      </w:r>
      <w:r w:rsidR="00BA77AD">
        <w:rPr>
          <w:rFonts w:cstheme="minorHAnsi"/>
        </w:rPr>
        <w:t>3</w:t>
      </w:r>
      <w:r w:rsidRPr="000435A2">
        <w:rPr>
          <w:rFonts w:cstheme="minorHAnsi"/>
        </w:rPr>
        <w:t xml:space="preserve"> respondents did not answer this question. No respondents selected “Other.”</w:t>
      </w:r>
    </w:p>
  </w:footnote>
  <w:footnote w:id="86">
    <w:p w14:paraId="64D30B7C" w14:textId="44A394C4" w:rsidR="000435A2" w:rsidRPr="000435A2" w:rsidRDefault="000435A2" w:rsidP="000435A2">
      <w:pPr>
        <w:pStyle w:val="FootnoteText"/>
        <w:rPr>
          <w:rFonts w:cstheme="minorHAnsi"/>
        </w:rPr>
      </w:pPr>
      <w:r w:rsidRPr="000435A2">
        <w:rPr>
          <w:rStyle w:val="FootnoteReference"/>
          <w:rFonts w:cstheme="minorHAnsi"/>
        </w:rPr>
        <w:footnoteRef/>
      </w:r>
      <w:r w:rsidRPr="000435A2">
        <w:rPr>
          <w:rFonts w:cstheme="minorHAnsi"/>
        </w:rPr>
        <w:t xml:space="preserve"> Respondents were asked, “Based on your experience with states and districts, how often do they include the NIMAS requirement in procurement contracts for educational materials?” </w:t>
      </w:r>
      <w:r w:rsidR="00BA77AD">
        <w:rPr>
          <w:rFonts w:cstheme="minorHAnsi"/>
        </w:rPr>
        <w:t>3</w:t>
      </w:r>
      <w:r w:rsidRPr="000435A2">
        <w:rPr>
          <w:rFonts w:cstheme="minorHAnsi"/>
        </w:rPr>
        <w:t xml:space="preserve"> respondents did not answer this question, and </w:t>
      </w:r>
      <w:r w:rsidR="00BA77AD">
        <w:rPr>
          <w:rFonts w:cstheme="minorHAnsi"/>
        </w:rPr>
        <w:t>8</w:t>
      </w:r>
      <w:r w:rsidRPr="000435A2">
        <w:rPr>
          <w:rFonts w:cstheme="minorHAnsi"/>
        </w:rPr>
        <w:t xml:space="preserve"> respondents selected “Don’t Know.” </w:t>
      </w:r>
      <w:r w:rsidR="00BA77AD">
        <w:rPr>
          <w:rFonts w:cstheme="minorHAnsi"/>
        </w:rPr>
        <w:t>1</w:t>
      </w:r>
      <w:r w:rsidRPr="000435A2">
        <w:rPr>
          <w:rFonts w:cstheme="minorHAnsi"/>
        </w:rPr>
        <w:t xml:space="preserve"> respondent selected “Other” and specified: </w:t>
      </w:r>
      <w:bookmarkStart w:id="119" w:name="_Hlk203655185"/>
      <w:r w:rsidRPr="000435A2">
        <w:rPr>
          <w:rFonts w:cstheme="minorHAnsi"/>
        </w:rPr>
        <w:t>“We are recommending NIMAS to our clients as an added base item (if they aren't familiar) to build on once NIMAS becomes more regulated/required. It's much easier to add to than to start at in a later stage.”</w:t>
      </w:r>
      <w:bookmarkEnd w:id="119"/>
    </w:p>
  </w:footnote>
  <w:footnote w:id="87">
    <w:p w14:paraId="0F6C76CE" w14:textId="0BE47C66" w:rsidR="000435A2" w:rsidRPr="000435A2" w:rsidRDefault="000435A2" w:rsidP="000435A2">
      <w:pPr>
        <w:pStyle w:val="FootnoteText"/>
        <w:rPr>
          <w:rFonts w:cstheme="minorHAnsi"/>
        </w:rPr>
      </w:pPr>
      <w:r w:rsidRPr="000435A2">
        <w:rPr>
          <w:rStyle w:val="FootnoteReference"/>
          <w:rFonts w:cstheme="minorHAnsi"/>
        </w:rPr>
        <w:footnoteRef/>
      </w:r>
      <w:r w:rsidRPr="000435A2">
        <w:rPr>
          <w:rFonts w:cstheme="minorHAnsi"/>
        </w:rPr>
        <w:t xml:space="preserve"> Respondents were asked, “Based on your experience, which of the following contract-related factors hinder the timely delivery of accessible formats?” and allowed to select multiple options. The data represents the percentage of respondents who selected each option out of the total number of respondents who selected at least </w:t>
      </w:r>
      <w:r w:rsidR="00BA77AD">
        <w:rPr>
          <w:rFonts w:cstheme="minorHAnsi"/>
        </w:rPr>
        <w:t>1</w:t>
      </w:r>
      <w:r w:rsidRPr="000435A2">
        <w:rPr>
          <w:rFonts w:cstheme="minorHAnsi"/>
        </w:rPr>
        <w:t xml:space="preserve"> option. </w:t>
      </w:r>
      <w:r w:rsidR="00BA77AD">
        <w:rPr>
          <w:rFonts w:cstheme="minorHAnsi"/>
        </w:rPr>
        <w:t>9</w:t>
      </w:r>
      <w:r w:rsidRPr="000435A2">
        <w:rPr>
          <w:rFonts w:cstheme="minorHAnsi"/>
        </w:rPr>
        <w:t xml:space="preserve"> respondents did not answer this question. </w:t>
      </w:r>
      <w:r w:rsidR="00BA77AD">
        <w:rPr>
          <w:rFonts w:cstheme="minorHAnsi"/>
        </w:rPr>
        <w:t>3</w:t>
      </w:r>
      <w:r w:rsidRPr="000435A2">
        <w:rPr>
          <w:rFonts w:cstheme="minorHAnsi"/>
        </w:rPr>
        <w:t xml:space="preserve"> respondents selected “Other” and specified “Nothing” or “NA.”</w:t>
      </w:r>
      <w:r w:rsidR="005C5521">
        <w:rPr>
          <w:rFonts w:cstheme="minorHAnsi"/>
        </w:rPr>
        <w:t xml:space="preserve"> </w:t>
      </w:r>
    </w:p>
  </w:footnote>
  <w:footnote w:id="88">
    <w:p w14:paraId="4F167FBF" w14:textId="039D4E83" w:rsidR="000435A2" w:rsidRPr="00145B8C" w:rsidRDefault="000435A2" w:rsidP="000435A2">
      <w:pPr>
        <w:pStyle w:val="FootnoteText"/>
        <w:rPr>
          <w:rFonts w:ascii="Times New Roman" w:hAnsi="Times New Roman" w:cs="Times New Roman"/>
        </w:rPr>
      </w:pPr>
      <w:r w:rsidRPr="000435A2">
        <w:rPr>
          <w:rStyle w:val="FootnoteReference"/>
          <w:rFonts w:cstheme="minorHAnsi"/>
        </w:rPr>
        <w:footnoteRef/>
      </w:r>
      <w:r w:rsidRPr="000435A2">
        <w:rPr>
          <w:rFonts w:cstheme="minorHAnsi"/>
        </w:rPr>
        <w:t xml:space="preserve"> Respondents were asked, “Based on your experience, which of the following challenges hinder the timely delivery of accessible formats?” and allowed to select multiple options. The data represents the percentage of respondents who selected each option out of the total number of respondents who selected at least </w:t>
      </w:r>
      <w:r w:rsidR="00BA77AD">
        <w:rPr>
          <w:rFonts w:cstheme="minorHAnsi"/>
        </w:rPr>
        <w:t>1</w:t>
      </w:r>
      <w:r w:rsidRPr="000435A2">
        <w:rPr>
          <w:rFonts w:cstheme="minorHAnsi"/>
        </w:rPr>
        <w:t xml:space="preserve"> option. </w:t>
      </w:r>
      <w:r w:rsidR="00BA77AD">
        <w:rPr>
          <w:rFonts w:cstheme="minorHAnsi"/>
        </w:rPr>
        <w:t>8</w:t>
      </w:r>
      <w:r w:rsidRPr="000435A2">
        <w:rPr>
          <w:rFonts w:cstheme="minorHAnsi"/>
        </w:rPr>
        <w:t xml:space="preserve"> respondents did not answer this question. </w:t>
      </w:r>
      <w:r w:rsidR="00BA77AD">
        <w:rPr>
          <w:rFonts w:cstheme="minorHAnsi"/>
        </w:rPr>
        <w:t>2</w:t>
      </w:r>
      <w:r w:rsidRPr="000435A2">
        <w:rPr>
          <w:rFonts w:cstheme="minorHAnsi"/>
        </w:rPr>
        <w:t xml:space="preserve"> respondents selected “Other” and specified “Nothing” or “NA.”</w:t>
      </w:r>
      <w:r w:rsidRPr="00145B8C">
        <w:rPr>
          <w:rFonts w:ascii="Times New Roman" w:hAnsi="Times New Roman" w:cs="Times New Roman"/>
        </w:rPr>
        <w:t xml:space="preserve"> </w:t>
      </w:r>
    </w:p>
  </w:footnote>
  <w:footnote w:id="89">
    <w:p w14:paraId="2D2FA418" w14:textId="77777777" w:rsidR="000435A2" w:rsidRPr="000435A2" w:rsidRDefault="000435A2" w:rsidP="000435A2">
      <w:pPr>
        <w:pStyle w:val="FootnoteText"/>
        <w:rPr>
          <w:rFonts w:cstheme="minorHAnsi"/>
        </w:rPr>
      </w:pPr>
      <w:r w:rsidRPr="000435A2">
        <w:rPr>
          <w:rStyle w:val="FootnoteReference"/>
          <w:rFonts w:cstheme="minorHAnsi"/>
        </w:rPr>
        <w:footnoteRef/>
      </w:r>
      <w:r w:rsidRPr="000435A2">
        <w:rPr>
          <w:rFonts w:cstheme="minorHAnsi"/>
        </w:rPr>
        <w:t xml:space="preserve"> Respondents were asked, “To what extent do you agree with the following statement? I understand which educational materials fall within the scope for NIMAS and which educational materials fall outside of the scope for NIMAS.” All respondents answered this question. None of the respondents selected “Strongly Disagree” or “Don’t Know.”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EAC2BB3E"/>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6060C5F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CA8981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B4E5EE8"/>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D3D63FA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BB7635E0"/>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89563722"/>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882ECBC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7D481A0"/>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1902BF9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B370179"/>
    <w:multiLevelType w:val="hybridMultilevel"/>
    <w:tmpl w:val="7E66905A"/>
    <w:lvl w:ilvl="0" w:tplc="3B36DE36">
      <w:start w:val="1"/>
      <w:numFmt w:val="bullet"/>
      <w:lvlText w:val=""/>
      <w:lvlJc w:val="left"/>
      <w:pPr>
        <w:ind w:left="720" w:hanging="360"/>
      </w:pPr>
      <w:rPr>
        <w:rFonts w:ascii="Webdings" w:hAnsi="Web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B26F44"/>
    <w:multiLevelType w:val="hybridMultilevel"/>
    <w:tmpl w:val="8D5A5B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8529AF"/>
    <w:multiLevelType w:val="hybridMultilevel"/>
    <w:tmpl w:val="A998DD98"/>
    <w:lvl w:ilvl="0" w:tplc="04090011">
      <w:start w:val="1"/>
      <w:numFmt w:val="decimal"/>
      <w:lvlText w:val="%1)"/>
      <w:lvlJc w:val="left"/>
      <w:pPr>
        <w:ind w:left="360" w:hanging="360"/>
      </w:pPr>
    </w:lvl>
    <w:lvl w:ilvl="1" w:tplc="04090019">
      <w:start w:val="1"/>
      <w:numFmt w:val="lowerLetter"/>
      <w:lvlText w:val="%2."/>
      <w:lvlJc w:val="left"/>
      <w:pPr>
        <w:ind w:left="90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6610E12"/>
    <w:multiLevelType w:val="hybridMultilevel"/>
    <w:tmpl w:val="0AAA615C"/>
    <w:lvl w:ilvl="0" w:tplc="1AD82BC8">
      <w:start w:val="66"/>
      <w:numFmt w:val="bullet"/>
      <w:lvlText w:val=""/>
      <w:lvlJc w:val="left"/>
      <w:pPr>
        <w:ind w:left="720"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F44678E"/>
    <w:multiLevelType w:val="hybridMultilevel"/>
    <w:tmpl w:val="A5982C20"/>
    <w:lvl w:ilvl="0" w:tplc="04090011">
      <w:start w:val="1"/>
      <w:numFmt w:val="decimal"/>
      <w:lvlText w:val="%1)"/>
      <w:lvlJc w:val="left"/>
      <w:pPr>
        <w:ind w:left="360" w:hanging="360"/>
      </w:pPr>
    </w:lvl>
    <w:lvl w:ilvl="1" w:tplc="53B80938">
      <w:start w:val="1"/>
      <w:numFmt w:val="lowerLetter"/>
      <w:lvlText w:val="%2."/>
      <w:lvlJc w:val="left"/>
      <w:pPr>
        <w:ind w:left="1080" w:hanging="360"/>
      </w:pPr>
      <w:rPr>
        <w:b w:val="0"/>
        <w:bCs w:val="0"/>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38C2118"/>
    <w:multiLevelType w:val="hybridMultilevel"/>
    <w:tmpl w:val="29E0F1F0"/>
    <w:lvl w:ilvl="0" w:tplc="04090011">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921282A"/>
    <w:multiLevelType w:val="hybridMultilevel"/>
    <w:tmpl w:val="3FA860C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F134E9C"/>
    <w:multiLevelType w:val="hybridMultilevel"/>
    <w:tmpl w:val="DDAE16B2"/>
    <w:lvl w:ilvl="0" w:tplc="1A9631AA">
      <w:start w:val="1"/>
      <w:numFmt w:val="decimal"/>
      <w:lvlText w:val="%1)"/>
      <w:lvlJc w:val="left"/>
      <w:pPr>
        <w:ind w:left="360" w:hanging="360"/>
      </w:pPr>
      <w:rPr>
        <w:b w:val="0"/>
        <w:bCs w:val="0"/>
      </w:rPr>
    </w:lvl>
    <w:lvl w:ilvl="1" w:tplc="04090019">
      <w:start w:val="1"/>
      <w:numFmt w:val="lowerLetter"/>
      <w:lvlText w:val="%2."/>
      <w:lvlJc w:val="left"/>
      <w:pPr>
        <w:ind w:left="81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5980188"/>
    <w:multiLevelType w:val="hybridMultilevel"/>
    <w:tmpl w:val="1CFEA7BE"/>
    <w:lvl w:ilvl="0" w:tplc="091CD196">
      <w:start w:val="66"/>
      <w:numFmt w:val="bullet"/>
      <w:lvlText w:val=""/>
      <w:lvlJc w:val="left"/>
      <w:pPr>
        <w:ind w:left="720"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EAE78EA"/>
    <w:multiLevelType w:val="hybridMultilevel"/>
    <w:tmpl w:val="1BBC6D1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0" w15:restartNumberingAfterBreak="0">
    <w:nsid w:val="67BF57B7"/>
    <w:multiLevelType w:val="hybridMultilevel"/>
    <w:tmpl w:val="7DAE164E"/>
    <w:lvl w:ilvl="0" w:tplc="3B36DE36">
      <w:start w:val="1"/>
      <w:numFmt w:val="bullet"/>
      <w:lvlText w:val=""/>
      <w:lvlJc w:val="left"/>
      <w:pPr>
        <w:ind w:left="720" w:hanging="360"/>
      </w:pPr>
      <w:rPr>
        <w:rFonts w:ascii="Webdings" w:hAnsi="Web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75732714">
    <w:abstractNumId w:val="17"/>
  </w:num>
  <w:num w:numId="2" w16cid:durableId="1096171256">
    <w:abstractNumId w:val="20"/>
  </w:num>
  <w:num w:numId="3" w16cid:durableId="1826630068">
    <w:abstractNumId w:val="10"/>
  </w:num>
  <w:num w:numId="4" w16cid:durableId="1068579561">
    <w:abstractNumId w:val="14"/>
  </w:num>
  <w:num w:numId="5" w16cid:durableId="1774470736">
    <w:abstractNumId w:val="11"/>
  </w:num>
  <w:num w:numId="6" w16cid:durableId="228347677">
    <w:abstractNumId w:val="15"/>
  </w:num>
  <w:num w:numId="7" w16cid:durableId="345256039">
    <w:abstractNumId w:val="12"/>
  </w:num>
  <w:num w:numId="8" w16cid:durableId="340015310">
    <w:abstractNumId w:val="18"/>
  </w:num>
  <w:num w:numId="9" w16cid:durableId="1729961335">
    <w:abstractNumId w:val="13"/>
  </w:num>
  <w:num w:numId="10" w16cid:durableId="1371346100">
    <w:abstractNumId w:val="19"/>
  </w:num>
  <w:num w:numId="11" w16cid:durableId="1729719581">
    <w:abstractNumId w:val="16"/>
  </w:num>
  <w:num w:numId="12" w16cid:durableId="1786382703">
    <w:abstractNumId w:val="9"/>
  </w:num>
  <w:num w:numId="13" w16cid:durableId="1186016610">
    <w:abstractNumId w:val="7"/>
  </w:num>
  <w:num w:numId="14" w16cid:durableId="1271550425">
    <w:abstractNumId w:val="6"/>
  </w:num>
  <w:num w:numId="15" w16cid:durableId="2059546338">
    <w:abstractNumId w:val="5"/>
  </w:num>
  <w:num w:numId="16" w16cid:durableId="1773471109">
    <w:abstractNumId w:val="4"/>
  </w:num>
  <w:num w:numId="17" w16cid:durableId="65035856">
    <w:abstractNumId w:val="8"/>
  </w:num>
  <w:num w:numId="18" w16cid:durableId="689650785">
    <w:abstractNumId w:val="3"/>
  </w:num>
  <w:num w:numId="19" w16cid:durableId="376248157">
    <w:abstractNumId w:val="2"/>
  </w:num>
  <w:num w:numId="20" w16cid:durableId="126514428">
    <w:abstractNumId w:val="1"/>
  </w:num>
  <w:num w:numId="21" w16cid:durableId="69088598">
    <w:abstractNumId w:val="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18D3"/>
    <w:rsid w:val="00000526"/>
    <w:rsid w:val="00000D2F"/>
    <w:rsid w:val="00001007"/>
    <w:rsid w:val="00001364"/>
    <w:rsid w:val="000015E3"/>
    <w:rsid w:val="000019E6"/>
    <w:rsid w:val="00001DB4"/>
    <w:rsid w:val="0000238A"/>
    <w:rsid w:val="000024DD"/>
    <w:rsid w:val="0000254B"/>
    <w:rsid w:val="00002A96"/>
    <w:rsid w:val="00002FEB"/>
    <w:rsid w:val="00004082"/>
    <w:rsid w:val="000040DF"/>
    <w:rsid w:val="00004650"/>
    <w:rsid w:val="0000499D"/>
    <w:rsid w:val="00004A22"/>
    <w:rsid w:val="00004BD9"/>
    <w:rsid w:val="0000579F"/>
    <w:rsid w:val="00005A2F"/>
    <w:rsid w:val="00005E8E"/>
    <w:rsid w:val="00006810"/>
    <w:rsid w:val="00006888"/>
    <w:rsid w:val="00006D03"/>
    <w:rsid w:val="0000779F"/>
    <w:rsid w:val="000077D3"/>
    <w:rsid w:val="0000796C"/>
    <w:rsid w:val="00007F3A"/>
    <w:rsid w:val="00007F78"/>
    <w:rsid w:val="0001032B"/>
    <w:rsid w:val="00010AD1"/>
    <w:rsid w:val="00010C92"/>
    <w:rsid w:val="000114A2"/>
    <w:rsid w:val="00012B18"/>
    <w:rsid w:val="0001366D"/>
    <w:rsid w:val="0001374D"/>
    <w:rsid w:val="00013E21"/>
    <w:rsid w:val="0001443A"/>
    <w:rsid w:val="000146B9"/>
    <w:rsid w:val="00014EFD"/>
    <w:rsid w:val="000150FF"/>
    <w:rsid w:val="00015106"/>
    <w:rsid w:val="00015E80"/>
    <w:rsid w:val="00016842"/>
    <w:rsid w:val="00016A7A"/>
    <w:rsid w:val="0001753B"/>
    <w:rsid w:val="00017548"/>
    <w:rsid w:val="000178EB"/>
    <w:rsid w:val="00017A4D"/>
    <w:rsid w:val="0002055A"/>
    <w:rsid w:val="00020B9A"/>
    <w:rsid w:val="00021325"/>
    <w:rsid w:val="00021E20"/>
    <w:rsid w:val="00022200"/>
    <w:rsid w:val="000227D2"/>
    <w:rsid w:val="0002509A"/>
    <w:rsid w:val="000265A0"/>
    <w:rsid w:val="000265EB"/>
    <w:rsid w:val="00026D1F"/>
    <w:rsid w:val="0002738A"/>
    <w:rsid w:val="000278C2"/>
    <w:rsid w:val="00027A18"/>
    <w:rsid w:val="0003003C"/>
    <w:rsid w:val="00030ABC"/>
    <w:rsid w:val="00030CC7"/>
    <w:rsid w:val="00030FA5"/>
    <w:rsid w:val="00031744"/>
    <w:rsid w:val="00031787"/>
    <w:rsid w:val="00031964"/>
    <w:rsid w:val="0003243C"/>
    <w:rsid w:val="000333AD"/>
    <w:rsid w:val="0003378D"/>
    <w:rsid w:val="00034B30"/>
    <w:rsid w:val="00034D71"/>
    <w:rsid w:val="00035D75"/>
    <w:rsid w:val="00036F08"/>
    <w:rsid w:val="000373C4"/>
    <w:rsid w:val="00037661"/>
    <w:rsid w:val="00037DED"/>
    <w:rsid w:val="00040218"/>
    <w:rsid w:val="00040652"/>
    <w:rsid w:val="00040E54"/>
    <w:rsid w:val="0004115E"/>
    <w:rsid w:val="00041954"/>
    <w:rsid w:val="000432A8"/>
    <w:rsid w:val="00043478"/>
    <w:rsid w:val="0004353F"/>
    <w:rsid w:val="000435A2"/>
    <w:rsid w:val="0004391B"/>
    <w:rsid w:val="00043A90"/>
    <w:rsid w:val="0004445C"/>
    <w:rsid w:val="00044B83"/>
    <w:rsid w:val="000457FB"/>
    <w:rsid w:val="000458DB"/>
    <w:rsid w:val="00045AF7"/>
    <w:rsid w:val="000464AA"/>
    <w:rsid w:val="00050978"/>
    <w:rsid w:val="0005150A"/>
    <w:rsid w:val="00052068"/>
    <w:rsid w:val="000520E5"/>
    <w:rsid w:val="000529D4"/>
    <w:rsid w:val="00052C7A"/>
    <w:rsid w:val="00052DA3"/>
    <w:rsid w:val="000531AA"/>
    <w:rsid w:val="000539DB"/>
    <w:rsid w:val="00054393"/>
    <w:rsid w:val="00054EE0"/>
    <w:rsid w:val="00055066"/>
    <w:rsid w:val="00055A22"/>
    <w:rsid w:val="000568DF"/>
    <w:rsid w:val="00056D71"/>
    <w:rsid w:val="00057509"/>
    <w:rsid w:val="000578EE"/>
    <w:rsid w:val="00057C5B"/>
    <w:rsid w:val="0006003E"/>
    <w:rsid w:val="0006036E"/>
    <w:rsid w:val="00060601"/>
    <w:rsid w:val="00060827"/>
    <w:rsid w:val="00060B59"/>
    <w:rsid w:val="00060DCB"/>
    <w:rsid w:val="00061D1A"/>
    <w:rsid w:val="000628AF"/>
    <w:rsid w:val="00062A5A"/>
    <w:rsid w:val="000631FB"/>
    <w:rsid w:val="0006348A"/>
    <w:rsid w:val="00063AEB"/>
    <w:rsid w:val="000642E0"/>
    <w:rsid w:val="000642FC"/>
    <w:rsid w:val="000647A5"/>
    <w:rsid w:val="000649F7"/>
    <w:rsid w:val="000651DB"/>
    <w:rsid w:val="00065392"/>
    <w:rsid w:val="00066787"/>
    <w:rsid w:val="000670B8"/>
    <w:rsid w:val="00067DBD"/>
    <w:rsid w:val="00070057"/>
    <w:rsid w:val="00070287"/>
    <w:rsid w:val="00070A56"/>
    <w:rsid w:val="00070E83"/>
    <w:rsid w:val="0007186B"/>
    <w:rsid w:val="000718B0"/>
    <w:rsid w:val="00072ADE"/>
    <w:rsid w:val="00072C8E"/>
    <w:rsid w:val="00072CDA"/>
    <w:rsid w:val="00073168"/>
    <w:rsid w:val="00073540"/>
    <w:rsid w:val="0007386C"/>
    <w:rsid w:val="00073E80"/>
    <w:rsid w:val="00074DA8"/>
    <w:rsid w:val="00074DB0"/>
    <w:rsid w:val="00074E48"/>
    <w:rsid w:val="00074FD5"/>
    <w:rsid w:val="000750FF"/>
    <w:rsid w:val="00075105"/>
    <w:rsid w:val="0007510B"/>
    <w:rsid w:val="0007596D"/>
    <w:rsid w:val="00076142"/>
    <w:rsid w:val="00076ACF"/>
    <w:rsid w:val="00077A63"/>
    <w:rsid w:val="00077F38"/>
    <w:rsid w:val="00080674"/>
    <w:rsid w:val="000808E5"/>
    <w:rsid w:val="00080A5F"/>
    <w:rsid w:val="00081309"/>
    <w:rsid w:val="00081F29"/>
    <w:rsid w:val="00082324"/>
    <w:rsid w:val="00082DE9"/>
    <w:rsid w:val="00082F08"/>
    <w:rsid w:val="00083B13"/>
    <w:rsid w:val="0008435B"/>
    <w:rsid w:val="000844C4"/>
    <w:rsid w:val="00084908"/>
    <w:rsid w:val="00085688"/>
    <w:rsid w:val="00085730"/>
    <w:rsid w:val="000860BC"/>
    <w:rsid w:val="00086F6E"/>
    <w:rsid w:val="000870A9"/>
    <w:rsid w:val="00087482"/>
    <w:rsid w:val="000875AF"/>
    <w:rsid w:val="0008769B"/>
    <w:rsid w:val="000877D9"/>
    <w:rsid w:val="00087949"/>
    <w:rsid w:val="00087E90"/>
    <w:rsid w:val="00090B06"/>
    <w:rsid w:val="00090B81"/>
    <w:rsid w:val="00090D25"/>
    <w:rsid w:val="00090E2F"/>
    <w:rsid w:val="000910B3"/>
    <w:rsid w:val="000911CF"/>
    <w:rsid w:val="00091741"/>
    <w:rsid w:val="00091DFA"/>
    <w:rsid w:val="000924D0"/>
    <w:rsid w:val="00092830"/>
    <w:rsid w:val="00092D96"/>
    <w:rsid w:val="00093328"/>
    <w:rsid w:val="00093EDF"/>
    <w:rsid w:val="00093FF3"/>
    <w:rsid w:val="00094582"/>
    <w:rsid w:val="000946A7"/>
    <w:rsid w:val="00094BA6"/>
    <w:rsid w:val="00094E6A"/>
    <w:rsid w:val="00095610"/>
    <w:rsid w:val="00095AB1"/>
    <w:rsid w:val="0009655B"/>
    <w:rsid w:val="00096900"/>
    <w:rsid w:val="0009720F"/>
    <w:rsid w:val="00097858"/>
    <w:rsid w:val="000A06D8"/>
    <w:rsid w:val="000A0E83"/>
    <w:rsid w:val="000A134F"/>
    <w:rsid w:val="000A142C"/>
    <w:rsid w:val="000A14EB"/>
    <w:rsid w:val="000A1A6E"/>
    <w:rsid w:val="000A2721"/>
    <w:rsid w:val="000A2C75"/>
    <w:rsid w:val="000A2E33"/>
    <w:rsid w:val="000A3DC0"/>
    <w:rsid w:val="000A3F1F"/>
    <w:rsid w:val="000A528C"/>
    <w:rsid w:val="000A55AA"/>
    <w:rsid w:val="000A55EC"/>
    <w:rsid w:val="000A5857"/>
    <w:rsid w:val="000A5AF9"/>
    <w:rsid w:val="000A65EA"/>
    <w:rsid w:val="000A6995"/>
    <w:rsid w:val="000A6F74"/>
    <w:rsid w:val="000A734C"/>
    <w:rsid w:val="000A73FC"/>
    <w:rsid w:val="000B1EC4"/>
    <w:rsid w:val="000B2F04"/>
    <w:rsid w:val="000B330D"/>
    <w:rsid w:val="000B3549"/>
    <w:rsid w:val="000B3BCC"/>
    <w:rsid w:val="000B3EC6"/>
    <w:rsid w:val="000B40EC"/>
    <w:rsid w:val="000B4121"/>
    <w:rsid w:val="000B421C"/>
    <w:rsid w:val="000B43B1"/>
    <w:rsid w:val="000B454C"/>
    <w:rsid w:val="000B460D"/>
    <w:rsid w:val="000B49E8"/>
    <w:rsid w:val="000B51EF"/>
    <w:rsid w:val="000B5D43"/>
    <w:rsid w:val="000B5DA7"/>
    <w:rsid w:val="000B6EA3"/>
    <w:rsid w:val="000B7658"/>
    <w:rsid w:val="000B7A1D"/>
    <w:rsid w:val="000B7B44"/>
    <w:rsid w:val="000C0976"/>
    <w:rsid w:val="000C0D19"/>
    <w:rsid w:val="000C0E79"/>
    <w:rsid w:val="000C0FDA"/>
    <w:rsid w:val="000C13A5"/>
    <w:rsid w:val="000C1667"/>
    <w:rsid w:val="000C2345"/>
    <w:rsid w:val="000C3E92"/>
    <w:rsid w:val="000C43B5"/>
    <w:rsid w:val="000C4EE6"/>
    <w:rsid w:val="000C50F1"/>
    <w:rsid w:val="000C5CC1"/>
    <w:rsid w:val="000C616E"/>
    <w:rsid w:val="000C6610"/>
    <w:rsid w:val="000C6637"/>
    <w:rsid w:val="000C6723"/>
    <w:rsid w:val="000C6D2C"/>
    <w:rsid w:val="000C70A9"/>
    <w:rsid w:val="000C72CF"/>
    <w:rsid w:val="000D0099"/>
    <w:rsid w:val="000D0102"/>
    <w:rsid w:val="000D0336"/>
    <w:rsid w:val="000D0A29"/>
    <w:rsid w:val="000D0AC5"/>
    <w:rsid w:val="000D17C9"/>
    <w:rsid w:val="000D2A34"/>
    <w:rsid w:val="000D2B36"/>
    <w:rsid w:val="000D3356"/>
    <w:rsid w:val="000D3871"/>
    <w:rsid w:val="000D4019"/>
    <w:rsid w:val="000D45D7"/>
    <w:rsid w:val="000D4CE8"/>
    <w:rsid w:val="000D59EB"/>
    <w:rsid w:val="000D5B80"/>
    <w:rsid w:val="000D604A"/>
    <w:rsid w:val="000D6067"/>
    <w:rsid w:val="000D6160"/>
    <w:rsid w:val="000D6835"/>
    <w:rsid w:val="000D6EDB"/>
    <w:rsid w:val="000D748D"/>
    <w:rsid w:val="000E0806"/>
    <w:rsid w:val="000E0D53"/>
    <w:rsid w:val="000E0DB5"/>
    <w:rsid w:val="000E124C"/>
    <w:rsid w:val="000E20DD"/>
    <w:rsid w:val="000E3346"/>
    <w:rsid w:val="000E3418"/>
    <w:rsid w:val="000E3697"/>
    <w:rsid w:val="000E36A0"/>
    <w:rsid w:val="000E4342"/>
    <w:rsid w:val="000E50B9"/>
    <w:rsid w:val="000E549F"/>
    <w:rsid w:val="000E55AF"/>
    <w:rsid w:val="000E5647"/>
    <w:rsid w:val="000E58E2"/>
    <w:rsid w:val="000E5C29"/>
    <w:rsid w:val="000E614B"/>
    <w:rsid w:val="000F0063"/>
    <w:rsid w:val="000F00F1"/>
    <w:rsid w:val="000F0557"/>
    <w:rsid w:val="000F07E1"/>
    <w:rsid w:val="000F093C"/>
    <w:rsid w:val="000F0FD8"/>
    <w:rsid w:val="000F1480"/>
    <w:rsid w:val="000F163D"/>
    <w:rsid w:val="000F201C"/>
    <w:rsid w:val="000F25C8"/>
    <w:rsid w:val="000F2613"/>
    <w:rsid w:val="000F2873"/>
    <w:rsid w:val="000F2CF9"/>
    <w:rsid w:val="000F2F53"/>
    <w:rsid w:val="000F30DD"/>
    <w:rsid w:val="000F341C"/>
    <w:rsid w:val="000F4A26"/>
    <w:rsid w:val="000F5DDB"/>
    <w:rsid w:val="000F6EFB"/>
    <w:rsid w:val="0010041B"/>
    <w:rsid w:val="001006D0"/>
    <w:rsid w:val="001007AE"/>
    <w:rsid w:val="00100D66"/>
    <w:rsid w:val="00101826"/>
    <w:rsid w:val="001018BF"/>
    <w:rsid w:val="001024A1"/>
    <w:rsid w:val="00102F09"/>
    <w:rsid w:val="00104A9E"/>
    <w:rsid w:val="001056EB"/>
    <w:rsid w:val="0010658F"/>
    <w:rsid w:val="001065A0"/>
    <w:rsid w:val="00106B79"/>
    <w:rsid w:val="001070C5"/>
    <w:rsid w:val="00107514"/>
    <w:rsid w:val="00107A4E"/>
    <w:rsid w:val="0011069B"/>
    <w:rsid w:val="001108FE"/>
    <w:rsid w:val="00110CA8"/>
    <w:rsid w:val="001113E2"/>
    <w:rsid w:val="0011179F"/>
    <w:rsid w:val="00112157"/>
    <w:rsid w:val="001134F7"/>
    <w:rsid w:val="00113674"/>
    <w:rsid w:val="00113C0F"/>
    <w:rsid w:val="00113F03"/>
    <w:rsid w:val="00114744"/>
    <w:rsid w:val="001151B0"/>
    <w:rsid w:val="0011642A"/>
    <w:rsid w:val="0011685D"/>
    <w:rsid w:val="0011690B"/>
    <w:rsid w:val="00116ECF"/>
    <w:rsid w:val="00117F70"/>
    <w:rsid w:val="00120167"/>
    <w:rsid w:val="00120654"/>
    <w:rsid w:val="00120AC7"/>
    <w:rsid w:val="00120FAA"/>
    <w:rsid w:val="00121641"/>
    <w:rsid w:val="001216BD"/>
    <w:rsid w:val="001223AF"/>
    <w:rsid w:val="001227AE"/>
    <w:rsid w:val="00122ADC"/>
    <w:rsid w:val="00123180"/>
    <w:rsid w:val="001235F3"/>
    <w:rsid w:val="0012391E"/>
    <w:rsid w:val="00123C6B"/>
    <w:rsid w:val="00124040"/>
    <w:rsid w:val="001240A5"/>
    <w:rsid w:val="00124853"/>
    <w:rsid w:val="00125A21"/>
    <w:rsid w:val="001264C0"/>
    <w:rsid w:val="00126841"/>
    <w:rsid w:val="00126A27"/>
    <w:rsid w:val="001277E5"/>
    <w:rsid w:val="00127A17"/>
    <w:rsid w:val="00127F32"/>
    <w:rsid w:val="00130799"/>
    <w:rsid w:val="0013112D"/>
    <w:rsid w:val="0013143F"/>
    <w:rsid w:val="00131762"/>
    <w:rsid w:val="001331E1"/>
    <w:rsid w:val="001346C1"/>
    <w:rsid w:val="00134F7F"/>
    <w:rsid w:val="0013579E"/>
    <w:rsid w:val="0013655A"/>
    <w:rsid w:val="001368C3"/>
    <w:rsid w:val="001369AA"/>
    <w:rsid w:val="0013701F"/>
    <w:rsid w:val="001377F5"/>
    <w:rsid w:val="001406A4"/>
    <w:rsid w:val="001407A4"/>
    <w:rsid w:val="00140ED5"/>
    <w:rsid w:val="001427F5"/>
    <w:rsid w:val="00143140"/>
    <w:rsid w:val="00143F9D"/>
    <w:rsid w:val="0014401B"/>
    <w:rsid w:val="001440E3"/>
    <w:rsid w:val="0014448D"/>
    <w:rsid w:val="00144A0F"/>
    <w:rsid w:val="00145913"/>
    <w:rsid w:val="00145AA4"/>
    <w:rsid w:val="0014637F"/>
    <w:rsid w:val="001465ED"/>
    <w:rsid w:val="00146BE7"/>
    <w:rsid w:val="00147C3E"/>
    <w:rsid w:val="001504F8"/>
    <w:rsid w:val="00150FF5"/>
    <w:rsid w:val="00151C25"/>
    <w:rsid w:val="00152B0D"/>
    <w:rsid w:val="00153018"/>
    <w:rsid w:val="00153AC6"/>
    <w:rsid w:val="00154979"/>
    <w:rsid w:val="001550B4"/>
    <w:rsid w:val="001551C1"/>
    <w:rsid w:val="00155286"/>
    <w:rsid w:val="0015598C"/>
    <w:rsid w:val="00156053"/>
    <w:rsid w:val="001560A9"/>
    <w:rsid w:val="00157706"/>
    <w:rsid w:val="0016050E"/>
    <w:rsid w:val="0016101A"/>
    <w:rsid w:val="00162008"/>
    <w:rsid w:val="0016277D"/>
    <w:rsid w:val="0016283F"/>
    <w:rsid w:val="0016299D"/>
    <w:rsid w:val="00163CAD"/>
    <w:rsid w:val="00164057"/>
    <w:rsid w:val="00164671"/>
    <w:rsid w:val="00164A78"/>
    <w:rsid w:val="00164E7B"/>
    <w:rsid w:val="00164FBF"/>
    <w:rsid w:val="001651B3"/>
    <w:rsid w:val="00165A6C"/>
    <w:rsid w:val="00165D4E"/>
    <w:rsid w:val="001664A6"/>
    <w:rsid w:val="00166A29"/>
    <w:rsid w:val="0016710E"/>
    <w:rsid w:val="001702C9"/>
    <w:rsid w:val="0017078D"/>
    <w:rsid w:val="0017111B"/>
    <w:rsid w:val="00171306"/>
    <w:rsid w:val="00171370"/>
    <w:rsid w:val="00171B63"/>
    <w:rsid w:val="00171DA5"/>
    <w:rsid w:val="00171EC7"/>
    <w:rsid w:val="001724D9"/>
    <w:rsid w:val="00172662"/>
    <w:rsid w:val="00173340"/>
    <w:rsid w:val="00173FEF"/>
    <w:rsid w:val="0017412C"/>
    <w:rsid w:val="0017440F"/>
    <w:rsid w:val="00174727"/>
    <w:rsid w:val="0017491B"/>
    <w:rsid w:val="00175040"/>
    <w:rsid w:val="001750B5"/>
    <w:rsid w:val="001755BF"/>
    <w:rsid w:val="00175D7B"/>
    <w:rsid w:val="00175DBA"/>
    <w:rsid w:val="00175DC5"/>
    <w:rsid w:val="00175E8F"/>
    <w:rsid w:val="001770A2"/>
    <w:rsid w:val="001773FD"/>
    <w:rsid w:val="00177887"/>
    <w:rsid w:val="00177916"/>
    <w:rsid w:val="00177C9B"/>
    <w:rsid w:val="00177D73"/>
    <w:rsid w:val="00177DC5"/>
    <w:rsid w:val="00180028"/>
    <w:rsid w:val="00181EF6"/>
    <w:rsid w:val="0018314B"/>
    <w:rsid w:val="001833E9"/>
    <w:rsid w:val="001834DD"/>
    <w:rsid w:val="001839BB"/>
    <w:rsid w:val="00183AB5"/>
    <w:rsid w:val="00183F13"/>
    <w:rsid w:val="001841A4"/>
    <w:rsid w:val="0018437B"/>
    <w:rsid w:val="0018469B"/>
    <w:rsid w:val="00184AFF"/>
    <w:rsid w:val="001850D6"/>
    <w:rsid w:val="00185522"/>
    <w:rsid w:val="001857B0"/>
    <w:rsid w:val="00186055"/>
    <w:rsid w:val="0018674D"/>
    <w:rsid w:val="00186A01"/>
    <w:rsid w:val="00186CB5"/>
    <w:rsid w:val="00186CFF"/>
    <w:rsid w:val="00186ED9"/>
    <w:rsid w:val="00187183"/>
    <w:rsid w:val="001874AA"/>
    <w:rsid w:val="001876EE"/>
    <w:rsid w:val="00190E35"/>
    <w:rsid w:val="0019117D"/>
    <w:rsid w:val="00191299"/>
    <w:rsid w:val="00191AF2"/>
    <w:rsid w:val="00191E10"/>
    <w:rsid w:val="00192346"/>
    <w:rsid w:val="0019315D"/>
    <w:rsid w:val="00193A9C"/>
    <w:rsid w:val="00193CF3"/>
    <w:rsid w:val="00193DCE"/>
    <w:rsid w:val="0019409A"/>
    <w:rsid w:val="00194414"/>
    <w:rsid w:val="00194A7F"/>
    <w:rsid w:val="00194EBD"/>
    <w:rsid w:val="00194FE0"/>
    <w:rsid w:val="001954CB"/>
    <w:rsid w:val="001964B9"/>
    <w:rsid w:val="00196C76"/>
    <w:rsid w:val="00196D75"/>
    <w:rsid w:val="00196E2E"/>
    <w:rsid w:val="001975A4"/>
    <w:rsid w:val="00197E2E"/>
    <w:rsid w:val="001A1347"/>
    <w:rsid w:val="001A1411"/>
    <w:rsid w:val="001A1519"/>
    <w:rsid w:val="001A1989"/>
    <w:rsid w:val="001A19FD"/>
    <w:rsid w:val="001A25E8"/>
    <w:rsid w:val="001A2CCC"/>
    <w:rsid w:val="001A2D17"/>
    <w:rsid w:val="001A2F4A"/>
    <w:rsid w:val="001A3485"/>
    <w:rsid w:val="001A35BE"/>
    <w:rsid w:val="001A3FBC"/>
    <w:rsid w:val="001A438C"/>
    <w:rsid w:val="001A556B"/>
    <w:rsid w:val="001A58D2"/>
    <w:rsid w:val="001A5BC3"/>
    <w:rsid w:val="001A5D09"/>
    <w:rsid w:val="001A5E28"/>
    <w:rsid w:val="001A6224"/>
    <w:rsid w:val="001A6515"/>
    <w:rsid w:val="001A6F35"/>
    <w:rsid w:val="001A6FFB"/>
    <w:rsid w:val="001A769F"/>
    <w:rsid w:val="001A7864"/>
    <w:rsid w:val="001B0945"/>
    <w:rsid w:val="001B0FED"/>
    <w:rsid w:val="001B10E0"/>
    <w:rsid w:val="001B1373"/>
    <w:rsid w:val="001B2370"/>
    <w:rsid w:val="001B2890"/>
    <w:rsid w:val="001B29EB"/>
    <w:rsid w:val="001B2A18"/>
    <w:rsid w:val="001B2A33"/>
    <w:rsid w:val="001B3022"/>
    <w:rsid w:val="001B332E"/>
    <w:rsid w:val="001B35BE"/>
    <w:rsid w:val="001B45DF"/>
    <w:rsid w:val="001B48EF"/>
    <w:rsid w:val="001B5961"/>
    <w:rsid w:val="001B5F73"/>
    <w:rsid w:val="001B6358"/>
    <w:rsid w:val="001B66BB"/>
    <w:rsid w:val="001B6E27"/>
    <w:rsid w:val="001B7A35"/>
    <w:rsid w:val="001C0017"/>
    <w:rsid w:val="001C0352"/>
    <w:rsid w:val="001C0842"/>
    <w:rsid w:val="001C1305"/>
    <w:rsid w:val="001C246D"/>
    <w:rsid w:val="001C2C18"/>
    <w:rsid w:val="001C3079"/>
    <w:rsid w:val="001C38A9"/>
    <w:rsid w:val="001C3A35"/>
    <w:rsid w:val="001C3CEF"/>
    <w:rsid w:val="001C3E10"/>
    <w:rsid w:val="001C4793"/>
    <w:rsid w:val="001C4ACC"/>
    <w:rsid w:val="001C4DBD"/>
    <w:rsid w:val="001C578E"/>
    <w:rsid w:val="001C6D85"/>
    <w:rsid w:val="001C6FBE"/>
    <w:rsid w:val="001C77D9"/>
    <w:rsid w:val="001C7B68"/>
    <w:rsid w:val="001D22CF"/>
    <w:rsid w:val="001D3BE1"/>
    <w:rsid w:val="001D4797"/>
    <w:rsid w:val="001D63D1"/>
    <w:rsid w:val="001D66B6"/>
    <w:rsid w:val="001D6A12"/>
    <w:rsid w:val="001D6F9E"/>
    <w:rsid w:val="001D7D47"/>
    <w:rsid w:val="001E0292"/>
    <w:rsid w:val="001E03CC"/>
    <w:rsid w:val="001E06C7"/>
    <w:rsid w:val="001E0738"/>
    <w:rsid w:val="001E12DF"/>
    <w:rsid w:val="001E1755"/>
    <w:rsid w:val="001E1BDA"/>
    <w:rsid w:val="001E1DB0"/>
    <w:rsid w:val="001E2274"/>
    <w:rsid w:val="001E2B03"/>
    <w:rsid w:val="001E2C27"/>
    <w:rsid w:val="001E2F98"/>
    <w:rsid w:val="001E320C"/>
    <w:rsid w:val="001E3A53"/>
    <w:rsid w:val="001E3AF7"/>
    <w:rsid w:val="001E3CD8"/>
    <w:rsid w:val="001E47DD"/>
    <w:rsid w:val="001E5500"/>
    <w:rsid w:val="001E550E"/>
    <w:rsid w:val="001E5632"/>
    <w:rsid w:val="001E5800"/>
    <w:rsid w:val="001E5930"/>
    <w:rsid w:val="001E6808"/>
    <w:rsid w:val="001E68F4"/>
    <w:rsid w:val="001E6F33"/>
    <w:rsid w:val="001E7014"/>
    <w:rsid w:val="001E7722"/>
    <w:rsid w:val="001E7A58"/>
    <w:rsid w:val="001E7DB2"/>
    <w:rsid w:val="001F08B0"/>
    <w:rsid w:val="001F12BD"/>
    <w:rsid w:val="001F12E9"/>
    <w:rsid w:val="001F1415"/>
    <w:rsid w:val="001F1744"/>
    <w:rsid w:val="001F2008"/>
    <w:rsid w:val="001F20B9"/>
    <w:rsid w:val="001F27FA"/>
    <w:rsid w:val="001F29D5"/>
    <w:rsid w:val="001F30AC"/>
    <w:rsid w:val="001F5B24"/>
    <w:rsid w:val="001F5CDC"/>
    <w:rsid w:val="001F63D2"/>
    <w:rsid w:val="001F6917"/>
    <w:rsid w:val="001F698B"/>
    <w:rsid w:val="001F754D"/>
    <w:rsid w:val="001F7892"/>
    <w:rsid w:val="001F7AED"/>
    <w:rsid w:val="001F7B00"/>
    <w:rsid w:val="001F7CCF"/>
    <w:rsid w:val="001F7F27"/>
    <w:rsid w:val="00200961"/>
    <w:rsid w:val="00200D29"/>
    <w:rsid w:val="002010BB"/>
    <w:rsid w:val="00201132"/>
    <w:rsid w:val="0020121D"/>
    <w:rsid w:val="00201E66"/>
    <w:rsid w:val="00201EDB"/>
    <w:rsid w:val="00201FF8"/>
    <w:rsid w:val="00202A87"/>
    <w:rsid w:val="00202D91"/>
    <w:rsid w:val="00203B72"/>
    <w:rsid w:val="00203EFF"/>
    <w:rsid w:val="00204864"/>
    <w:rsid w:val="0020587D"/>
    <w:rsid w:val="00205CA9"/>
    <w:rsid w:val="00206648"/>
    <w:rsid w:val="00206D35"/>
    <w:rsid w:val="002077A9"/>
    <w:rsid w:val="00207AD4"/>
    <w:rsid w:val="00207D7B"/>
    <w:rsid w:val="00210258"/>
    <w:rsid w:val="0021063F"/>
    <w:rsid w:val="00210D08"/>
    <w:rsid w:val="00210FAD"/>
    <w:rsid w:val="00211E32"/>
    <w:rsid w:val="002122CE"/>
    <w:rsid w:val="00212341"/>
    <w:rsid w:val="002127A0"/>
    <w:rsid w:val="002127A3"/>
    <w:rsid w:val="00212F7F"/>
    <w:rsid w:val="00213823"/>
    <w:rsid w:val="00213848"/>
    <w:rsid w:val="002138D5"/>
    <w:rsid w:val="0021451C"/>
    <w:rsid w:val="00214CB6"/>
    <w:rsid w:val="00215551"/>
    <w:rsid w:val="0021567B"/>
    <w:rsid w:val="002161F6"/>
    <w:rsid w:val="0021655F"/>
    <w:rsid w:val="0022003A"/>
    <w:rsid w:val="00220211"/>
    <w:rsid w:val="0022077F"/>
    <w:rsid w:val="00220BF5"/>
    <w:rsid w:val="00221486"/>
    <w:rsid w:val="0022154D"/>
    <w:rsid w:val="00221696"/>
    <w:rsid w:val="00222249"/>
    <w:rsid w:val="002229A2"/>
    <w:rsid w:val="00223067"/>
    <w:rsid w:val="00223F6D"/>
    <w:rsid w:val="002243CA"/>
    <w:rsid w:val="00225C27"/>
    <w:rsid w:val="0023032F"/>
    <w:rsid w:val="00230406"/>
    <w:rsid w:val="00231AAD"/>
    <w:rsid w:val="00231C98"/>
    <w:rsid w:val="0023206E"/>
    <w:rsid w:val="00232351"/>
    <w:rsid w:val="00232534"/>
    <w:rsid w:val="00232557"/>
    <w:rsid w:val="00233212"/>
    <w:rsid w:val="00233F89"/>
    <w:rsid w:val="00234AB6"/>
    <w:rsid w:val="00235D6A"/>
    <w:rsid w:val="00235EB8"/>
    <w:rsid w:val="00235F99"/>
    <w:rsid w:val="00236A0C"/>
    <w:rsid w:val="00236F09"/>
    <w:rsid w:val="00236FC9"/>
    <w:rsid w:val="002370E3"/>
    <w:rsid w:val="00240264"/>
    <w:rsid w:val="00241F47"/>
    <w:rsid w:val="00242408"/>
    <w:rsid w:val="00242557"/>
    <w:rsid w:val="00243896"/>
    <w:rsid w:val="00244159"/>
    <w:rsid w:val="002446B7"/>
    <w:rsid w:val="00247556"/>
    <w:rsid w:val="00247D97"/>
    <w:rsid w:val="00250539"/>
    <w:rsid w:val="00250CF3"/>
    <w:rsid w:val="00250D60"/>
    <w:rsid w:val="0025152F"/>
    <w:rsid w:val="00251745"/>
    <w:rsid w:val="00252850"/>
    <w:rsid w:val="00252C2E"/>
    <w:rsid w:val="00252DFB"/>
    <w:rsid w:val="00253B2A"/>
    <w:rsid w:val="00253B6D"/>
    <w:rsid w:val="00253C4A"/>
    <w:rsid w:val="00253F8B"/>
    <w:rsid w:val="0025404C"/>
    <w:rsid w:val="0025456E"/>
    <w:rsid w:val="00254963"/>
    <w:rsid w:val="00254DB1"/>
    <w:rsid w:val="00255A7D"/>
    <w:rsid w:val="00255BBE"/>
    <w:rsid w:val="00256745"/>
    <w:rsid w:val="002569BC"/>
    <w:rsid w:val="00256A1F"/>
    <w:rsid w:val="00256BFF"/>
    <w:rsid w:val="0025713B"/>
    <w:rsid w:val="002572A9"/>
    <w:rsid w:val="00257450"/>
    <w:rsid w:val="0025777B"/>
    <w:rsid w:val="00260277"/>
    <w:rsid w:val="002602C3"/>
    <w:rsid w:val="00261163"/>
    <w:rsid w:val="002616BA"/>
    <w:rsid w:val="00261A13"/>
    <w:rsid w:val="00261A53"/>
    <w:rsid w:val="00261B90"/>
    <w:rsid w:val="002622C3"/>
    <w:rsid w:val="002631B2"/>
    <w:rsid w:val="00263FD3"/>
    <w:rsid w:val="00264094"/>
    <w:rsid w:val="002649C8"/>
    <w:rsid w:val="0026592A"/>
    <w:rsid w:val="002661CD"/>
    <w:rsid w:val="00266F78"/>
    <w:rsid w:val="002670EF"/>
    <w:rsid w:val="002671A1"/>
    <w:rsid w:val="00270053"/>
    <w:rsid w:val="002707E5"/>
    <w:rsid w:val="002712E4"/>
    <w:rsid w:val="00271792"/>
    <w:rsid w:val="00271A52"/>
    <w:rsid w:val="00271D0F"/>
    <w:rsid w:val="00272882"/>
    <w:rsid w:val="00272E87"/>
    <w:rsid w:val="002730EF"/>
    <w:rsid w:val="00273967"/>
    <w:rsid w:val="00273AF1"/>
    <w:rsid w:val="002745F4"/>
    <w:rsid w:val="002758AE"/>
    <w:rsid w:val="00275F65"/>
    <w:rsid w:val="002760DB"/>
    <w:rsid w:val="0027646D"/>
    <w:rsid w:val="00276514"/>
    <w:rsid w:val="00276780"/>
    <w:rsid w:val="002767B9"/>
    <w:rsid w:val="00276E2B"/>
    <w:rsid w:val="00276EB7"/>
    <w:rsid w:val="0027781A"/>
    <w:rsid w:val="0028075E"/>
    <w:rsid w:val="00281516"/>
    <w:rsid w:val="00281C1C"/>
    <w:rsid w:val="00281EB7"/>
    <w:rsid w:val="00282934"/>
    <w:rsid w:val="00282AEF"/>
    <w:rsid w:val="00282BA0"/>
    <w:rsid w:val="002852F2"/>
    <w:rsid w:val="002854D9"/>
    <w:rsid w:val="00285622"/>
    <w:rsid w:val="00285AFF"/>
    <w:rsid w:val="00285D0B"/>
    <w:rsid w:val="002861E6"/>
    <w:rsid w:val="00286465"/>
    <w:rsid w:val="002872B1"/>
    <w:rsid w:val="0028741A"/>
    <w:rsid w:val="00287A37"/>
    <w:rsid w:val="00287DA6"/>
    <w:rsid w:val="00290114"/>
    <w:rsid w:val="002901D1"/>
    <w:rsid w:val="00290245"/>
    <w:rsid w:val="00290837"/>
    <w:rsid w:val="00290903"/>
    <w:rsid w:val="00290CD9"/>
    <w:rsid w:val="00290E68"/>
    <w:rsid w:val="0029142B"/>
    <w:rsid w:val="00291813"/>
    <w:rsid w:val="00291D3A"/>
    <w:rsid w:val="002923FD"/>
    <w:rsid w:val="0029261E"/>
    <w:rsid w:val="00293076"/>
    <w:rsid w:val="00293CE5"/>
    <w:rsid w:val="00293EAC"/>
    <w:rsid w:val="002941D8"/>
    <w:rsid w:val="00294C17"/>
    <w:rsid w:val="00295360"/>
    <w:rsid w:val="002957D8"/>
    <w:rsid w:val="00295A6C"/>
    <w:rsid w:val="00295B41"/>
    <w:rsid w:val="00295CDD"/>
    <w:rsid w:val="002963A7"/>
    <w:rsid w:val="00296C55"/>
    <w:rsid w:val="00297086"/>
    <w:rsid w:val="002976D1"/>
    <w:rsid w:val="00297C45"/>
    <w:rsid w:val="002A066A"/>
    <w:rsid w:val="002A0AFD"/>
    <w:rsid w:val="002A105E"/>
    <w:rsid w:val="002A215C"/>
    <w:rsid w:val="002A21DF"/>
    <w:rsid w:val="002A235F"/>
    <w:rsid w:val="002A2BE7"/>
    <w:rsid w:val="002A3499"/>
    <w:rsid w:val="002A397B"/>
    <w:rsid w:val="002A440D"/>
    <w:rsid w:val="002A44E7"/>
    <w:rsid w:val="002A4623"/>
    <w:rsid w:val="002A4862"/>
    <w:rsid w:val="002A48AD"/>
    <w:rsid w:val="002A4FC7"/>
    <w:rsid w:val="002A56B4"/>
    <w:rsid w:val="002A5EC8"/>
    <w:rsid w:val="002A71C9"/>
    <w:rsid w:val="002A7D29"/>
    <w:rsid w:val="002B0068"/>
    <w:rsid w:val="002B1187"/>
    <w:rsid w:val="002B121F"/>
    <w:rsid w:val="002B1273"/>
    <w:rsid w:val="002B1477"/>
    <w:rsid w:val="002B2289"/>
    <w:rsid w:val="002B2625"/>
    <w:rsid w:val="002B2AA1"/>
    <w:rsid w:val="002B2C3D"/>
    <w:rsid w:val="002B351D"/>
    <w:rsid w:val="002B3E36"/>
    <w:rsid w:val="002B3F66"/>
    <w:rsid w:val="002B411A"/>
    <w:rsid w:val="002B441A"/>
    <w:rsid w:val="002B4899"/>
    <w:rsid w:val="002B53DD"/>
    <w:rsid w:val="002B58BF"/>
    <w:rsid w:val="002B5E3E"/>
    <w:rsid w:val="002B63A2"/>
    <w:rsid w:val="002B6432"/>
    <w:rsid w:val="002B6AC6"/>
    <w:rsid w:val="002B72B8"/>
    <w:rsid w:val="002B7799"/>
    <w:rsid w:val="002B79AB"/>
    <w:rsid w:val="002C01C8"/>
    <w:rsid w:val="002C0276"/>
    <w:rsid w:val="002C0524"/>
    <w:rsid w:val="002C10A1"/>
    <w:rsid w:val="002C1146"/>
    <w:rsid w:val="002C1D1D"/>
    <w:rsid w:val="002C1D99"/>
    <w:rsid w:val="002C1F23"/>
    <w:rsid w:val="002C2870"/>
    <w:rsid w:val="002C28D6"/>
    <w:rsid w:val="002C2A25"/>
    <w:rsid w:val="002C2B4E"/>
    <w:rsid w:val="002C46D1"/>
    <w:rsid w:val="002C4953"/>
    <w:rsid w:val="002C49A1"/>
    <w:rsid w:val="002C4ACC"/>
    <w:rsid w:val="002C51CA"/>
    <w:rsid w:val="002C51E3"/>
    <w:rsid w:val="002C5C42"/>
    <w:rsid w:val="002C5E9A"/>
    <w:rsid w:val="002C6BE1"/>
    <w:rsid w:val="002C6DE3"/>
    <w:rsid w:val="002C7047"/>
    <w:rsid w:val="002C78C3"/>
    <w:rsid w:val="002C7A0B"/>
    <w:rsid w:val="002D0A98"/>
    <w:rsid w:val="002D0BBF"/>
    <w:rsid w:val="002D0DDA"/>
    <w:rsid w:val="002D1DC5"/>
    <w:rsid w:val="002D347D"/>
    <w:rsid w:val="002D3C4C"/>
    <w:rsid w:val="002D3CF9"/>
    <w:rsid w:val="002D40C7"/>
    <w:rsid w:val="002D47DD"/>
    <w:rsid w:val="002D4F6F"/>
    <w:rsid w:val="002D54DD"/>
    <w:rsid w:val="002D55C2"/>
    <w:rsid w:val="002D5A9D"/>
    <w:rsid w:val="002D5CA4"/>
    <w:rsid w:val="002D5F6E"/>
    <w:rsid w:val="002D6F4E"/>
    <w:rsid w:val="002D7540"/>
    <w:rsid w:val="002D7541"/>
    <w:rsid w:val="002D7ACD"/>
    <w:rsid w:val="002D7D92"/>
    <w:rsid w:val="002D7F57"/>
    <w:rsid w:val="002E0670"/>
    <w:rsid w:val="002E0851"/>
    <w:rsid w:val="002E13A5"/>
    <w:rsid w:val="002E1568"/>
    <w:rsid w:val="002E18C4"/>
    <w:rsid w:val="002E2051"/>
    <w:rsid w:val="002E2823"/>
    <w:rsid w:val="002E3290"/>
    <w:rsid w:val="002E33BA"/>
    <w:rsid w:val="002E349B"/>
    <w:rsid w:val="002E3ED3"/>
    <w:rsid w:val="002E4071"/>
    <w:rsid w:val="002E40BF"/>
    <w:rsid w:val="002E497E"/>
    <w:rsid w:val="002E4A9D"/>
    <w:rsid w:val="002E4EA9"/>
    <w:rsid w:val="002E500C"/>
    <w:rsid w:val="002E60A6"/>
    <w:rsid w:val="002E62B0"/>
    <w:rsid w:val="002E62D3"/>
    <w:rsid w:val="002E6F4C"/>
    <w:rsid w:val="002E6FAE"/>
    <w:rsid w:val="002E7042"/>
    <w:rsid w:val="002E76E2"/>
    <w:rsid w:val="002E7781"/>
    <w:rsid w:val="002E7FFE"/>
    <w:rsid w:val="002F052D"/>
    <w:rsid w:val="002F0579"/>
    <w:rsid w:val="002F0684"/>
    <w:rsid w:val="002F15D2"/>
    <w:rsid w:val="002F181E"/>
    <w:rsid w:val="002F1F98"/>
    <w:rsid w:val="002F21E5"/>
    <w:rsid w:val="002F2292"/>
    <w:rsid w:val="002F27EC"/>
    <w:rsid w:val="002F2C88"/>
    <w:rsid w:val="002F2D4C"/>
    <w:rsid w:val="002F305C"/>
    <w:rsid w:val="002F35C0"/>
    <w:rsid w:val="002F4268"/>
    <w:rsid w:val="002F4C35"/>
    <w:rsid w:val="002F50A4"/>
    <w:rsid w:val="002F54B2"/>
    <w:rsid w:val="002F6616"/>
    <w:rsid w:val="002F6B82"/>
    <w:rsid w:val="002F78C5"/>
    <w:rsid w:val="002F7933"/>
    <w:rsid w:val="002F7FC1"/>
    <w:rsid w:val="0030099F"/>
    <w:rsid w:val="003009F5"/>
    <w:rsid w:val="00300B6C"/>
    <w:rsid w:val="00302430"/>
    <w:rsid w:val="0030244F"/>
    <w:rsid w:val="00302B3E"/>
    <w:rsid w:val="003033E4"/>
    <w:rsid w:val="00303636"/>
    <w:rsid w:val="00304240"/>
    <w:rsid w:val="003044FA"/>
    <w:rsid w:val="003045FC"/>
    <w:rsid w:val="003046FA"/>
    <w:rsid w:val="003048D8"/>
    <w:rsid w:val="003049DE"/>
    <w:rsid w:val="0030545B"/>
    <w:rsid w:val="0030546A"/>
    <w:rsid w:val="00305AA1"/>
    <w:rsid w:val="00306111"/>
    <w:rsid w:val="003061DD"/>
    <w:rsid w:val="003066AB"/>
    <w:rsid w:val="0031001D"/>
    <w:rsid w:val="00310484"/>
    <w:rsid w:val="00310585"/>
    <w:rsid w:val="00310895"/>
    <w:rsid w:val="003108FA"/>
    <w:rsid w:val="00310CE0"/>
    <w:rsid w:val="003110C6"/>
    <w:rsid w:val="0031118D"/>
    <w:rsid w:val="003131B8"/>
    <w:rsid w:val="003134F0"/>
    <w:rsid w:val="003134FD"/>
    <w:rsid w:val="00313F3C"/>
    <w:rsid w:val="00314117"/>
    <w:rsid w:val="00314560"/>
    <w:rsid w:val="00314B13"/>
    <w:rsid w:val="0031500E"/>
    <w:rsid w:val="00315636"/>
    <w:rsid w:val="003156D8"/>
    <w:rsid w:val="00315AFC"/>
    <w:rsid w:val="00316561"/>
    <w:rsid w:val="003166B7"/>
    <w:rsid w:val="00316BE7"/>
    <w:rsid w:val="003171F4"/>
    <w:rsid w:val="0031727B"/>
    <w:rsid w:val="00317B7E"/>
    <w:rsid w:val="00317F31"/>
    <w:rsid w:val="00320266"/>
    <w:rsid w:val="00320569"/>
    <w:rsid w:val="00321137"/>
    <w:rsid w:val="003215A6"/>
    <w:rsid w:val="00321996"/>
    <w:rsid w:val="00322320"/>
    <w:rsid w:val="00322544"/>
    <w:rsid w:val="003225B8"/>
    <w:rsid w:val="00322917"/>
    <w:rsid w:val="00322BBB"/>
    <w:rsid w:val="00323201"/>
    <w:rsid w:val="00323C68"/>
    <w:rsid w:val="00323F4D"/>
    <w:rsid w:val="0032413C"/>
    <w:rsid w:val="003250C1"/>
    <w:rsid w:val="0032565E"/>
    <w:rsid w:val="00325B4F"/>
    <w:rsid w:val="00325CF5"/>
    <w:rsid w:val="00325FFD"/>
    <w:rsid w:val="00326015"/>
    <w:rsid w:val="003260C5"/>
    <w:rsid w:val="003262B6"/>
    <w:rsid w:val="00326CBE"/>
    <w:rsid w:val="003273E1"/>
    <w:rsid w:val="003305FC"/>
    <w:rsid w:val="00331F17"/>
    <w:rsid w:val="00332BBC"/>
    <w:rsid w:val="00332BCB"/>
    <w:rsid w:val="003331E5"/>
    <w:rsid w:val="003336F1"/>
    <w:rsid w:val="00333F88"/>
    <w:rsid w:val="00335412"/>
    <w:rsid w:val="003356A6"/>
    <w:rsid w:val="00335BC5"/>
    <w:rsid w:val="0033709A"/>
    <w:rsid w:val="0033750D"/>
    <w:rsid w:val="00337E2B"/>
    <w:rsid w:val="00341351"/>
    <w:rsid w:val="00341A73"/>
    <w:rsid w:val="00341DFB"/>
    <w:rsid w:val="00342CC2"/>
    <w:rsid w:val="0034314F"/>
    <w:rsid w:val="003447A0"/>
    <w:rsid w:val="003448C1"/>
    <w:rsid w:val="00344B14"/>
    <w:rsid w:val="003458B0"/>
    <w:rsid w:val="00345900"/>
    <w:rsid w:val="00345B46"/>
    <w:rsid w:val="0034693E"/>
    <w:rsid w:val="003469E3"/>
    <w:rsid w:val="00346ED8"/>
    <w:rsid w:val="00351477"/>
    <w:rsid w:val="00351646"/>
    <w:rsid w:val="00351BF3"/>
    <w:rsid w:val="00351D00"/>
    <w:rsid w:val="00351F00"/>
    <w:rsid w:val="0035212D"/>
    <w:rsid w:val="00352A1C"/>
    <w:rsid w:val="00352B0A"/>
    <w:rsid w:val="003530C8"/>
    <w:rsid w:val="00354CDF"/>
    <w:rsid w:val="00354D06"/>
    <w:rsid w:val="00354D67"/>
    <w:rsid w:val="00354F77"/>
    <w:rsid w:val="00355262"/>
    <w:rsid w:val="003552C1"/>
    <w:rsid w:val="00355EF1"/>
    <w:rsid w:val="003566C5"/>
    <w:rsid w:val="00356C2E"/>
    <w:rsid w:val="00356F60"/>
    <w:rsid w:val="00360199"/>
    <w:rsid w:val="003603C1"/>
    <w:rsid w:val="0036054E"/>
    <w:rsid w:val="003609A2"/>
    <w:rsid w:val="0036156F"/>
    <w:rsid w:val="003618CC"/>
    <w:rsid w:val="00361C29"/>
    <w:rsid w:val="00361DBA"/>
    <w:rsid w:val="00361E45"/>
    <w:rsid w:val="00361E8C"/>
    <w:rsid w:val="00362456"/>
    <w:rsid w:val="00362A79"/>
    <w:rsid w:val="00362B30"/>
    <w:rsid w:val="003637E8"/>
    <w:rsid w:val="003638CE"/>
    <w:rsid w:val="00364026"/>
    <w:rsid w:val="00364561"/>
    <w:rsid w:val="00364CDC"/>
    <w:rsid w:val="003652CB"/>
    <w:rsid w:val="00365AEF"/>
    <w:rsid w:val="0036638D"/>
    <w:rsid w:val="00367309"/>
    <w:rsid w:val="00367403"/>
    <w:rsid w:val="0036740D"/>
    <w:rsid w:val="00367752"/>
    <w:rsid w:val="00367ACD"/>
    <w:rsid w:val="00367DEC"/>
    <w:rsid w:val="00370748"/>
    <w:rsid w:val="00370A15"/>
    <w:rsid w:val="00370E65"/>
    <w:rsid w:val="00370FCF"/>
    <w:rsid w:val="003716AB"/>
    <w:rsid w:val="00372245"/>
    <w:rsid w:val="003726B6"/>
    <w:rsid w:val="0037318E"/>
    <w:rsid w:val="00373202"/>
    <w:rsid w:val="00374014"/>
    <w:rsid w:val="00374AFC"/>
    <w:rsid w:val="003751F5"/>
    <w:rsid w:val="003754E0"/>
    <w:rsid w:val="00375AE9"/>
    <w:rsid w:val="00375EBA"/>
    <w:rsid w:val="0037604E"/>
    <w:rsid w:val="003773AE"/>
    <w:rsid w:val="00377422"/>
    <w:rsid w:val="00377CC0"/>
    <w:rsid w:val="00377EDA"/>
    <w:rsid w:val="00377F77"/>
    <w:rsid w:val="00380177"/>
    <w:rsid w:val="0038050A"/>
    <w:rsid w:val="00380DB7"/>
    <w:rsid w:val="00381165"/>
    <w:rsid w:val="00381B01"/>
    <w:rsid w:val="00382780"/>
    <w:rsid w:val="00382C4E"/>
    <w:rsid w:val="0038385E"/>
    <w:rsid w:val="00383C4B"/>
    <w:rsid w:val="00383CB1"/>
    <w:rsid w:val="00383FB7"/>
    <w:rsid w:val="003841E0"/>
    <w:rsid w:val="0038438D"/>
    <w:rsid w:val="003843D5"/>
    <w:rsid w:val="00384459"/>
    <w:rsid w:val="003844BC"/>
    <w:rsid w:val="00384888"/>
    <w:rsid w:val="003848ED"/>
    <w:rsid w:val="00384A71"/>
    <w:rsid w:val="00386380"/>
    <w:rsid w:val="00386479"/>
    <w:rsid w:val="003866AE"/>
    <w:rsid w:val="00386703"/>
    <w:rsid w:val="0038742E"/>
    <w:rsid w:val="00387574"/>
    <w:rsid w:val="00387D9B"/>
    <w:rsid w:val="00387FC4"/>
    <w:rsid w:val="003909D8"/>
    <w:rsid w:val="00390B72"/>
    <w:rsid w:val="00391625"/>
    <w:rsid w:val="0039179B"/>
    <w:rsid w:val="003922BD"/>
    <w:rsid w:val="003929EF"/>
    <w:rsid w:val="0039303C"/>
    <w:rsid w:val="003933CE"/>
    <w:rsid w:val="003935EB"/>
    <w:rsid w:val="00393CE6"/>
    <w:rsid w:val="003943A6"/>
    <w:rsid w:val="00394A3A"/>
    <w:rsid w:val="00394D13"/>
    <w:rsid w:val="003955AA"/>
    <w:rsid w:val="00396676"/>
    <w:rsid w:val="00396E7B"/>
    <w:rsid w:val="003979DF"/>
    <w:rsid w:val="00397C3B"/>
    <w:rsid w:val="003A0111"/>
    <w:rsid w:val="003A0228"/>
    <w:rsid w:val="003A04A3"/>
    <w:rsid w:val="003A096D"/>
    <w:rsid w:val="003A0AFE"/>
    <w:rsid w:val="003A19EC"/>
    <w:rsid w:val="003A1E67"/>
    <w:rsid w:val="003A2221"/>
    <w:rsid w:val="003A2235"/>
    <w:rsid w:val="003A2371"/>
    <w:rsid w:val="003A23C0"/>
    <w:rsid w:val="003A2538"/>
    <w:rsid w:val="003A302F"/>
    <w:rsid w:val="003A37D1"/>
    <w:rsid w:val="003A3B23"/>
    <w:rsid w:val="003A3F28"/>
    <w:rsid w:val="003A3F78"/>
    <w:rsid w:val="003A565A"/>
    <w:rsid w:val="003A5D3E"/>
    <w:rsid w:val="003A5E66"/>
    <w:rsid w:val="003A63D1"/>
    <w:rsid w:val="003A6473"/>
    <w:rsid w:val="003A714B"/>
    <w:rsid w:val="003A759C"/>
    <w:rsid w:val="003A7CC1"/>
    <w:rsid w:val="003B0945"/>
    <w:rsid w:val="003B0B39"/>
    <w:rsid w:val="003B10C9"/>
    <w:rsid w:val="003B1D8F"/>
    <w:rsid w:val="003B207F"/>
    <w:rsid w:val="003B22A1"/>
    <w:rsid w:val="003B2587"/>
    <w:rsid w:val="003B25F6"/>
    <w:rsid w:val="003B29BB"/>
    <w:rsid w:val="003B2B49"/>
    <w:rsid w:val="003B2C16"/>
    <w:rsid w:val="003B3137"/>
    <w:rsid w:val="003B31BE"/>
    <w:rsid w:val="003B354E"/>
    <w:rsid w:val="003B3AD3"/>
    <w:rsid w:val="003B3BCA"/>
    <w:rsid w:val="003B4067"/>
    <w:rsid w:val="003B4F92"/>
    <w:rsid w:val="003B5309"/>
    <w:rsid w:val="003B592B"/>
    <w:rsid w:val="003B60C2"/>
    <w:rsid w:val="003B6AB6"/>
    <w:rsid w:val="003B6F6D"/>
    <w:rsid w:val="003B7656"/>
    <w:rsid w:val="003B7A54"/>
    <w:rsid w:val="003C0279"/>
    <w:rsid w:val="003C030C"/>
    <w:rsid w:val="003C0350"/>
    <w:rsid w:val="003C0927"/>
    <w:rsid w:val="003C099D"/>
    <w:rsid w:val="003C0C97"/>
    <w:rsid w:val="003C1368"/>
    <w:rsid w:val="003C14D5"/>
    <w:rsid w:val="003C20B4"/>
    <w:rsid w:val="003C3B23"/>
    <w:rsid w:val="003C3B5E"/>
    <w:rsid w:val="003C5A1D"/>
    <w:rsid w:val="003C5F87"/>
    <w:rsid w:val="003C6312"/>
    <w:rsid w:val="003C6811"/>
    <w:rsid w:val="003C7B4B"/>
    <w:rsid w:val="003C7C11"/>
    <w:rsid w:val="003C7C8F"/>
    <w:rsid w:val="003D00EF"/>
    <w:rsid w:val="003D0633"/>
    <w:rsid w:val="003D09A0"/>
    <w:rsid w:val="003D0B6B"/>
    <w:rsid w:val="003D0E8C"/>
    <w:rsid w:val="003D1214"/>
    <w:rsid w:val="003D134D"/>
    <w:rsid w:val="003D1AFA"/>
    <w:rsid w:val="003D2A04"/>
    <w:rsid w:val="003D2D8B"/>
    <w:rsid w:val="003D332F"/>
    <w:rsid w:val="003D34FB"/>
    <w:rsid w:val="003D41A7"/>
    <w:rsid w:val="003D48CC"/>
    <w:rsid w:val="003D4D9F"/>
    <w:rsid w:val="003D5018"/>
    <w:rsid w:val="003D5258"/>
    <w:rsid w:val="003D5D03"/>
    <w:rsid w:val="003D5DE5"/>
    <w:rsid w:val="003D659A"/>
    <w:rsid w:val="003D70CA"/>
    <w:rsid w:val="003D722E"/>
    <w:rsid w:val="003D7AF2"/>
    <w:rsid w:val="003D7CE1"/>
    <w:rsid w:val="003E03EF"/>
    <w:rsid w:val="003E0422"/>
    <w:rsid w:val="003E0956"/>
    <w:rsid w:val="003E0ABD"/>
    <w:rsid w:val="003E0F7C"/>
    <w:rsid w:val="003E1186"/>
    <w:rsid w:val="003E1310"/>
    <w:rsid w:val="003E191B"/>
    <w:rsid w:val="003E25A3"/>
    <w:rsid w:val="003E2ABE"/>
    <w:rsid w:val="003E2F80"/>
    <w:rsid w:val="003E45DC"/>
    <w:rsid w:val="003E485B"/>
    <w:rsid w:val="003E4A22"/>
    <w:rsid w:val="003E6171"/>
    <w:rsid w:val="003E61F4"/>
    <w:rsid w:val="003E6343"/>
    <w:rsid w:val="003E6A45"/>
    <w:rsid w:val="003E6AB1"/>
    <w:rsid w:val="003E7069"/>
    <w:rsid w:val="003F0075"/>
    <w:rsid w:val="003F0273"/>
    <w:rsid w:val="003F0524"/>
    <w:rsid w:val="003F07F8"/>
    <w:rsid w:val="003F178C"/>
    <w:rsid w:val="003F1798"/>
    <w:rsid w:val="003F230D"/>
    <w:rsid w:val="003F292F"/>
    <w:rsid w:val="003F3761"/>
    <w:rsid w:val="003F3D51"/>
    <w:rsid w:val="003F51C6"/>
    <w:rsid w:val="003F5206"/>
    <w:rsid w:val="003F59AA"/>
    <w:rsid w:val="003F5C16"/>
    <w:rsid w:val="003F5C78"/>
    <w:rsid w:val="003F62BB"/>
    <w:rsid w:val="003F6DEE"/>
    <w:rsid w:val="003F6EE4"/>
    <w:rsid w:val="003F6F6B"/>
    <w:rsid w:val="003F77DF"/>
    <w:rsid w:val="003F7AB7"/>
    <w:rsid w:val="003F7E84"/>
    <w:rsid w:val="00400B9E"/>
    <w:rsid w:val="00400D28"/>
    <w:rsid w:val="00400DCA"/>
    <w:rsid w:val="0040153C"/>
    <w:rsid w:val="004020D7"/>
    <w:rsid w:val="004023F1"/>
    <w:rsid w:val="0040283F"/>
    <w:rsid w:val="00403352"/>
    <w:rsid w:val="004044AD"/>
    <w:rsid w:val="004045A1"/>
    <w:rsid w:val="00404E31"/>
    <w:rsid w:val="00405021"/>
    <w:rsid w:val="00405111"/>
    <w:rsid w:val="00405215"/>
    <w:rsid w:val="00405F8A"/>
    <w:rsid w:val="00407CAA"/>
    <w:rsid w:val="00407D59"/>
    <w:rsid w:val="00410769"/>
    <w:rsid w:val="00410E64"/>
    <w:rsid w:val="00411309"/>
    <w:rsid w:val="00411723"/>
    <w:rsid w:val="00411BFD"/>
    <w:rsid w:val="00412832"/>
    <w:rsid w:val="00412B80"/>
    <w:rsid w:val="00412CAD"/>
    <w:rsid w:val="00412D6A"/>
    <w:rsid w:val="00412F54"/>
    <w:rsid w:val="00412FB8"/>
    <w:rsid w:val="004135BC"/>
    <w:rsid w:val="00413753"/>
    <w:rsid w:val="004139DF"/>
    <w:rsid w:val="0041436D"/>
    <w:rsid w:val="00414C55"/>
    <w:rsid w:val="00414FE6"/>
    <w:rsid w:val="00415358"/>
    <w:rsid w:val="004159A3"/>
    <w:rsid w:val="00415DEC"/>
    <w:rsid w:val="0041603B"/>
    <w:rsid w:val="0041642D"/>
    <w:rsid w:val="00416603"/>
    <w:rsid w:val="00416757"/>
    <w:rsid w:val="00416BC3"/>
    <w:rsid w:val="0041715B"/>
    <w:rsid w:val="00421483"/>
    <w:rsid w:val="004217A1"/>
    <w:rsid w:val="00421BA3"/>
    <w:rsid w:val="00421BF6"/>
    <w:rsid w:val="00421F88"/>
    <w:rsid w:val="00422043"/>
    <w:rsid w:val="00422361"/>
    <w:rsid w:val="004225A5"/>
    <w:rsid w:val="00422783"/>
    <w:rsid w:val="004234F4"/>
    <w:rsid w:val="00423551"/>
    <w:rsid w:val="004236CA"/>
    <w:rsid w:val="0042403D"/>
    <w:rsid w:val="00424341"/>
    <w:rsid w:val="004245C7"/>
    <w:rsid w:val="00424814"/>
    <w:rsid w:val="00424ED7"/>
    <w:rsid w:val="004258E5"/>
    <w:rsid w:val="00425CF4"/>
    <w:rsid w:val="00425F79"/>
    <w:rsid w:val="00426345"/>
    <w:rsid w:val="004268A3"/>
    <w:rsid w:val="00427196"/>
    <w:rsid w:val="0042773A"/>
    <w:rsid w:val="00427E5D"/>
    <w:rsid w:val="00427F74"/>
    <w:rsid w:val="00430636"/>
    <w:rsid w:val="00430986"/>
    <w:rsid w:val="0043349D"/>
    <w:rsid w:val="004347AF"/>
    <w:rsid w:val="00434931"/>
    <w:rsid w:val="00434BC1"/>
    <w:rsid w:val="0043583E"/>
    <w:rsid w:val="00435E9A"/>
    <w:rsid w:val="004360AB"/>
    <w:rsid w:val="00436458"/>
    <w:rsid w:val="00436BB7"/>
    <w:rsid w:val="004377A6"/>
    <w:rsid w:val="00440189"/>
    <w:rsid w:val="004408E0"/>
    <w:rsid w:val="00440E99"/>
    <w:rsid w:val="004420C4"/>
    <w:rsid w:val="004421AE"/>
    <w:rsid w:val="00442324"/>
    <w:rsid w:val="00442C19"/>
    <w:rsid w:val="00442C67"/>
    <w:rsid w:val="004430DB"/>
    <w:rsid w:val="00444683"/>
    <w:rsid w:val="00444733"/>
    <w:rsid w:val="00444A96"/>
    <w:rsid w:val="00444B79"/>
    <w:rsid w:val="00445116"/>
    <w:rsid w:val="00445406"/>
    <w:rsid w:val="00445708"/>
    <w:rsid w:val="0044578F"/>
    <w:rsid w:val="0044608B"/>
    <w:rsid w:val="004460E3"/>
    <w:rsid w:val="00446129"/>
    <w:rsid w:val="004461F7"/>
    <w:rsid w:val="0044626A"/>
    <w:rsid w:val="004475CA"/>
    <w:rsid w:val="00447B57"/>
    <w:rsid w:val="0045132E"/>
    <w:rsid w:val="00451BA7"/>
    <w:rsid w:val="00451F9F"/>
    <w:rsid w:val="0045207F"/>
    <w:rsid w:val="004524FD"/>
    <w:rsid w:val="00452B53"/>
    <w:rsid w:val="00452E28"/>
    <w:rsid w:val="00452F39"/>
    <w:rsid w:val="00453287"/>
    <w:rsid w:val="00454B11"/>
    <w:rsid w:val="00454F94"/>
    <w:rsid w:val="0045508C"/>
    <w:rsid w:val="0045509D"/>
    <w:rsid w:val="00455428"/>
    <w:rsid w:val="00455B80"/>
    <w:rsid w:val="004570E3"/>
    <w:rsid w:val="00457139"/>
    <w:rsid w:val="004574B5"/>
    <w:rsid w:val="00457B78"/>
    <w:rsid w:val="004602D2"/>
    <w:rsid w:val="00460454"/>
    <w:rsid w:val="004608EC"/>
    <w:rsid w:val="004610DD"/>
    <w:rsid w:val="0046149A"/>
    <w:rsid w:val="00462898"/>
    <w:rsid w:val="00463367"/>
    <w:rsid w:val="00463D0E"/>
    <w:rsid w:val="00463E81"/>
    <w:rsid w:val="0046416C"/>
    <w:rsid w:val="00464269"/>
    <w:rsid w:val="004643C3"/>
    <w:rsid w:val="00464D96"/>
    <w:rsid w:val="00464E03"/>
    <w:rsid w:val="0046512F"/>
    <w:rsid w:val="00466501"/>
    <w:rsid w:val="00466623"/>
    <w:rsid w:val="004668F3"/>
    <w:rsid w:val="00466957"/>
    <w:rsid w:val="004669C3"/>
    <w:rsid w:val="004670C1"/>
    <w:rsid w:val="00467368"/>
    <w:rsid w:val="004678D5"/>
    <w:rsid w:val="00470648"/>
    <w:rsid w:val="0047121A"/>
    <w:rsid w:val="004716B3"/>
    <w:rsid w:val="00472576"/>
    <w:rsid w:val="00472623"/>
    <w:rsid w:val="00472C6B"/>
    <w:rsid w:val="00472EA4"/>
    <w:rsid w:val="00473086"/>
    <w:rsid w:val="0047389A"/>
    <w:rsid w:val="00475055"/>
    <w:rsid w:val="00475353"/>
    <w:rsid w:val="004756D7"/>
    <w:rsid w:val="00475A16"/>
    <w:rsid w:val="00475C80"/>
    <w:rsid w:val="00476034"/>
    <w:rsid w:val="00476961"/>
    <w:rsid w:val="004770CF"/>
    <w:rsid w:val="0047774C"/>
    <w:rsid w:val="004815D8"/>
    <w:rsid w:val="00481B93"/>
    <w:rsid w:val="0048208A"/>
    <w:rsid w:val="0048249E"/>
    <w:rsid w:val="00482904"/>
    <w:rsid w:val="0048367D"/>
    <w:rsid w:val="00483A63"/>
    <w:rsid w:val="00483F69"/>
    <w:rsid w:val="0048434A"/>
    <w:rsid w:val="00485F1A"/>
    <w:rsid w:val="00486953"/>
    <w:rsid w:val="004869FE"/>
    <w:rsid w:val="00486AC0"/>
    <w:rsid w:val="00486EB2"/>
    <w:rsid w:val="0048752C"/>
    <w:rsid w:val="004877B9"/>
    <w:rsid w:val="004878F2"/>
    <w:rsid w:val="00490177"/>
    <w:rsid w:val="00490FC8"/>
    <w:rsid w:val="00491932"/>
    <w:rsid w:val="0049214C"/>
    <w:rsid w:val="0049294B"/>
    <w:rsid w:val="00492BFE"/>
    <w:rsid w:val="0049335C"/>
    <w:rsid w:val="004935BF"/>
    <w:rsid w:val="004946C3"/>
    <w:rsid w:val="004947DD"/>
    <w:rsid w:val="00494B3B"/>
    <w:rsid w:val="00495317"/>
    <w:rsid w:val="004958ED"/>
    <w:rsid w:val="00495BAE"/>
    <w:rsid w:val="00496054"/>
    <w:rsid w:val="00496B43"/>
    <w:rsid w:val="00496BE9"/>
    <w:rsid w:val="004A03DA"/>
    <w:rsid w:val="004A0B0A"/>
    <w:rsid w:val="004A137A"/>
    <w:rsid w:val="004A156C"/>
    <w:rsid w:val="004A1649"/>
    <w:rsid w:val="004A1C50"/>
    <w:rsid w:val="004A32A1"/>
    <w:rsid w:val="004A54A7"/>
    <w:rsid w:val="004A74FE"/>
    <w:rsid w:val="004A763A"/>
    <w:rsid w:val="004B054A"/>
    <w:rsid w:val="004B0AE3"/>
    <w:rsid w:val="004B0B75"/>
    <w:rsid w:val="004B202F"/>
    <w:rsid w:val="004B2822"/>
    <w:rsid w:val="004B2B83"/>
    <w:rsid w:val="004B2EC7"/>
    <w:rsid w:val="004B38FE"/>
    <w:rsid w:val="004B3BC9"/>
    <w:rsid w:val="004B3D87"/>
    <w:rsid w:val="004B3FF9"/>
    <w:rsid w:val="004B401C"/>
    <w:rsid w:val="004B44D8"/>
    <w:rsid w:val="004B4549"/>
    <w:rsid w:val="004B4C7E"/>
    <w:rsid w:val="004B4CC4"/>
    <w:rsid w:val="004B5D82"/>
    <w:rsid w:val="004B65C8"/>
    <w:rsid w:val="004B688E"/>
    <w:rsid w:val="004B7166"/>
    <w:rsid w:val="004B75A9"/>
    <w:rsid w:val="004B78B8"/>
    <w:rsid w:val="004C1B64"/>
    <w:rsid w:val="004C1D50"/>
    <w:rsid w:val="004C1E8D"/>
    <w:rsid w:val="004C20B7"/>
    <w:rsid w:val="004C2470"/>
    <w:rsid w:val="004C249D"/>
    <w:rsid w:val="004C24D7"/>
    <w:rsid w:val="004C25EE"/>
    <w:rsid w:val="004C2D65"/>
    <w:rsid w:val="004C2F81"/>
    <w:rsid w:val="004C3270"/>
    <w:rsid w:val="004C33DC"/>
    <w:rsid w:val="004C363F"/>
    <w:rsid w:val="004C399E"/>
    <w:rsid w:val="004C3EF0"/>
    <w:rsid w:val="004C4966"/>
    <w:rsid w:val="004C49E9"/>
    <w:rsid w:val="004C5199"/>
    <w:rsid w:val="004C5A55"/>
    <w:rsid w:val="004C5D8D"/>
    <w:rsid w:val="004C6244"/>
    <w:rsid w:val="004C62C6"/>
    <w:rsid w:val="004C640C"/>
    <w:rsid w:val="004C6F7F"/>
    <w:rsid w:val="004C742C"/>
    <w:rsid w:val="004C7E6F"/>
    <w:rsid w:val="004D0445"/>
    <w:rsid w:val="004D0A4D"/>
    <w:rsid w:val="004D2667"/>
    <w:rsid w:val="004D3269"/>
    <w:rsid w:val="004D364F"/>
    <w:rsid w:val="004D3D32"/>
    <w:rsid w:val="004D3E1A"/>
    <w:rsid w:val="004D56DC"/>
    <w:rsid w:val="004D58D6"/>
    <w:rsid w:val="004D72BD"/>
    <w:rsid w:val="004D7EE9"/>
    <w:rsid w:val="004E07F1"/>
    <w:rsid w:val="004E0A77"/>
    <w:rsid w:val="004E0F17"/>
    <w:rsid w:val="004E11E3"/>
    <w:rsid w:val="004E1672"/>
    <w:rsid w:val="004E225F"/>
    <w:rsid w:val="004E2779"/>
    <w:rsid w:val="004E3388"/>
    <w:rsid w:val="004E388F"/>
    <w:rsid w:val="004E3AB5"/>
    <w:rsid w:val="004E3ACA"/>
    <w:rsid w:val="004E3E56"/>
    <w:rsid w:val="004E42ED"/>
    <w:rsid w:val="004E453C"/>
    <w:rsid w:val="004E49B3"/>
    <w:rsid w:val="004E530A"/>
    <w:rsid w:val="004E5389"/>
    <w:rsid w:val="004E53A6"/>
    <w:rsid w:val="004E5E11"/>
    <w:rsid w:val="004E6716"/>
    <w:rsid w:val="004F0B53"/>
    <w:rsid w:val="004F0E4C"/>
    <w:rsid w:val="004F1067"/>
    <w:rsid w:val="004F11AA"/>
    <w:rsid w:val="004F16A3"/>
    <w:rsid w:val="004F19AE"/>
    <w:rsid w:val="004F1AC2"/>
    <w:rsid w:val="004F25FA"/>
    <w:rsid w:val="004F2C01"/>
    <w:rsid w:val="004F2C3B"/>
    <w:rsid w:val="004F356C"/>
    <w:rsid w:val="004F3755"/>
    <w:rsid w:val="004F3B95"/>
    <w:rsid w:val="004F3C62"/>
    <w:rsid w:val="004F4E74"/>
    <w:rsid w:val="004F5807"/>
    <w:rsid w:val="004F5A3C"/>
    <w:rsid w:val="004F5BFE"/>
    <w:rsid w:val="004F5CCF"/>
    <w:rsid w:val="004F6301"/>
    <w:rsid w:val="004F68AE"/>
    <w:rsid w:val="004F6999"/>
    <w:rsid w:val="004F7040"/>
    <w:rsid w:val="005004AE"/>
    <w:rsid w:val="0050050B"/>
    <w:rsid w:val="00500855"/>
    <w:rsid w:val="00500AC2"/>
    <w:rsid w:val="00502502"/>
    <w:rsid w:val="005025A4"/>
    <w:rsid w:val="005029E5"/>
    <w:rsid w:val="00502D06"/>
    <w:rsid w:val="00502EF7"/>
    <w:rsid w:val="00503833"/>
    <w:rsid w:val="00504BC8"/>
    <w:rsid w:val="00505994"/>
    <w:rsid w:val="00506B8A"/>
    <w:rsid w:val="00506F5A"/>
    <w:rsid w:val="00507830"/>
    <w:rsid w:val="00507A58"/>
    <w:rsid w:val="00507B0C"/>
    <w:rsid w:val="00507DD7"/>
    <w:rsid w:val="00507E24"/>
    <w:rsid w:val="005104D9"/>
    <w:rsid w:val="00510630"/>
    <w:rsid w:val="00510739"/>
    <w:rsid w:val="00510D2C"/>
    <w:rsid w:val="00510D92"/>
    <w:rsid w:val="00511515"/>
    <w:rsid w:val="00511589"/>
    <w:rsid w:val="00511594"/>
    <w:rsid w:val="00511597"/>
    <w:rsid w:val="005118E9"/>
    <w:rsid w:val="00511ABB"/>
    <w:rsid w:val="0051203E"/>
    <w:rsid w:val="0051245A"/>
    <w:rsid w:val="005125CF"/>
    <w:rsid w:val="0051277E"/>
    <w:rsid w:val="005129C2"/>
    <w:rsid w:val="00512FA7"/>
    <w:rsid w:val="00513963"/>
    <w:rsid w:val="00513BA8"/>
    <w:rsid w:val="0051434B"/>
    <w:rsid w:val="00514479"/>
    <w:rsid w:val="0051470A"/>
    <w:rsid w:val="0051693B"/>
    <w:rsid w:val="00516B4D"/>
    <w:rsid w:val="00516E01"/>
    <w:rsid w:val="005176DD"/>
    <w:rsid w:val="0052006E"/>
    <w:rsid w:val="005200C3"/>
    <w:rsid w:val="00521A9D"/>
    <w:rsid w:val="00521D03"/>
    <w:rsid w:val="00521F3F"/>
    <w:rsid w:val="00522C5A"/>
    <w:rsid w:val="00522D80"/>
    <w:rsid w:val="00523389"/>
    <w:rsid w:val="005236EC"/>
    <w:rsid w:val="005245AA"/>
    <w:rsid w:val="00524731"/>
    <w:rsid w:val="0052497E"/>
    <w:rsid w:val="00524CF2"/>
    <w:rsid w:val="0052506D"/>
    <w:rsid w:val="00525691"/>
    <w:rsid w:val="00525BF1"/>
    <w:rsid w:val="00526834"/>
    <w:rsid w:val="0052696B"/>
    <w:rsid w:val="005269A5"/>
    <w:rsid w:val="00526A23"/>
    <w:rsid w:val="00526AC7"/>
    <w:rsid w:val="00526AE9"/>
    <w:rsid w:val="00526C76"/>
    <w:rsid w:val="00526D7D"/>
    <w:rsid w:val="00526FE4"/>
    <w:rsid w:val="00527234"/>
    <w:rsid w:val="00527DB4"/>
    <w:rsid w:val="00530560"/>
    <w:rsid w:val="0053078B"/>
    <w:rsid w:val="00530838"/>
    <w:rsid w:val="00530996"/>
    <w:rsid w:val="00530EE1"/>
    <w:rsid w:val="00530F44"/>
    <w:rsid w:val="0053168E"/>
    <w:rsid w:val="005317B0"/>
    <w:rsid w:val="00531C78"/>
    <w:rsid w:val="00532203"/>
    <w:rsid w:val="00532302"/>
    <w:rsid w:val="005326AB"/>
    <w:rsid w:val="00532D7C"/>
    <w:rsid w:val="00532FC1"/>
    <w:rsid w:val="00533F44"/>
    <w:rsid w:val="00534EE1"/>
    <w:rsid w:val="00535D12"/>
    <w:rsid w:val="005360D4"/>
    <w:rsid w:val="005362C5"/>
    <w:rsid w:val="00537527"/>
    <w:rsid w:val="00537838"/>
    <w:rsid w:val="00537C79"/>
    <w:rsid w:val="005404B1"/>
    <w:rsid w:val="005409CC"/>
    <w:rsid w:val="00540B7D"/>
    <w:rsid w:val="00540E2E"/>
    <w:rsid w:val="00541C68"/>
    <w:rsid w:val="00542368"/>
    <w:rsid w:val="00542DE2"/>
    <w:rsid w:val="005434B9"/>
    <w:rsid w:val="00543BAF"/>
    <w:rsid w:val="0054413D"/>
    <w:rsid w:val="005441AB"/>
    <w:rsid w:val="00544788"/>
    <w:rsid w:val="00544DB3"/>
    <w:rsid w:val="00544EDC"/>
    <w:rsid w:val="005469F1"/>
    <w:rsid w:val="00547E8B"/>
    <w:rsid w:val="00547F55"/>
    <w:rsid w:val="00550C9A"/>
    <w:rsid w:val="005516A2"/>
    <w:rsid w:val="0055193C"/>
    <w:rsid w:val="005520D2"/>
    <w:rsid w:val="0055362E"/>
    <w:rsid w:val="00553753"/>
    <w:rsid w:val="00553A26"/>
    <w:rsid w:val="00553FC8"/>
    <w:rsid w:val="00554524"/>
    <w:rsid w:val="00554AD9"/>
    <w:rsid w:val="00554CAF"/>
    <w:rsid w:val="00554ECC"/>
    <w:rsid w:val="00555921"/>
    <w:rsid w:val="005559D7"/>
    <w:rsid w:val="00555D5E"/>
    <w:rsid w:val="005561AB"/>
    <w:rsid w:val="00556C99"/>
    <w:rsid w:val="00557400"/>
    <w:rsid w:val="0055764E"/>
    <w:rsid w:val="005577FE"/>
    <w:rsid w:val="00560446"/>
    <w:rsid w:val="0056059F"/>
    <w:rsid w:val="00560C1C"/>
    <w:rsid w:val="00560E97"/>
    <w:rsid w:val="00560EDF"/>
    <w:rsid w:val="005610D0"/>
    <w:rsid w:val="005611DD"/>
    <w:rsid w:val="005611E8"/>
    <w:rsid w:val="005614EB"/>
    <w:rsid w:val="00561562"/>
    <w:rsid w:val="0056185E"/>
    <w:rsid w:val="00561AB6"/>
    <w:rsid w:val="00562B49"/>
    <w:rsid w:val="00563596"/>
    <w:rsid w:val="005637E5"/>
    <w:rsid w:val="0056380A"/>
    <w:rsid w:val="005645DD"/>
    <w:rsid w:val="005648FF"/>
    <w:rsid w:val="00564C62"/>
    <w:rsid w:val="00564FEB"/>
    <w:rsid w:val="0056503D"/>
    <w:rsid w:val="00565419"/>
    <w:rsid w:val="0056573B"/>
    <w:rsid w:val="00565D04"/>
    <w:rsid w:val="005662EF"/>
    <w:rsid w:val="0056672F"/>
    <w:rsid w:val="0056699E"/>
    <w:rsid w:val="00566CB4"/>
    <w:rsid w:val="00566F5B"/>
    <w:rsid w:val="00567637"/>
    <w:rsid w:val="0057045A"/>
    <w:rsid w:val="00570A21"/>
    <w:rsid w:val="0057120D"/>
    <w:rsid w:val="00571EC4"/>
    <w:rsid w:val="00571FDB"/>
    <w:rsid w:val="00572C64"/>
    <w:rsid w:val="00572E44"/>
    <w:rsid w:val="0057316D"/>
    <w:rsid w:val="005733B8"/>
    <w:rsid w:val="005736A0"/>
    <w:rsid w:val="00573C23"/>
    <w:rsid w:val="0057456C"/>
    <w:rsid w:val="00575BCD"/>
    <w:rsid w:val="00575DF9"/>
    <w:rsid w:val="005760F6"/>
    <w:rsid w:val="00576A6B"/>
    <w:rsid w:val="00576D4C"/>
    <w:rsid w:val="0058071C"/>
    <w:rsid w:val="00580A69"/>
    <w:rsid w:val="00581011"/>
    <w:rsid w:val="0058114C"/>
    <w:rsid w:val="0058210D"/>
    <w:rsid w:val="00582AF7"/>
    <w:rsid w:val="00583D19"/>
    <w:rsid w:val="00584121"/>
    <w:rsid w:val="00584562"/>
    <w:rsid w:val="00584BA6"/>
    <w:rsid w:val="00584C64"/>
    <w:rsid w:val="00584CD2"/>
    <w:rsid w:val="00585206"/>
    <w:rsid w:val="005854B3"/>
    <w:rsid w:val="005855A7"/>
    <w:rsid w:val="00585A86"/>
    <w:rsid w:val="0058635D"/>
    <w:rsid w:val="00586BD8"/>
    <w:rsid w:val="00586FA5"/>
    <w:rsid w:val="00587770"/>
    <w:rsid w:val="00587A12"/>
    <w:rsid w:val="0059000A"/>
    <w:rsid w:val="005901F9"/>
    <w:rsid w:val="00590B52"/>
    <w:rsid w:val="0059115F"/>
    <w:rsid w:val="005919AC"/>
    <w:rsid w:val="00592245"/>
    <w:rsid w:val="0059225E"/>
    <w:rsid w:val="005932BB"/>
    <w:rsid w:val="00593797"/>
    <w:rsid w:val="00593BAF"/>
    <w:rsid w:val="00593BCC"/>
    <w:rsid w:val="0059423A"/>
    <w:rsid w:val="00594270"/>
    <w:rsid w:val="005946B2"/>
    <w:rsid w:val="005949F6"/>
    <w:rsid w:val="00595669"/>
    <w:rsid w:val="00595774"/>
    <w:rsid w:val="00595DBF"/>
    <w:rsid w:val="00595DFF"/>
    <w:rsid w:val="005961FF"/>
    <w:rsid w:val="00596294"/>
    <w:rsid w:val="0059675B"/>
    <w:rsid w:val="00596940"/>
    <w:rsid w:val="0059734F"/>
    <w:rsid w:val="0059761D"/>
    <w:rsid w:val="005A0067"/>
    <w:rsid w:val="005A0A16"/>
    <w:rsid w:val="005A0BC2"/>
    <w:rsid w:val="005A0BEC"/>
    <w:rsid w:val="005A12AD"/>
    <w:rsid w:val="005A19ED"/>
    <w:rsid w:val="005A1C6C"/>
    <w:rsid w:val="005A2B2D"/>
    <w:rsid w:val="005A470C"/>
    <w:rsid w:val="005A567E"/>
    <w:rsid w:val="005A63F1"/>
    <w:rsid w:val="005A6528"/>
    <w:rsid w:val="005A65DB"/>
    <w:rsid w:val="005A6BF2"/>
    <w:rsid w:val="005B0720"/>
    <w:rsid w:val="005B0C38"/>
    <w:rsid w:val="005B0D88"/>
    <w:rsid w:val="005B111E"/>
    <w:rsid w:val="005B11E2"/>
    <w:rsid w:val="005B1787"/>
    <w:rsid w:val="005B1F92"/>
    <w:rsid w:val="005B21F5"/>
    <w:rsid w:val="005B289E"/>
    <w:rsid w:val="005B2BCF"/>
    <w:rsid w:val="005B339E"/>
    <w:rsid w:val="005B3940"/>
    <w:rsid w:val="005B4228"/>
    <w:rsid w:val="005B45A5"/>
    <w:rsid w:val="005B5C75"/>
    <w:rsid w:val="005B5FA0"/>
    <w:rsid w:val="005B60A3"/>
    <w:rsid w:val="005B6562"/>
    <w:rsid w:val="005B6F07"/>
    <w:rsid w:val="005B75E2"/>
    <w:rsid w:val="005B7910"/>
    <w:rsid w:val="005B7A56"/>
    <w:rsid w:val="005B7F63"/>
    <w:rsid w:val="005C0CD7"/>
    <w:rsid w:val="005C1065"/>
    <w:rsid w:val="005C1242"/>
    <w:rsid w:val="005C2400"/>
    <w:rsid w:val="005C26F2"/>
    <w:rsid w:val="005C2EDF"/>
    <w:rsid w:val="005C370E"/>
    <w:rsid w:val="005C39CE"/>
    <w:rsid w:val="005C3A86"/>
    <w:rsid w:val="005C3BC6"/>
    <w:rsid w:val="005C3D87"/>
    <w:rsid w:val="005C4381"/>
    <w:rsid w:val="005C4FC3"/>
    <w:rsid w:val="005C5212"/>
    <w:rsid w:val="005C5521"/>
    <w:rsid w:val="005C55DB"/>
    <w:rsid w:val="005C5A0C"/>
    <w:rsid w:val="005C5B16"/>
    <w:rsid w:val="005C5CC4"/>
    <w:rsid w:val="005C62BD"/>
    <w:rsid w:val="005C62D0"/>
    <w:rsid w:val="005C630E"/>
    <w:rsid w:val="005C63DA"/>
    <w:rsid w:val="005C6607"/>
    <w:rsid w:val="005C67F5"/>
    <w:rsid w:val="005C68B4"/>
    <w:rsid w:val="005C6ABA"/>
    <w:rsid w:val="005C7534"/>
    <w:rsid w:val="005D05BF"/>
    <w:rsid w:val="005D0807"/>
    <w:rsid w:val="005D1A05"/>
    <w:rsid w:val="005D21AB"/>
    <w:rsid w:val="005D2285"/>
    <w:rsid w:val="005D2458"/>
    <w:rsid w:val="005D26E5"/>
    <w:rsid w:val="005D2C42"/>
    <w:rsid w:val="005D3C44"/>
    <w:rsid w:val="005D3D36"/>
    <w:rsid w:val="005D3FE6"/>
    <w:rsid w:val="005D4E4F"/>
    <w:rsid w:val="005D518B"/>
    <w:rsid w:val="005D5253"/>
    <w:rsid w:val="005D5985"/>
    <w:rsid w:val="005D5AF7"/>
    <w:rsid w:val="005D6100"/>
    <w:rsid w:val="005D644A"/>
    <w:rsid w:val="005D6CE2"/>
    <w:rsid w:val="005D6FCB"/>
    <w:rsid w:val="005D6FFD"/>
    <w:rsid w:val="005D7009"/>
    <w:rsid w:val="005D7578"/>
    <w:rsid w:val="005D7583"/>
    <w:rsid w:val="005D7983"/>
    <w:rsid w:val="005D79DD"/>
    <w:rsid w:val="005E029E"/>
    <w:rsid w:val="005E0A0A"/>
    <w:rsid w:val="005E0AB4"/>
    <w:rsid w:val="005E2045"/>
    <w:rsid w:val="005E249D"/>
    <w:rsid w:val="005E2581"/>
    <w:rsid w:val="005E3045"/>
    <w:rsid w:val="005E3545"/>
    <w:rsid w:val="005E39F1"/>
    <w:rsid w:val="005E3A49"/>
    <w:rsid w:val="005E43D4"/>
    <w:rsid w:val="005E4528"/>
    <w:rsid w:val="005E45D9"/>
    <w:rsid w:val="005E4CC7"/>
    <w:rsid w:val="005E532D"/>
    <w:rsid w:val="005E5411"/>
    <w:rsid w:val="005E7909"/>
    <w:rsid w:val="005E7C2C"/>
    <w:rsid w:val="005E7E93"/>
    <w:rsid w:val="005F056B"/>
    <w:rsid w:val="005F065D"/>
    <w:rsid w:val="005F111C"/>
    <w:rsid w:val="005F1B69"/>
    <w:rsid w:val="005F217D"/>
    <w:rsid w:val="005F2575"/>
    <w:rsid w:val="005F2DAD"/>
    <w:rsid w:val="005F2EAA"/>
    <w:rsid w:val="005F3453"/>
    <w:rsid w:val="005F34ED"/>
    <w:rsid w:val="005F357D"/>
    <w:rsid w:val="005F4601"/>
    <w:rsid w:val="005F4B18"/>
    <w:rsid w:val="005F573E"/>
    <w:rsid w:val="005F5AC9"/>
    <w:rsid w:val="005F5AD8"/>
    <w:rsid w:val="005F611A"/>
    <w:rsid w:val="005F757C"/>
    <w:rsid w:val="005F77C5"/>
    <w:rsid w:val="006000C4"/>
    <w:rsid w:val="00600897"/>
    <w:rsid w:val="006008F5"/>
    <w:rsid w:val="00601C5D"/>
    <w:rsid w:val="00602C12"/>
    <w:rsid w:val="00602FBF"/>
    <w:rsid w:val="00603390"/>
    <w:rsid w:val="00603BBB"/>
    <w:rsid w:val="00604101"/>
    <w:rsid w:val="0060471E"/>
    <w:rsid w:val="00604F07"/>
    <w:rsid w:val="00604FD9"/>
    <w:rsid w:val="00605A26"/>
    <w:rsid w:val="00605BA7"/>
    <w:rsid w:val="00605EAF"/>
    <w:rsid w:val="00606286"/>
    <w:rsid w:val="006066AE"/>
    <w:rsid w:val="00606EAE"/>
    <w:rsid w:val="0061187A"/>
    <w:rsid w:val="00612050"/>
    <w:rsid w:val="00612209"/>
    <w:rsid w:val="00612541"/>
    <w:rsid w:val="006125E5"/>
    <w:rsid w:val="00612A5F"/>
    <w:rsid w:val="0061347B"/>
    <w:rsid w:val="00614197"/>
    <w:rsid w:val="0061508B"/>
    <w:rsid w:val="006151DE"/>
    <w:rsid w:val="00615564"/>
    <w:rsid w:val="00615762"/>
    <w:rsid w:val="0061603D"/>
    <w:rsid w:val="00616A11"/>
    <w:rsid w:val="00620304"/>
    <w:rsid w:val="006209A2"/>
    <w:rsid w:val="00622167"/>
    <w:rsid w:val="00623566"/>
    <w:rsid w:val="00623A27"/>
    <w:rsid w:val="00623DCD"/>
    <w:rsid w:val="0062479F"/>
    <w:rsid w:val="006249AA"/>
    <w:rsid w:val="00624E3D"/>
    <w:rsid w:val="00625382"/>
    <w:rsid w:val="00625524"/>
    <w:rsid w:val="00625E89"/>
    <w:rsid w:val="0062613F"/>
    <w:rsid w:val="00626B62"/>
    <w:rsid w:val="00626F0A"/>
    <w:rsid w:val="006278E8"/>
    <w:rsid w:val="006314EA"/>
    <w:rsid w:val="00631843"/>
    <w:rsid w:val="00632622"/>
    <w:rsid w:val="00632986"/>
    <w:rsid w:val="00632E54"/>
    <w:rsid w:val="0063379B"/>
    <w:rsid w:val="00633C8F"/>
    <w:rsid w:val="00633E40"/>
    <w:rsid w:val="006345F5"/>
    <w:rsid w:val="00635410"/>
    <w:rsid w:val="00635ACC"/>
    <w:rsid w:val="00636450"/>
    <w:rsid w:val="00637101"/>
    <w:rsid w:val="00637254"/>
    <w:rsid w:val="00637287"/>
    <w:rsid w:val="006372CD"/>
    <w:rsid w:val="00637DE4"/>
    <w:rsid w:val="00640068"/>
    <w:rsid w:val="006404A8"/>
    <w:rsid w:val="00641341"/>
    <w:rsid w:val="006418B9"/>
    <w:rsid w:val="00642169"/>
    <w:rsid w:val="0064228E"/>
    <w:rsid w:val="00642320"/>
    <w:rsid w:val="00642431"/>
    <w:rsid w:val="00642706"/>
    <w:rsid w:val="00642891"/>
    <w:rsid w:val="00642B40"/>
    <w:rsid w:val="006430D0"/>
    <w:rsid w:val="00643143"/>
    <w:rsid w:val="006434D1"/>
    <w:rsid w:val="0064357C"/>
    <w:rsid w:val="0064407E"/>
    <w:rsid w:val="006441BF"/>
    <w:rsid w:val="00644A08"/>
    <w:rsid w:val="00645B40"/>
    <w:rsid w:val="00646153"/>
    <w:rsid w:val="006465D6"/>
    <w:rsid w:val="00646908"/>
    <w:rsid w:val="00646A57"/>
    <w:rsid w:val="0064792D"/>
    <w:rsid w:val="00647DB0"/>
    <w:rsid w:val="00650236"/>
    <w:rsid w:val="0065075E"/>
    <w:rsid w:val="00650F4E"/>
    <w:rsid w:val="00651B40"/>
    <w:rsid w:val="00651E02"/>
    <w:rsid w:val="00651F61"/>
    <w:rsid w:val="0065215F"/>
    <w:rsid w:val="00652163"/>
    <w:rsid w:val="00652534"/>
    <w:rsid w:val="00652971"/>
    <w:rsid w:val="00652972"/>
    <w:rsid w:val="00652D66"/>
    <w:rsid w:val="00653114"/>
    <w:rsid w:val="00653501"/>
    <w:rsid w:val="00653F9A"/>
    <w:rsid w:val="00654633"/>
    <w:rsid w:val="00654A23"/>
    <w:rsid w:val="00654C9E"/>
    <w:rsid w:val="00654F33"/>
    <w:rsid w:val="00654FC7"/>
    <w:rsid w:val="00655212"/>
    <w:rsid w:val="00655407"/>
    <w:rsid w:val="006555D1"/>
    <w:rsid w:val="00655995"/>
    <w:rsid w:val="006562F8"/>
    <w:rsid w:val="006568CB"/>
    <w:rsid w:val="00656955"/>
    <w:rsid w:val="00656C11"/>
    <w:rsid w:val="00656C57"/>
    <w:rsid w:val="0065703E"/>
    <w:rsid w:val="0065708F"/>
    <w:rsid w:val="00657E71"/>
    <w:rsid w:val="006600A7"/>
    <w:rsid w:val="00660D1F"/>
    <w:rsid w:val="006616FC"/>
    <w:rsid w:val="00661C6D"/>
    <w:rsid w:val="006624B9"/>
    <w:rsid w:val="006628AF"/>
    <w:rsid w:val="00662C7B"/>
    <w:rsid w:val="00662D2C"/>
    <w:rsid w:val="006636AA"/>
    <w:rsid w:val="00663A39"/>
    <w:rsid w:val="006647BD"/>
    <w:rsid w:val="00664DA4"/>
    <w:rsid w:val="0066500A"/>
    <w:rsid w:val="00665046"/>
    <w:rsid w:val="006653CA"/>
    <w:rsid w:val="006653DC"/>
    <w:rsid w:val="00665ACB"/>
    <w:rsid w:val="00665FED"/>
    <w:rsid w:val="0066689A"/>
    <w:rsid w:val="00666CDB"/>
    <w:rsid w:val="006701CC"/>
    <w:rsid w:val="0067024B"/>
    <w:rsid w:val="006703AC"/>
    <w:rsid w:val="00670A4C"/>
    <w:rsid w:val="00670AB3"/>
    <w:rsid w:val="00670FD0"/>
    <w:rsid w:val="00672568"/>
    <w:rsid w:val="00672E08"/>
    <w:rsid w:val="00673523"/>
    <w:rsid w:val="00673F5E"/>
    <w:rsid w:val="0067405C"/>
    <w:rsid w:val="006749E0"/>
    <w:rsid w:val="00674FE5"/>
    <w:rsid w:val="00675372"/>
    <w:rsid w:val="00675940"/>
    <w:rsid w:val="00675E6F"/>
    <w:rsid w:val="006762EB"/>
    <w:rsid w:val="006763B0"/>
    <w:rsid w:val="0067777D"/>
    <w:rsid w:val="00680F85"/>
    <w:rsid w:val="006815EC"/>
    <w:rsid w:val="00681A7A"/>
    <w:rsid w:val="00681ADE"/>
    <w:rsid w:val="00681C8E"/>
    <w:rsid w:val="00682ADB"/>
    <w:rsid w:val="006838D4"/>
    <w:rsid w:val="00683F7D"/>
    <w:rsid w:val="006846F4"/>
    <w:rsid w:val="00684B51"/>
    <w:rsid w:val="00684D48"/>
    <w:rsid w:val="00684E55"/>
    <w:rsid w:val="006850AD"/>
    <w:rsid w:val="006854E2"/>
    <w:rsid w:val="00685570"/>
    <w:rsid w:val="00685A63"/>
    <w:rsid w:val="0068623A"/>
    <w:rsid w:val="00686703"/>
    <w:rsid w:val="006877C6"/>
    <w:rsid w:val="00690A4A"/>
    <w:rsid w:val="006910DE"/>
    <w:rsid w:val="0069159F"/>
    <w:rsid w:val="006917AF"/>
    <w:rsid w:val="006920AA"/>
    <w:rsid w:val="00692AD9"/>
    <w:rsid w:val="00693392"/>
    <w:rsid w:val="006935CD"/>
    <w:rsid w:val="00693F06"/>
    <w:rsid w:val="00693FB3"/>
    <w:rsid w:val="006944F2"/>
    <w:rsid w:val="006948AB"/>
    <w:rsid w:val="00694C1F"/>
    <w:rsid w:val="006953CC"/>
    <w:rsid w:val="00695C8F"/>
    <w:rsid w:val="00695D20"/>
    <w:rsid w:val="00695F11"/>
    <w:rsid w:val="00695F9A"/>
    <w:rsid w:val="00695FEC"/>
    <w:rsid w:val="006963D1"/>
    <w:rsid w:val="0069663F"/>
    <w:rsid w:val="0069664E"/>
    <w:rsid w:val="00696799"/>
    <w:rsid w:val="00696C1A"/>
    <w:rsid w:val="006971EA"/>
    <w:rsid w:val="00697AFD"/>
    <w:rsid w:val="00697CA9"/>
    <w:rsid w:val="006A0312"/>
    <w:rsid w:val="006A0C1D"/>
    <w:rsid w:val="006A11CB"/>
    <w:rsid w:val="006A1FE1"/>
    <w:rsid w:val="006A2E32"/>
    <w:rsid w:val="006A4FB4"/>
    <w:rsid w:val="006A56CB"/>
    <w:rsid w:val="006A6885"/>
    <w:rsid w:val="006A734D"/>
    <w:rsid w:val="006A7FD2"/>
    <w:rsid w:val="006B01AB"/>
    <w:rsid w:val="006B032E"/>
    <w:rsid w:val="006B0370"/>
    <w:rsid w:val="006B1238"/>
    <w:rsid w:val="006B1325"/>
    <w:rsid w:val="006B1C4F"/>
    <w:rsid w:val="006B1CC6"/>
    <w:rsid w:val="006B1FB3"/>
    <w:rsid w:val="006B21B7"/>
    <w:rsid w:val="006B274C"/>
    <w:rsid w:val="006B2834"/>
    <w:rsid w:val="006B337B"/>
    <w:rsid w:val="006B351D"/>
    <w:rsid w:val="006B472F"/>
    <w:rsid w:val="006B697E"/>
    <w:rsid w:val="006B6E91"/>
    <w:rsid w:val="006B7044"/>
    <w:rsid w:val="006B76B4"/>
    <w:rsid w:val="006B7E6C"/>
    <w:rsid w:val="006C0055"/>
    <w:rsid w:val="006C063F"/>
    <w:rsid w:val="006C0AFC"/>
    <w:rsid w:val="006C0B3D"/>
    <w:rsid w:val="006C0EA5"/>
    <w:rsid w:val="006C0FCE"/>
    <w:rsid w:val="006C1846"/>
    <w:rsid w:val="006C2429"/>
    <w:rsid w:val="006C2A49"/>
    <w:rsid w:val="006C3F51"/>
    <w:rsid w:val="006C4894"/>
    <w:rsid w:val="006C4B90"/>
    <w:rsid w:val="006C4CFE"/>
    <w:rsid w:val="006C4E19"/>
    <w:rsid w:val="006C5601"/>
    <w:rsid w:val="006C6796"/>
    <w:rsid w:val="006C6A59"/>
    <w:rsid w:val="006C764C"/>
    <w:rsid w:val="006C77D7"/>
    <w:rsid w:val="006C7F46"/>
    <w:rsid w:val="006D01C7"/>
    <w:rsid w:val="006D1395"/>
    <w:rsid w:val="006D19AA"/>
    <w:rsid w:val="006D1E2C"/>
    <w:rsid w:val="006D2284"/>
    <w:rsid w:val="006D2699"/>
    <w:rsid w:val="006D2BBC"/>
    <w:rsid w:val="006D3450"/>
    <w:rsid w:val="006D3759"/>
    <w:rsid w:val="006D37AD"/>
    <w:rsid w:val="006D3B93"/>
    <w:rsid w:val="006D3FDD"/>
    <w:rsid w:val="006D4134"/>
    <w:rsid w:val="006D4174"/>
    <w:rsid w:val="006D4191"/>
    <w:rsid w:val="006D4650"/>
    <w:rsid w:val="006D477D"/>
    <w:rsid w:val="006D4848"/>
    <w:rsid w:val="006D4DFA"/>
    <w:rsid w:val="006D53AF"/>
    <w:rsid w:val="006D544A"/>
    <w:rsid w:val="006D5693"/>
    <w:rsid w:val="006D5F27"/>
    <w:rsid w:val="006D6CB0"/>
    <w:rsid w:val="006E05BE"/>
    <w:rsid w:val="006E08AB"/>
    <w:rsid w:val="006E0C49"/>
    <w:rsid w:val="006E10EA"/>
    <w:rsid w:val="006E1129"/>
    <w:rsid w:val="006E174D"/>
    <w:rsid w:val="006E1E10"/>
    <w:rsid w:val="006E2240"/>
    <w:rsid w:val="006E2334"/>
    <w:rsid w:val="006E278A"/>
    <w:rsid w:val="006E2B3F"/>
    <w:rsid w:val="006E367A"/>
    <w:rsid w:val="006E3A29"/>
    <w:rsid w:val="006E3B1D"/>
    <w:rsid w:val="006E5005"/>
    <w:rsid w:val="006E577F"/>
    <w:rsid w:val="006E58AF"/>
    <w:rsid w:val="006E5C23"/>
    <w:rsid w:val="006E5FD4"/>
    <w:rsid w:val="006E6881"/>
    <w:rsid w:val="006E69EB"/>
    <w:rsid w:val="006E760D"/>
    <w:rsid w:val="006E790C"/>
    <w:rsid w:val="006E7C5D"/>
    <w:rsid w:val="006E7E65"/>
    <w:rsid w:val="006F1208"/>
    <w:rsid w:val="006F176A"/>
    <w:rsid w:val="006F199F"/>
    <w:rsid w:val="006F29D7"/>
    <w:rsid w:val="006F2D14"/>
    <w:rsid w:val="006F301F"/>
    <w:rsid w:val="006F3123"/>
    <w:rsid w:val="006F3308"/>
    <w:rsid w:val="006F368F"/>
    <w:rsid w:val="006F3729"/>
    <w:rsid w:val="006F3D2F"/>
    <w:rsid w:val="006F3E7D"/>
    <w:rsid w:val="006F4196"/>
    <w:rsid w:val="006F4236"/>
    <w:rsid w:val="006F42CE"/>
    <w:rsid w:val="006F432A"/>
    <w:rsid w:val="006F453C"/>
    <w:rsid w:val="006F4A2F"/>
    <w:rsid w:val="006F4A9D"/>
    <w:rsid w:val="006F4CB8"/>
    <w:rsid w:val="006F4CFB"/>
    <w:rsid w:val="006F56E3"/>
    <w:rsid w:val="006F5AA5"/>
    <w:rsid w:val="006F5B6B"/>
    <w:rsid w:val="006F60EF"/>
    <w:rsid w:val="006F60F6"/>
    <w:rsid w:val="006F6352"/>
    <w:rsid w:val="006F64BF"/>
    <w:rsid w:val="006F69C6"/>
    <w:rsid w:val="006F6B0E"/>
    <w:rsid w:val="006F7119"/>
    <w:rsid w:val="006F71D5"/>
    <w:rsid w:val="006F7D64"/>
    <w:rsid w:val="0070155D"/>
    <w:rsid w:val="007015FC"/>
    <w:rsid w:val="00701959"/>
    <w:rsid w:val="00701C9E"/>
    <w:rsid w:val="00701F21"/>
    <w:rsid w:val="00702097"/>
    <w:rsid w:val="007027D3"/>
    <w:rsid w:val="007029C4"/>
    <w:rsid w:val="00702C2B"/>
    <w:rsid w:val="00703B63"/>
    <w:rsid w:val="00704219"/>
    <w:rsid w:val="00704C80"/>
    <w:rsid w:val="00704CD6"/>
    <w:rsid w:val="007052FF"/>
    <w:rsid w:val="00705350"/>
    <w:rsid w:val="007059E5"/>
    <w:rsid w:val="00705DA3"/>
    <w:rsid w:val="00706178"/>
    <w:rsid w:val="0070647B"/>
    <w:rsid w:val="0070665F"/>
    <w:rsid w:val="007066C0"/>
    <w:rsid w:val="00706B65"/>
    <w:rsid w:val="00706C8B"/>
    <w:rsid w:val="007108DB"/>
    <w:rsid w:val="00710E94"/>
    <w:rsid w:val="0071123D"/>
    <w:rsid w:val="00711426"/>
    <w:rsid w:val="00711D82"/>
    <w:rsid w:val="00711DDC"/>
    <w:rsid w:val="007123C0"/>
    <w:rsid w:val="00713384"/>
    <w:rsid w:val="00713C31"/>
    <w:rsid w:val="00714065"/>
    <w:rsid w:val="0071435F"/>
    <w:rsid w:val="00714B47"/>
    <w:rsid w:val="00714CE3"/>
    <w:rsid w:val="007153E3"/>
    <w:rsid w:val="00715D43"/>
    <w:rsid w:val="00715FB6"/>
    <w:rsid w:val="00716F37"/>
    <w:rsid w:val="00720992"/>
    <w:rsid w:val="00720DD1"/>
    <w:rsid w:val="00720DEB"/>
    <w:rsid w:val="0072145F"/>
    <w:rsid w:val="00721575"/>
    <w:rsid w:val="0072238B"/>
    <w:rsid w:val="00722B33"/>
    <w:rsid w:val="00723E2E"/>
    <w:rsid w:val="007240F3"/>
    <w:rsid w:val="007248B9"/>
    <w:rsid w:val="00724ABB"/>
    <w:rsid w:val="007257AC"/>
    <w:rsid w:val="0072597C"/>
    <w:rsid w:val="00727496"/>
    <w:rsid w:val="007303AE"/>
    <w:rsid w:val="00730E86"/>
    <w:rsid w:val="00731AB2"/>
    <w:rsid w:val="00731E61"/>
    <w:rsid w:val="00731F3A"/>
    <w:rsid w:val="00732434"/>
    <w:rsid w:val="007328F3"/>
    <w:rsid w:val="00732C31"/>
    <w:rsid w:val="007331E9"/>
    <w:rsid w:val="007335A8"/>
    <w:rsid w:val="007337C0"/>
    <w:rsid w:val="00733AB9"/>
    <w:rsid w:val="00733B1D"/>
    <w:rsid w:val="00734123"/>
    <w:rsid w:val="007344AC"/>
    <w:rsid w:val="007348E5"/>
    <w:rsid w:val="007349D3"/>
    <w:rsid w:val="0073549A"/>
    <w:rsid w:val="0073589D"/>
    <w:rsid w:val="00735F4F"/>
    <w:rsid w:val="00736D74"/>
    <w:rsid w:val="00736E51"/>
    <w:rsid w:val="00736F79"/>
    <w:rsid w:val="0073757B"/>
    <w:rsid w:val="0073757D"/>
    <w:rsid w:val="00737685"/>
    <w:rsid w:val="007377D1"/>
    <w:rsid w:val="007379B4"/>
    <w:rsid w:val="00737DDA"/>
    <w:rsid w:val="00740425"/>
    <w:rsid w:val="00740DAF"/>
    <w:rsid w:val="00741187"/>
    <w:rsid w:val="007414FF"/>
    <w:rsid w:val="0074233A"/>
    <w:rsid w:val="00742E3E"/>
    <w:rsid w:val="00743102"/>
    <w:rsid w:val="007438E8"/>
    <w:rsid w:val="00743CCA"/>
    <w:rsid w:val="007443B9"/>
    <w:rsid w:val="00745062"/>
    <w:rsid w:val="007461B0"/>
    <w:rsid w:val="007469D3"/>
    <w:rsid w:val="007471A1"/>
    <w:rsid w:val="007471C6"/>
    <w:rsid w:val="0074735A"/>
    <w:rsid w:val="00747509"/>
    <w:rsid w:val="0075006F"/>
    <w:rsid w:val="007501C2"/>
    <w:rsid w:val="00750A72"/>
    <w:rsid w:val="00750A88"/>
    <w:rsid w:val="0075100E"/>
    <w:rsid w:val="00751526"/>
    <w:rsid w:val="00751F37"/>
    <w:rsid w:val="00752550"/>
    <w:rsid w:val="00752E83"/>
    <w:rsid w:val="0075318D"/>
    <w:rsid w:val="007531F1"/>
    <w:rsid w:val="00753247"/>
    <w:rsid w:val="00753C90"/>
    <w:rsid w:val="007540F1"/>
    <w:rsid w:val="00754172"/>
    <w:rsid w:val="00754A12"/>
    <w:rsid w:val="00754B2F"/>
    <w:rsid w:val="0075574B"/>
    <w:rsid w:val="00755D02"/>
    <w:rsid w:val="007562A0"/>
    <w:rsid w:val="00756575"/>
    <w:rsid w:val="007567F1"/>
    <w:rsid w:val="00756892"/>
    <w:rsid w:val="00757592"/>
    <w:rsid w:val="00757B1E"/>
    <w:rsid w:val="00760A0D"/>
    <w:rsid w:val="007611C2"/>
    <w:rsid w:val="00761A04"/>
    <w:rsid w:val="00762169"/>
    <w:rsid w:val="0076248F"/>
    <w:rsid w:val="00762866"/>
    <w:rsid w:val="00762878"/>
    <w:rsid w:val="007638FB"/>
    <w:rsid w:val="00763C03"/>
    <w:rsid w:val="00763CF6"/>
    <w:rsid w:val="007644D0"/>
    <w:rsid w:val="00764D08"/>
    <w:rsid w:val="00764EB8"/>
    <w:rsid w:val="00765434"/>
    <w:rsid w:val="00765639"/>
    <w:rsid w:val="00765CDE"/>
    <w:rsid w:val="00766601"/>
    <w:rsid w:val="00767417"/>
    <w:rsid w:val="00770421"/>
    <w:rsid w:val="007704DE"/>
    <w:rsid w:val="0077070A"/>
    <w:rsid w:val="00770968"/>
    <w:rsid w:val="00770AFB"/>
    <w:rsid w:val="00770BDE"/>
    <w:rsid w:val="00773D54"/>
    <w:rsid w:val="00774682"/>
    <w:rsid w:val="0077476D"/>
    <w:rsid w:val="00774846"/>
    <w:rsid w:val="00774CC0"/>
    <w:rsid w:val="00774F31"/>
    <w:rsid w:val="00774FAF"/>
    <w:rsid w:val="00775254"/>
    <w:rsid w:val="007760EE"/>
    <w:rsid w:val="00777F15"/>
    <w:rsid w:val="00780334"/>
    <w:rsid w:val="007805CB"/>
    <w:rsid w:val="0078067A"/>
    <w:rsid w:val="007811D1"/>
    <w:rsid w:val="007815B3"/>
    <w:rsid w:val="007819A1"/>
    <w:rsid w:val="00781AB4"/>
    <w:rsid w:val="00782333"/>
    <w:rsid w:val="007838B2"/>
    <w:rsid w:val="0078456F"/>
    <w:rsid w:val="00784BA5"/>
    <w:rsid w:val="00785782"/>
    <w:rsid w:val="007860A9"/>
    <w:rsid w:val="00786E85"/>
    <w:rsid w:val="007873C3"/>
    <w:rsid w:val="00787734"/>
    <w:rsid w:val="00787A1D"/>
    <w:rsid w:val="00787DA1"/>
    <w:rsid w:val="00790049"/>
    <w:rsid w:val="007905A1"/>
    <w:rsid w:val="00791097"/>
    <w:rsid w:val="00791367"/>
    <w:rsid w:val="00791B4F"/>
    <w:rsid w:val="00791C76"/>
    <w:rsid w:val="007921A0"/>
    <w:rsid w:val="00792C5C"/>
    <w:rsid w:val="00792C82"/>
    <w:rsid w:val="00793761"/>
    <w:rsid w:val="007942C8"/>
    <w:rsid w:val="00794837"/>
    <w:rsid w:val="00794E02"/>
    <w:rsid w:val="007952B1"/>
    <w:rsid w:val="00796721"/>
    <w:rsid w:val="00797048"/>
    <w:rsid w:val="007974FC"/>
    <w:rsid w:val="00797F61"/>
    <w:rsid w:val="007A0149"/>
    <w:rsid w:val="007A0292"/>
    <w:rsid w:val="007A0503"/>
    <w:rsid w:val="007A0629"/>
    <w:rsid w:val="007A0EF0"/>
    <w:rsid w:val="007A1BB0"/>
    <w:rsid w:val="007A1CF3"/>
    <w:rsid w:val="007A1E2C"/>
    <w:rsid w:val="007A24A7"/>
    <w:rsid w:val="007A26D4"/>
    <w:rsid w:val="007A2884"/>
    <w:rsid w:val="007A3617"/>
    <w:rsid w:val="007A39AF"/>
    <w:rsid w:val="007A3EA8"/>
    <w:rsid w:val="007A4669"/>
    <w:rsid w:val="007A46F5"/>
    <w:rsid w:val="007A52A9"/>
    <w:rsid w:val="007A52D5"/>
    <w:rsid w:val="007A53DA"/>
    <w:rsid w:val="007A54B3"/>
    <w:rsid w:val="007A56AC"/>
    <w:rsid w:val="007A5A3D"/>
    <w:rsid w:val="007A5F1B"/>
    <w:rsid w:val="007A600A"/>
    <w:rsid w:val="007A66A0"/>
    <w:rsid w:val="007A6CAA"/>
    <w:rsid w:val="007A7676"/>
    <w:rsid w:val="007A7B8C"/>
    <w:rsid w:val="007B00D3"/>
    <w:rsid w:val="007B029F"/>
    <w:rsid w:val="007B0599"/>
    <w:rsid w:val="007B06A3"/>
    <w:rsid w:val="007B1FBC"/>
    <w:rsid w:val="007B2852"/>
    <w:rsid w:val="007B286C"/>
    <w:rsid w:val="007B337F"/>
    <w:rsid w:val="007B3CED"/>
    <w:rsid w:val="007B483F"/>
    <w:rsid w:val="007B5610"/>
    <w:rsid w:val="007B5876"/>
    <w:rsid w:val="007B5C5C"/>
    <w:rsid w:val="007B699A"/>
    <w:rsid w:val="007B6D18"/>
    <w:rsid w:val="007B733C"/>
    <w:rsid w:val="007B739B"/>
    <w:rsid w:val="007B7EC7"/>
    <w:rsid w:val="007C01FD"/>
    <w:rsid w:val="007C05F3"/>
    <w:rsid w:val="007C0957"/>
    <w:rsid w:val="007C0A62"/>
    <w:rsid w:val="007C0B69"/>
    <w:rsid w:val="007C1311"/>
    <w:rsid w:val="007C1354"/>
    <w:rsid w:val="007C2A66"/>
    <w:rsid w:val="007C2BF5"/>
    <w:rsid w:val="007C2C0E"/>
    <w:rsid w:val="007C2DEC"/>
    <w:rsid w:val="007C2FFA"/>
    <w:rsid w:val="007C34BD"/>
    <w:rsid w:val="007C52D6"/>
    <w:rsid w:val="007C58DE"/>
    <w:rsid w:val="007C5B4B"/>
    <w:rsid w:val="007C5EEA"/>
    <w:rsid w:val="007C7095"/>
    <w:rsid w:val="007C73B4"/>
    <w:rsid w:val="007C7A0A"/>
    <w:rsid w:val="007C7FB8"/>
    <w:rsid w:val="007D0084"/>
    <w:rsid w:val="007D03EB"/>
    <w:rsid w:val="007D078A"/>
    <w:rsid w:val="007D0801"/>
    <w:rsid w:val="007D10A3"/>
    <w:rsid w:val="007D12D8"/>
    <w:rsid w:val="007D14FC"/>
    <w:rsid w:val="007D1AE9"/>
    <w:rsid w:val="007D1B3D"/>
    <w:rsid w:val="007D1C36"/>
    <w:rsid w:val="007D1E02"/>
    <w:rsid w:val="007D2012"/>
    <w:rsid w:val="007D2B26"/>
    <w:rsid w:val="007D31E5"/>
    <w:rsid w:val="007D3569"/>
    <w:rsid w:val="007D3647"/>
    <w:rsid w:val="007D37DB"/>
    <w:rsid w:val="007D3806"/>
    <w:rsid w:val="007D48A5"/>
    <w:rsid w:val="007D504D"/>
    <w:rsid w:val="007D56A7"/>
    <w:rsid w:val="007D6227"/>
    <w:rsid w:val="007D6455"/>
    <w:rsid w:val="007D6A3B"/>
    <w:rsid w:val="007D7572"/>
    <w:rsid w:val="007D7B0E"/>
    <w:rsid w:val="007D7C6E"/>
    <w:rsid w:val="007E0453"/>
    <w:rsid w:val="007E0AC5"/>
    <w:rsid w:val="007E0EE0"/>
    <w:rsid w:val="007E1572"/>
    <w:rsid w:val="007E19CD"/>
    <w:rsid w:val="007E19EC"/>
    <w:rsid w:val="007E1CC5"/>
    <w:rsid w:val="007E33BB"/>
    <w:rsid w:val="007E35F3"/>
    <w:rsid w:val="007E3DFD"/>
    <w:rsid w:val="007E3E0B"/>
    <w:rsid w:val="007E3F9A"/>
    <w:rsid w:val="007E4501"/>
    <w:rsid w:val="007E4875"/>
    <w:rsid w:val="007E53AE"/>
    <w:rsid w:val="007E6583"/>
    <w:rsid w:val="007E6A30"/>
    <w:rsid w:val="007E7162"/>
    <w:rsid w:val="007E71AD"/>
    <w:rsid w:val="007E73C3"/>
    <w:rsid w:val="007E77F0"/>
    <w:rsid w:val="007F06F6"/>
    <w:rsid w:val="007F099D"/>
    <w:rsid w:val="007F0C22"/>
    <w:rsid w:val="007F2233"/>
    <w:rsid w:val="007F3028"/>
    <w:rsid w:val="007F3BFE"/>
    <w:rsid w:val="007F476E"/>
    <w:rsid w:val="007F51BE"/>
    <w:rsid w:val="007F5AC4"/>
    <w:rsid w:val="007F5AF5"/>
    <w:rsid w:val="007F6030"/>
    <w:rsid w:val="007F6627"/>
    <w:rsid w:val="007F6E42"/>
    <w:rsid w:val="007F7491"/>
    <w:rsid w:val="007F7817"/>
    <w:rsid w:val="0080063A"/>
    <w:rsid w:val="008007C5"/>
    <w:rsid w:val="008007E7"/>
    <w:rsid w:val="00800909"/>
    <w:rsid w:val="00800B21"/>
    <w:rsid w:val="00800E11"/>
    <w:rsid w:val="008015E9"/>
    <w:rsid w:val="008021DB"/>
    <w:rsid w:val="0080247B"/>
    <w:rsid w:val="00802749"/>
    <w:rsid w:val="00803635"/>
    <w:rsid w:val="008046EB"/>
    <w:rsid w:val="008053F5"/>
    <w:rsid w:val="0080558B"/>
    <w:rsid w:val="00805972"/>
    <w:rsid w:val="00805D1E"/>
    <w:rsid w:val="00805DF4"/>
    <w:rsid w:val="008062D5"/>
    <w:rsid w:val="00806410"/>
    <w:rsid w:val="008066A5"/>
    <w:rsid w:val="00806991"/>
    <w:rsid w:val="008074A6"/>
    <w:rsid w:val="0080776F"/>
    <w:rsid w:val="00807EF5"/>
    <w:rsid w:val="008107E7"/>
    <w:rsid w:val="00810AE2"/>
    <w:rsid w:val="00811A80"/>
    <w:rsid w:val="00811BB3"/>
    <w:rsid w:val="00811DCA"/>
    <w:rsid w:val="00812D90"/>
    <w:rsid w:val="008137F3"/>
    <w:rsid w:val="00813EED"/>
    <w:rsid w:val="00813F80"/>
    <w:rsid w:val="0081452A"/>
    <w:rsid w:val="00814E1A"/>
    <w:rsid w:val="00815516"/>
    <w:rsid w:val="008163C0"/>
    <w:rsid w:val="00816B1F"/>
    <w:rsid w:val="00817BB1"/>
    <w:rsid w:val="00817D41"/>
    <w:rsid w:val="00820B3E"/>
    <w:rsid w:val="00820C87"/>
    <w:rsid w:val="00821197"/>
    <w:rsid w:val="00822989"/>
    <w:rsid w:val="00822BF7"/>
    <w:rsid w:val="00822CE8"/>
    <w:rsid w:val="008234CC"/>
    <w:rsid w:val="00823A0F"/>
    <w:rsid w:val="00823A6B"/>
    <w:rsid w:val="00824F19"/>
    <w:rsid w:val="0082508C"/>
    <w:rsid w:val="00825579"/>
    <w:rsid w:val="00825C0F"/>
    <w:rsid w:val="0082661C"/>
    <w:rsid w:val="00826695"/>
    <w:rsid w:val="00827E35"/>
    <w:rsid w:val="00830C6E"/>
    <w:rsid w:val="00830DE8"/>
    <w:rsid w:val="00831944"/>
    <w:rsid w:val="00833482"/>
    <w:rsid w:val="008338B5"/>
    <w:rsid w:val="008341BE"/>
    <w:rsid w:val="00834636"/>
    <w:rsid w:val="00834752"/>
    <w:rsid w:val="0083486E"/>
    <w:rsid w:val="00834DBB"/>
    <w:rsid w:val="00835D63"/>
    <w:rsid w:val="0083626F"/>
    <w:rsid w:val="008362AD"/>
    <w:rsid w:val="00836BC3"/>
    <w:rsid w:val="00836EC6"/>
    <w:rsid w:val="0083755C"/>
    <w:rsid w:val="00837985"/>
    <w:rsid w:val="00837FDA"/>
    <w:rsid w:val="00840447"/>
    <w:rsid w:val="0084076F"/>
    <w:rsid w:val="00840A78"/>
    <w:rsid w:val="0084122E"/>
    <w:rsid w:val="00841363"/>
    <w:rsid w:val="008416AD"/>
    <w:rsid w:val="00841936"/>
    <w:rsid w:val="0084245F"/>
    <w:rsid w:val="00842490"/>
    <w:rsid w:val="008433ED"/>
    <w:rsid w:val="00843A96"/>
    <w:rsid w:val="00843C1E"/>
    <w:rsid w:val="00843F55"/>
    <w:rsid w:val="0084417B"/>
    <w:rsid w:val="00844930"/>
    <w:rsid w:val="00845BD8"/>
    <w:rsid w:val="00845DDF"/>
    <w:rsid w:val="00846505"/>
    <w:rsid w:val="00846A3F"/>
    <w:rsid w:val="00846AC5"/>
    <w:rsid w:val="00847338"/>
    <w:rsid w:val="00847494"/>
    <w:rsid w:val="00847940"/>
    <w:rsid w:val="00847CCC"/>
    <w:rsid w:val="0085063C"/>
    <w:rsid w:val="0085066E"/>
    <w:rsid w:val="00851C74"/>
    <w:rsid w:val="00852108"/>
    <w:rsid w:val="0085253B"/>
    <w:rsid w:val="00852866"/>
    <w:rsid w:val="00852FF9"/>
    <w:rsid w:val="0085410C"/>
    <w:rsid w:val="008541AE"/>
    <w:rsid w:val="00854F6F"/>
    <w:rsid w:val="00855A22"/>
    <w:rsid w:val="008569C1"/>
    <w:rsid w:val="0085758F"/>
    <w:rsid w:val="00857787"/>
    <w:rsid w:val="008577A6"/>
    <w:rsid w:val="0086103F"/>
    <w:rsid w:val="00861D00"/>
    <w:rsid w:val="008627F4"/>
    <w:rsid w:val="00863270"/>
    <w:rsid w:val="008633D0"/>
    <w:rsid w:val="00863AD8"/>
    <w:rsid w:val="00864107"/>
    <w:rsid w:val="00864D3E"/>
    <w:rsid w:val="00864DD2"/>
    <w:rsid w:val="0086664B"/>
    <w:rsid w:val="00866E9F"/>
    <w:rsid w:val="00866F83"/>
    <w:rsid w:val="00866FC9"/>
    <w:rsid w:val="008700A9"/>
    <w:rsid w:val="008706C5"/>
    <w:rsid w:val="00870AFC"/>
    <w:rsid w:val="00870C68"/>
    <w:rsid w:val="00870F60"/>
    <w:rsid w:val="00871302"/>
    <w:rsid w:val="00871ADB"/>
    <w:rsid w:val="00871D9F"/>
    <w:rsid w:val="0087235E"/>
    <w:rsid w:val="008740CC"/>
    <w:rsid w:val="008744FD"/>
    <w:rsid w:val="0087454E"/>
    <w:rsid w:val="008749FC"/>
    <w:rsid w:val="00874A93"/>
    <w:rsid w:val="00874D74"/>
    <w:rsid w:val="00875008"/>
    <w:rsid w:val="008751D7"/>
    <w:rsid w:val="00875911"/>
    <w:rsid w:val="00875CF2"/>
    <w:rsid w:val="00875EE7"/>
    <w:rsid w:val="0087615C"/>
    <w:rsid w:val="00876261"/>
    <w:rsid w:val="0087633C"/>
    <w:rsid w:val="008766AA"/>
    <w:rsid w:val="00877355"/>
    <w:rsid w:val="0087756E"/>
    <w:rsid w:val="00877F76"/>
    <w:rsid w:val="008805D6"/>
    <w:rsid w:val="008805F8"/>
    <w:rsid w:val="00880ACD"/>
    <w:rsid w:val="00880B10"/>
    <w:rsid w:val="00881BA4"/>
    <w:rsid w:val="00883156"/>
    <w:rsid w:val="0088428C"/>
    <w:rsid w:val="00884709"/>
    <w:rsid w:val="0088500A"/>
    <w:rsid w:val="00885010"/>
    <w:rsid w:val="00885D89"/>
    <w:rsid w:val="008861B2"/>
    <w:rsid w:val="00886929"/>
    <w:rsid w:val="0088737F"/>
    <w:rsid w:val="00887ECE"/>
    <w:rsid w:val="00891476"/>
    <w:rsid w:val="00891B4E"/>
    <w:rsid w:val="00893AB3"/>
    <w:rsid w:val="00893C12"/>
    <w:rsid w:val="00893C59"/>
    <w:rsid w:val="00893F74"/>
    <w:rsid w:val="00895F48"/>
    <w:rsid w:val="008960CA"/>
    <w:rsid w:val="008961BC"/>
    <w:rsid w:val="00896E27"/>
    <w:rsid w:val="0089706F"/>
    <w:rsid w:val="00897B5F"/>
    <w:rsid w:val="008A0B11"/>
    <w:rsid w:val="008A0B5B"/>
    <w:rsid w:val="008A0D08"/>
    <w:rsid w:val="008A151D"/>
    <w:rsid w:val="008A164B"/>
    <w:rsid w:val="008A1909"/>
    <w:rsid w:val="008A2123"/>
    <w:rsid w:val="008A24CF"/>
    <w:rsid w:val="008A251A"/>
    <w:rsid w:val="008A39F5"/>
    <w:rsid w:val="008A48CD"/>
    <w:rsid w:val="008A4C56"/>
    <w:rsid w:val="008A52B8"/>
    <w:rsid w:val="008A52E3"/>
    <w:rsid w:val="008A5D02"/>
    <w:rsid w:val="008A5F5C"/>
    <w:rsid w:val="008A6BF1"/>
    <w:rsid w:val="008A6F19"/>
    <w:rsid w:val="008B019A"/>
    <w:rsid w:val="008B051F"/>
    <w:rsid w:val="008B08A0"/>
    <w:rsid w:val="008B23F4"/>
    <w:rsid w:val="008B2586"/>
    <w:rsid w:val="008B270A"/>
    <w:rsid w:val="008B27DE"/>
    <w:rsid w:val="008B2DAA"/>
    <w:rsid w:val="008B32F4"/>
    <w:rsid w:val="008B33A7"/>
    <w:rsid w:val="008B34FB"/>
    <w:rsid w:val="008B369B"/>
    <w:rsid w:val="008B3938"/>
    <w:rsid w:val="008B3CE3"/>
    <w:rsid w:val="008B3EB3"/>
    <w:rsid w:val="008B3F2F"/>
    <w:rsid w:val="008B417B"/>
    <w:rsid w:val="008B4295"/>
    <w:rsid w:val="008B472E"/>
    <w:rsid w:val="008B51F9"/>
    <w:rsid w:val="008B68DA"/>
    <w:rsid w:val="008B6B54"/>
    <w:rsid w:val="008B7239"/>
    <w:rsid w:val="008B7F25"/>
    <w:rsid w:val="008C09D9"/>
    <w:rsid w:val="008C136D"/>
    <w:rsid w:val="008C1F87"/>
    <w:rsid w:val="008C34EB"/>
    <w:rsid w:val="008C3B38"/>
    <w:rsid w:val="008C3BF6"/>
    <w:rsid w:val="008C3CA0"/>
    <w:rsid w:val="008C4A19"/>
    <w:rsid w:val="008C4FC2"/>
    <w:rsid w:val="008C5054"/>
    <w:rsid w:val="008C57A6"/>
    <w:rsid w:val="008C602F"/>
    <w:rsid w:val="008C6147"/>
    <w:rsid w:val="008C63CC"/>
    <w:rsid w:val="008C676C"/>
    <w:rsid w:val="008C7B3D"/>
    <w:rsid w:val="008D0663"/>
    <w:rsid w:val="008D1181"/>
    <w:rsid w:val="008D1BBB"/>
    <w:rsid w:val="008D1F84"/>
    <w:rsid w:val="008D30F3"/>
    <w:rsid w:val="008D3309"/>
    <w:rsid w:val="008D3D28"/>
    <w:rsid w:val="008D402D"/>
    <w:rsid w:val="008D498B"/>
    <w:rsid w:val="008D4B65"/>
    <w:rsid w:val="008D50AB"/>
    <w:rsid w:val="008D51C6"/>
    <w:rsid w:val="008D5593"/>
    <w:rsid w:val="008D58B1"/>
    <w:rsid w:val="008D59B3"/>
    <w:rsid w:val="008D7174"/>
    <w:rsid w:val="008D7B53"/>
    <w:rsid w:val="008E11AA"/>
    <w:rsid w:val="008E1A15"/>
    <w:rsid w:val="008E1D8E"/>
    <w:rsid w:val="008E26C3"/>
    <w:rsid w:val="008E28AC"/>
    <w:rsid w:val="008E3047"/>
    <w:rsid w:val="008E38C6"/>
    <w:rsid w:val="008E3C71"/>
    <w:rsid w:val="008E3D7D"/>
    <w:rsid w:val="008E445E"/>
    <w:rsid w:val="008E4FC6"/>
    <w:rsid w:val="008E5278"/>
    <w:rsid w:val="008E547F"/>
    <w:rsid w:val="008E5593"/>
    <w:rsid w:val="008E5FA7"/>
    <w:rsid w:val="008E614C"/>
    <w:rsid w:val="008E6AEA"/>
    <w:rsid w:val="008E7349"/>
    <w:rsid w:val="008E754D"/>
    <w:rsid w:val="008F0399"/>
    <w:rsid w:val="008F0DBD"/>
    <w:rsid w:val="008F0F3B"/>
    <w:rsid w:val="008F0F47"/>
    <w:rsid w:val="008F16A4"/>
    <w:rsid w:val="008F1B4B"/>
    <w:rsid w:val="008F1C95"/>
    <w:rsid w:val="008F26BA"/>
    <w:rsid w:val="008F2EFC"/>
    <w:rsid w:val="008F2F4E"/>
    <w:rsid w:val="008F3601"/>
    <w:rsid w:val="008F3AB3"/>
    <w:rsid w:val="008F3BA9"/>
    <w:rsid w:val="008F4E4B"/>
    <w:rsid w:val="008F5222"/>
    <w:rsid w:val="008F59F4"/>
    <w:rsid w:val="008F5C4E"/>
    <w:rsid w:val="008F5D9C"/>
    <w:rsid w:val="008F5DAB"/>
    <w:rsid w:val="008F6CF0"/>
    <w:rsid w:val="008F6E45"/>
    <w:rsid w:val="008F6F2C"/>
    <w:rsid w:val="008F710A"/>
    <w:rsid w:val="008F77AF"/>
    <w:rsid w:val="00900BDC"/>
    <w:rsid w:val="00900C06"/>
    <w:rsid w:val="00900F3C"/>
    <w:rsid w:val="0090149B"/>
    <w:rsid w:val="009026C4"/>
    <w:rsid w:val="0090296C"/>
    <w:rsid w:val="00903AD2"/>
    <w:rsid w:val="00903DD3"/>
    <w:rsid w:val="009049E4"/>
    <w:rsid w:val="00904FA1"/>
    <w:rsid w:val="00905243"/>
    <w:rsid w:val="00906625"/>
    <w:rsid w:val="00907496"/>
    <w:rsid w:val="0090776E"/>
    <w:rsid w:val="00907C3A"/>
    <w:rsid w:val="00907D7A"/>
    <w:rsid w:val="0091009F"/>
    <w:rsid w:val="0091037F"/>
    <w:rsid w:val="0091047B"/>
    <w:rsid w:val="009109AE"/>
    <w:rsid w:val="00910EBC"/>
    <w:rsid w:val="00911E82"/>
    <w:rsid w:val="00911EE4"/>
    <w:rsid w:val="00911EE6"/>
    <w:rsid w:val="009131C5"/>
    <w:rsid w:val="00913908"/>
    <w:rsid w:val="0091390A"/>
    <w:rsid w:val="00913C9F"/>
    <w:rsid w:val="00913E13"/>
    <w:rsid w:val="00914292"/>
    <w:rsid w:val="00914CDD"/>
    <w:rsid w:val="0091527C"/>
    <w:rsid w:val="0091548A"/>
    <w:rsid w:val="00915987"/>
    <w:rsid w:val="00915E23"/>
    <w:rsid w:val="00915EE9"/>
    <w:rsid w:val="0091603E"/>
    <w:rsid w:val="009160E3"/>
    <w:rsid w:val="009165E5"/>
    <w:rsid w:val="00916F39"/>
    <w:rsid w:val="009177D8"/>
    <w:rsid w:val="00917AC3"/>
    <w:rsid w:val="0092024E"/>
    <w:rsid w:val="009203B6"/>
    <w:rsid w:val="00920936"/>
    <w:rsid w:val="0092170A"/>
    <w:rsid w:val="00921902"/>
    <w:rsid w:val="00921A49"/>
    <w:rsid w:val="00921FA8"/>
    <w:rsid w:val="00922EBF"/>
    <w:rsid w:val="00922EF1"/>
    <w:rsid w:val="009241B7"/>
    <w:rsid w:val="00924256"/>
    <w:rsid w:val="00924C43"/>
    <w:rsid w:val="0092500D"/>
    <w:rsid w:val="009250BF"/>
    <w:rsid w:val="00925189"/>
    <w:rsid w:val="009252F7"/>
    <w:rsid w:val="00925DDD"/>
    <w:rsid w:val="00925F3B"/>
    <w:rsid w:val="00926601"/>
    <w:rsid w:val="00926AEE"/>
    <w:rsid w:val="0092726B"/>
    <w:rsid w:val="009276A4"/>
    <w:rsid w:val="00927B91"/>
    <w:rsid w:val="00927C11"/>
    <w:rsid w:val="00927CE4"/>
    <w:rsid w:val="00930168"/>
    <w:rsid w:val="009303B5"/>
    <w:rsid w:val="00930682"/>
    <w:rsid w:val="009308A9"/>
    <w:rsid w:val="0093090E"/>
    <w:rsid w:val="00930AD7"/>
    <w:rsid w:val="00932C64"/>
    <w:rsid w:val="00932E2A"/>
    <w:rsid w:val="00933882"/>
    <w:rsid w:val="00933AEE"/>
    <w:rsid w:val="00933D54"/>
    <w:rsid w:val="00933D5D"/>
    <w:rsid w:val="00933F08"/>
    <w:rsid w:val="00935192"/>
    <w:rsid w:val="00935C8F"/>
    <w:rsid w:val="00936593"/>
    <w:rsid w:val="00937149"/>
    <w:rsid w:val="0094118C"/>
    <w:rsid w:val="00941A3C"/>
    <w:rsid w:val="0094213A"/>
    <w:rsid w:val="009423B2"/>
    <w:rsid w:val="00942648"/>
    <w:rsid w:val="00942BB7"/>
    <w:rsid w:val="00942E91"/>
    <w:rsid w:val="0094307A"/>
    <w:rsid w:val="00943243"/>
    <w:rsid w:val="00943C52"/>
    <w:rsid w:val="00944084"/>
    <w:rsid w:val="0094444E"/>
    <w:rsid w:val="009453F7"/>
    <w:rsid w:val="00945801"/>
    <w:rsid w:val="009458D8"/>
    <w:rsid w:val="00946350"/>
    <w:rsid w:val="00946CC2"/>
    <w:rsid w:val="0095047A"/>
    <w:rsid w:val="00950D64"/>
    <w:rsid w:val="0095118B"/>
    <w:rsid w:val="00951478"/>
    <w:rsid w:val="009524B9"/>
    <w:rsid w:val="00952E7D"/>
    <w:rsid w:val="0095385E"/>
    <w:rsid w:val="00953B65"/>
    <w:rsid w:val="00954345"/>
    <w:rsid w:val="00954543"/>
    <w:rsid w:val="009548C2"/>
    <w:rsid w:val="00954ACB"/>
    <w:rsid w:val="00954D86"/>
    <w:rsid w:val="00955D34"/>
    <w:rsid w:val="0095612C"/>
    <w:rsid w:val="00956902"/>
    <w:rsid w:val="00956E99"/>
    <w:rsid w:val="00957D9B"/>
    <w:rsid w:val="00960A8E"/>
    <w:rsid w:val="00960B96"/>
    <w:rsid w:val="00960EA7"/>
    <w:rsid w:val="00961236"/>
    <w:rsid w:val="00961360"/>
    <w:rsid w:val="00961F73"/>
    <w:rsid w:val="00962209"/>
    <w:rsid w:val="009623B8"/>
    <w:rsid w:val="009630D4"/>
    <w:rsid w:val="009630E2"/>
    <w:rsid w:val="009631A0"/>
    <w:rsid w:val="00964252"/>
    <w:rsid w:val="00964924"/>
    <w:rsid w:val="00964CE9"/>
    <w:rsid w:val="00964F45"/>
    <w:rsid w:val="009651DE"/>
    <w:rsid w:val="00965DAF"/>
    <w:rsid w:val="009661EC"/>
    <w:rsid w:val="00966AB9"/>
    <w:rsid w:val="00966BEF"/>
    <w:rsid w:val="009670CD"/>
    <w:rsid w:val="009674E9"/>
    <w:rsid w:val="00967ED1"/>
    <w:rsid w:val="0097000E"/>
    <w:rsid w:val="009704E5"/>
    <w:rsid w:val="00971906"/>
    <w:rsid w:val="00971C9E"/>
    <w:rsid w:val="0097219C"/>
    <w:rsid w:val="00972494"/>
    <w:rsid w:val="009728C4"/>
    <w:rsid w:val="00973641"/>
    <w:rsid w:val="00973D52"/>
    <w:rsid w:val="0097460F"/>
    <w:rsid w:val="00974B07"/>
    <w:rsid w:val="00975707"/>
    <w:rsid w:val="0097592C"/>
    <w:rsid w:val="00975A42"/>
    <w:rsid w:val="0097618E"/>
    <w:rsid w:val="00976222"/>
    <w:rsid w:val="009765C0"/>
    <w:rsid w:val="00976C1B"/>
    <w:rsid w:val="00976E69"/>
    <w:rsid w:val="00976EAD"/>
    <w:rsid w:val="00976F9C"/>
    <w:rsid w:val="009779FD"/>
    <w:rsid w:val="00977DFF"/>
    <w:rsid w:val="00977E27"/>
    <w:rsid w:val="009806C3"/>
    <w:rsid w:val="00980A5A"/>
    <w:rsid w:val="00980A69"/>
    <w:rsid w:val="00980A8C"/>
    <w:rsid w:val="00981ABA"/>
    <w:rsid w:val="00982042"/>
    <w:rsid w:val="009827C3"/>
    <w:rsid w:val="00983D77"/>
    <w:rsid w:val="009847A2"/>
    <w:rsid w:val="00984935"/>
    <w:rsid w:val="009849CC"/>
    <w:rsid w:val="00984D75"/>
    <w:rsid w:val="00984FB4"/>
    <w:rsid w:val="009850DA"/>
    <w:rsid w:val="009854E5"/>
    <w:rsid w:val="00985B0E"/>
    <w:rsid w:val="00985EBE"/>
    <w:rsid w:val="00986406"/>
    <w:rsid w:val="0098716F"/>
    <w:rsid w:val="00987E46"/>
    <w:rsid w:val="00990939"/>
    <w:rsid w:val="00990F38"/>
    <w:rsid w:val="0099100E"/>
    <w:rsid w:val="0099110D"/>
    <w:rsid w:val="009918D3"/>
    <w:rsid w:val="00991D10"/>
    <w:rsid w:val="00992547"/>
    <w:rsid w:val="0099265C"/>
    <w:rsid w:val="00992978"/>
    <w:rsid w:val="00992FD3"/>
    <w:rsid w:val="00993194"/>
    <w:rsid w:val="009936BD"/>
    <w:rsid w:val="009939EB"/>
    <w:rsid w:val="00993ACF"/>
    <w:rsid w:val="00993B51"/>
    <w:rsid w:val="00993E1F"/>
    <w:rsid w:val="0099459A"/>
    <w:rsid w:val="0099473F"/>
    <w:rsid w:val="00994F2F"/>
    <w:rsid w:val="00994F7F"/>
    <w:rsid w:val="00994F9E"/>
    <w:rsid w:val="00995412"/>
    <w:rsid w:val="00995DC2"/>
    <w:rsid w:val="00996A6B"/>
    <w:rsid w:val="00996E9F"/>
    <w:rsid w:val="00997416"/>
    <w:rsid w:val="009A0426"/>
    <w:rsid w:val="009A0BEF"/>
    <w:rsid w:val="009A0D6D"/>
    <w:rsid w:val="009A17CC"/>
    <w:rsid w:val="009A1CF7"/>
    <w:rsid w:val="009A1D9C"/>
    <w:rsid w:val="009A26CB"/>
    <w:rsid w:val="009A2A83"/>
    <w:rsid w:val="009A2CE8"/>
    <w:rsid w:val="009A2D28"/>
    <w:rsid w:val="009A316E"/>
    <w:rsid w:val="009A3673"/>
    <w:rsid w:val="009A419F"/>
    <w:rsid w:val="009A4DCA"/>
    <w:rsid w:val="009A5120"/>
    <w:rsid w:val="009A668B"/>
    <w:rsid w:val="009A6982"/>
    <w:rsid w:val="009A6D2F"/>
    <w:rsid w:val="009A7490"/>
    <w:rsid w:val="009A7D1E"/>
    <w:rsid w:val="009B0404"/>
    <w:rsid w:val="009B0422"/>
    <w:rsid w:val="009B0A93"/>
    <w:rsid w:val="009B114C"/>
    <w:rsid w:val="009B1AA9"/>
    <w:rsid w:val="009B1CD6"/>
    <w:rsid w:val="009B1EB6"/>
    <w:rsid w:val="009B22A2"/>
    <w:rsid w:val="009B22BC"/>
    <w:rsid w:val="009B2459"/>
    <w:rsid w:val="009B2F59"/>
    <w:rsid w:val="009B3420"/>
    <w:rsid w:val="009B34AF"/>
    <w:rsid w:val="009B364B"/>
    <w:rsid w:val="009B42B1"/>
    <w:rsid w:val="009B4683"/>
    <w:rsid w:val="009B56EE"/>
    <w:rsid w:val="009B5F91"/>
    <w:rsid w:val="009B612C"/>
    <w:rsid w:val="009B644B"/>
    <w:rsid w:val="009B6A6A"/>
    <w:rsid w:val="009B6D37"/>
    <w:rsid w:val="009B7899"/>
    <w:rsid w:val="009B7A9D"/>
    <w:rsid w:val="009B7DA7"/>
    <w:rsid w:val="009C00F4"/>
    <w:rsid w:val="009C020D"/>
    <w:rsid w:val="009C0343"/>
    <w:rsid w:val="009C04E6"/>
    <w:rsid w:val="009C084F"/>
    <w:rsid w:val="009C23A7"/>
    <w:rsid w:val="009C28EF"/>
    <w:rsid w:val="009C3287"/>
    <w:rsid w:val="009C3CC5"/>
    <w:rsid w:val="009C4531"/>
    <w:rsid w:val="009C45C2"/>
    <w:rsid w:val="009C4944"/>
    <w:rsid w:val="009C53BE"/>
    <w:rsid w:val="009C5C6B"/>
    <w:rsid w:val="009C7648"/>
    <w:rsid w:val="009C796D"/>
    <w:rsid w:val="009D0174"/>
    <w:rsid w:val="009D01EB"/>
    <w:rsid w:val="009D0743"/>
    <w:rsid w:val="009D09E9"/>
    <w:rsid w:val="009D14A6"/>
    <w:rsid w:val="009D1821"/>
    <w:rsid w:val="009D21BD"/>
    <w:rsid w:val="009D2643"/>
    <w:rsid w:val="009D2DAD"/>
    <w:rsid w:val="009D3015"/>
    <w:rsid w:val="009D3A9F"/>
    <w:rsid w:val="009D3ADA"/>
    <w:rsid w:val="009D4C20"/>
    <w:rsid w:val="009D5114"/>
    <w:rsid w:val="009D5777"/>
    <w:rsid w:val="009D61CE"/>
    <w:rsid w:val="009D62DD"/>
    <w:rsid w:val="009D6B5B"/>
    <w:rsid w:val="009D7493"/>
    <w:rsid w:val="009D79AA"/>
    <w:rsid w:val="009E0AE3"/>
    <w:rsid w:val="009E30BD"/>
    <w:rsid w:val="009E390D"/>
    <w:rsid w:val="009E3A49"/>
    <w:rsid w:val="009E52FB"/>
    <w:rsid w:val="009E60A5"/>
    <w:rsid w:val="009E60DB"/>
    <w:rsid w:val="009E677A"/>
    <w:rsid w:val="009E68A9"/>
    <w:rsid w:val="009E6B97"/>
    <w:rsid w:val="009E736E"/>
    <w:rsid w:val="009E744F"/>
    <w:rsid w:val="009E7575"/>
    <w:rsid w:val="009E75C6"/>
    <w:rsid w:val="009F0265"/>
    <w:rsid w:val="009F0355"/>
    <w:rsid w:val="009F0CBC"/>
    <w:rsid w:val="009F11B2"/>
    <w:rsid w:val="009F175B"/>
    <w:rsid w:val="009F1957"/>
    <w:rsid w:val="009F1B46"/>
    <w:rsid w:val="009F1C9D"/>
    <w:rsid w:val="009F1DCF"/>
    <w:rsid w:val="009F1F91"/>
    <w:rsid w:val="009F20BD"/>
    <w:rsid w:val="009F2DB4"/>
    <w:rsid w:val="009F2E52"/>
    <w:rsid w:val="009F2F89"/>
    <w:rsid w:val="009F38F1"/>
    <w:rsid w:val="009F39D4"/>
    <w:rsid w:val="009F3B6D"/>
    <w:rsid w:val="009F3DF3"/>
    <w:rsid w:val="009F3E3D"/>
    <w:rsid w:val="009F4056"/>
    <w:rsid w:val="009F46F4"/>
    <w:rsid w:val="009F53B1"/>
    <w:rsid w:val="009F54D2"/>
    <w:rsid w:val="009F5F7D"/>
    <w:rsid w:val="009F6275"/>
    <w:rsid w:val="009F68CD"/>
    <w:rsid w:val="009F6A48"/>
    <w:rsid w:val="009F792E"/>
    <w:rsid w:val="009F7DBC"/>
    <w:rsid w:val="00A002BE"/>
    <w:rsid w:val="00A01037"/>
    <w:rsid w:val="00A010DB"/>
    <w:rsid w:val="00A02991"/>
    <w:rsid w:val="00A03280"/>
    <w:rsid w:val="00A0363F"/>
    <w:rsid w:val="00A0367D"/>
    <w:rsid w:val="00A03E57"/>
    <w:rsid w:val="00A042AF"/>
    <w:rsid w:val="00A04669"/>
    <w:rsid w:val="00A046D4"/>
    <w:rsid w:val="00A058F6"/>
    <w:rsid w:val="00A05D91"/>
    <w:rsid w:val="00A06609"/>
    <w:rsid w:val="00A06631"/>
    <w:rsid w:val="00A06C31"/>
    <w:rsid w:val="00A0761B"/>
    <w:rsid w:val="00A07CB1"/>
    <w:rsid w:val="00A10359"/>
    <w:rsid w:val="00A10639"/>
    <w:rsid w:val="00A10E42"/>
    <w:rsid w:val="00A113CB"/>
    <w:rsid w:val="00A114EC"/>
    <w:rsid w:val="00A12BBF"/>
    <w:rsid w:val="00A131F7"/>
    <w:rsid w:val="00A138BF"/>
    <w:rsid w:val="00A139B7"/>
    <w:rsid w:val="00A13F84"/>
    <w:rsid w:val="00A14F2C"/>
    <w:rsid w:val="00A1545E"/>
    <w:rsid w:val="00A15AE7"/>
    <w:rsid w:val="00A15E66"/>
    <w:rsid w:val="00A16901"/>
    <w:rsid w:val="00A20148"/>
    <w:rsid w:val="00A20406"/>
    <w:rsid w:val="00A20A2B"/>
    <w:rsid w:val="00A20E02"/>
    <w:rsid w:val="00A217A0"/>
    <w:rsid w:val="00A21C3F"/>
    <w:rsid w:val="00A21C65"/>
    <w:rsid w:val="00A22655"/>
    <w:rsid w:val="00A22667"/>
    <w:rsid w:val="00A22DDA"/>
    <w:rsid w:val="00A23B0A"/>
    <w:rsid w:val="00A24017"/>
    <w:rsid w:val="00A24967"/>
    <w:rsid w:val="00A24C1E"/>
    <w:rsid w:val="00A25CD6"/>
    <w:rsid w:val="00A25E3D"/>
    <w:rsid w:val="00A26399"/>
    <w:rsid w:val="00A266C0"/>
    <w:rsid w:val="00A267FE"/>
    <w:rsid w:val="00A26F77"/>
    <w:rsid w:val="00A275E6"/>
    <w:rsid w:val="00A30245"/>
    <w:rsid w:val="00A30628"/>
    <w:rsid w:val="00A30BEE"/>
    <w:rsid w:val="00A31428"/>
    <w:rsid w:val="00A317C6"/>
    <w:rsid w:val="00A31920"/>
    <w:rsid w:val="00A3228E"/>
    <w:rsid w:val="00A329B0"/>
    <w:rsid w:val="00A32E05"/>
    <w:rsid w:val="00A32FCA"/>
    <w:rsid w:val="00A335DA"/>
    <w:rsid w:val="00A33C57"/>
    <w:rsid w:val="00A33C76"/>
    <w:rsid w:val="00A33E16"/>
    <w:rsid w:val="00A34113"/>
    <w:rsid w:val="00A343DE"/>
    <w:rsid w:val="00A345A1"/>
    <w:rsid w:val="00A35396"/>
    <w:rsid w:val="00A36432"/>
    <w:rsid w:val="00A36788"/>
    <w:rsid w:val="00A36CB7"/>
    <w:rsid w:val="00A370EB"/>
    <w:rsid w:val="00A372BA"/>
    <w:rsid w:val="00A375E8"/>
    <w:rsid w:val="00A376AC"/>
    <w:rsid w:val="00A37A88"/>
    <w:rsid w:val="00A37CD7"/>
    <w:rsid w:val="00A37DAA"/>
    <w:rsid w:val="00A37F18"/>
    <w:rsid w:val="00A400B6"/>
    <w:rsid w:val="00A4030C"/>
    <w:rsid w:val="00A40474"/>
    <w:rsid w:val="00A41119"/>
    <w:rsid w:val="00A41262"/>
    <w:rsid w:val="00A41604"/>
    <w:rsid w:val="00A42B97"/>
    <w:rsid w:val="00A42C0A"/>
    <w:rsid w:val="00A438DD"/>
    <w:rsid w:val="00A43A85"/>
    <w:rsid w:val="00A44650"/>
    <w:rsid w:val="00A447AA"/>
    <w:rsid w:val="00A448C6"/>
    <w:rsid w:val="00A44A38"/>
    <w:rsid w:val="00A44F98"/>
    <w:rsid w:val="00A457C5"/>
    <w:rsid w:val="00A46890"/>
    <w:rsid w:val="00A47C7E"/>
    <w:rsid w:val="00A47E38"/>
    <w:rsid w:val="00A50475"/>
    <w:rsid w:val="00A504D4"/>
    <w:rsid w:val="00A504E0"/>
    <w:rsid w:val="00A50510"/>
    <w:rsid w:val="00A51236"/>
    <w:rsid w:val="00A51319"/>
    <w:rsid w:val="00A51EC9"/>
    <w:rsid w:val="00A51EEB"/>
    <w:rsid w:val="00A52D14"/>
    <w:rsid w:val="00A52F34"/>
    <w:rsid w:val="00A540DF"/>
    <w:rsid w:val="00A547FC"/>
    <w:rsid w:val="00A54A8D"/>
    <w:rsid w:val="00A54CB6"/>
    <w:rsid w:val="00A54FCB"/>
    <w:rsid w:val="00A56165"/>
    <w:rsid w:val="00A564B3"/>
    <w:rsid w:val="00A56AC6"/>
    <w:rsid w:val="00A56D9F"/>
    <w:rsid w:val="00A6031E"/>
    <w:rsid w:val="00A615C2"/>
    <w:rsid w:val="00A61744"/>
    <w:rsid w:val="00A61EC3"/>
    <w:rsid w:val="00A62E43"/>
    <w:rsid w:val="00A62FB1"/>
    <w:rsid w:val="00A630FD"/>
    <w:rsid w:val="00A63CBC"/>
    <w:rsid w:val="00A63DBC"/>
    <w:rsid w:val="00A642A8"/>
    <w:rsid w:val="00A65601"/>
    <w:rsid w:val="00A6605D"/>
    <w:rsid w:val="00A66168"/>
    <w:rsid w:val="00A668F6"/>
    <w:rsid w:val="00A66A17"/>
    <w:rsid w:val="00A6737C"/>
    <w:rsid w:val="00A6757D"/>
    <w:rsid w:val="00A67D87"/>
    <w:rsid w:val="00A67F02"/>
    <w:rsid w:val="00A67F8E"/>
    <w:rsid w:val="00A70047"/>
    <w:rsid w:val="00A7047B"/>
    <w:rsid w:val="00A704D6"/>
    <w:rsid w:val="00A70667"/>
    <w:rsid w:val="00A7099E"/>
    <w:rsid w:val="00A70ADF"/>
    <w:rsid w:val="00A70F76"/>
    <w:rsid w:val="00A71092"/>
    <w:rsid w:val="00A712CE"/>
    <w:rsid w:val="00A717A3"/>
    <w:rsid w:val="00A7185A"/>
    <w:rsid w:val="00A71B36"/>
    <w:rsid w:val="00A724A0"/>
    <w:rsid w:val="00A728CA"/>
    <w:rsid w:val="00A7370E"/>
    <w:rsid w:val="00A73803"/>
    <w:rsid w:val="00A73AC0"/>
    <w:rsid w:val="00A73EEC"/>
    <w:rsid w:val="00A74714"/>
    <w:rsid w:val="00A7680B"/>
    <w:rsid w:val="00A76A03"/>
    <w:rsid w:val="00A772E9"/>
    <w:rsid w:val="00A77896"/>
    <w:rsid w:val="00A77AD3"/>
    <w:rsid w:val="00A77FAC"/>
    <w:rsid w:val="00A800FB"/>
    <w:rsid w:val="00A8050E"/>
    <w:rsid w:val="00A81172"/>
    <w:rsid w:val="00A81BBD"/>
    <w:rsid w:val="00A82088"/>
    <w:rsid w:val="00A828C5"/>
    <w:rsid w:val="00A82BD7"/>
    <w:rsid w:val="00A83A37"/>
    <w:rsid w:val="00A83E1C"/>
    <w:rsid w:val="00A84AB2"/>
    <w:rsid w:val="00A84F7F"/>
    <w:rsid w:val="00A85189"/>
    <w:rsid w:val="00A852D9"/>
    <w:rsid w:val="00A855CD"/>
    <w:rsid w:val="00A8597C"/>
    <w:rsid w:val="00A85DB9"/>
    <w:rsid w:val="00A85DE9"/>
    <w:rsid w:val="00A8673A"/>
    <w:rsid w:val="00A875A8"/>
    <w:rsid w:val="00A87D1F"/>
    <w:rsid w:val="00A90429"/>
    <w:rsid w:val="00A908A7"/>
    <w:rsid w:val="00A908FD"/>
    <w:rsid w:val="00A91516"/>
    <w:rsid w:val="00A918D4"/>
    <w:rsid w:val="00A91FA1"/>
    <w:rsid w:val="00A92261"/>
    <w:rsid w:val="00A928F2"/>
    <w:rsid w:val="00A9299E"/>
    <w:rsid w:val="00A93E5D"/>
    <w:rsid w:val="00A9470C"/>
    <w:rsid w:val="00A94999"/>
    <w:rsid w:val="00A95A81"/>
    <w:rsid w:val="00A9602F"/>
    <w:rsid w:val="00A9711C"/>
    <w:rsid w:val="00A97C15"/>
    <w:rsid w:val="00A97CBE"/>
    <w:rsid w:val="00A97F45"/>
    <w:rsid w:val="00A97FC6"/>
    <w:rsid w:val="00AA1114"/>
    <w:rsid w:val="00AA1126"/>
    <w:rsid w:val="00AA1F1A"/>
    <w:rsid w:val="00AA2009"/>
    <w:rsid w:val="00AA2212"/>
    <w:rsid w:val="00AA2CD3"/>
    <w:rsid w:val="00AA30BD"/>
    <w:rsid w:val="00AA3B6A"/>
    <w:rsid w:val="00AA44F9"/>
    <w:rsid w:val="00AA4801"/>
    <w:rsid w:val="00AA4E50"/>
    <w:rsid w:val="00AA5E12"/>
    <w:rsid w:val="00AA6123"/>
    <w:rsid w:val="00AA7B15"/>
    <w:rsid w:val="00AA7E06"/>
    <w:rsid w:val="00AB0456"/>
    <w:rsid w:val="00AB08B9"/>
    <w:rsid w:val="00AB0B98"/>
    <w:rsid w:val="00AB122E"/>
    <w:rsid w:val="00AB12E8"/>
    <w:rsid w:val="00AB1744"/>
    <w:rsid w:val="00AB267B"/>
    <w:rsid w:val="00AB33D4"/>
    <w:rsid w:val="00AB514B"/>
    <w:rsid w:val="00AB54D0"/>
    <w:rsid w:val="00AB5745"/>
    <w:rsid w:val="00AB5881"/>
    <w:rsid w:val="00AB6A25"/>
    <w:rsid w:val="00AB6EEA"/>
    <w:rsid w:val="00AB70FF"/>
    <w:rsid w:val="00AB78CB"/>
    <w:rsid w:val="00AB7F00"/>
    <w:rsid w:val="00AC098C"/>
    <w:rsid w:val="00AC098F"/>
    <w:rsid w:val="00AC0CCB"/>
    <w:rsid w:val="00AC1FF9"/>
    <w:rsid w:val="00AC2742"/>
    <w:rsid w:val="00AC2DCB"/>
    <w:rsid w:val="00AC376B"/>
    <w:rsid w:val="00AC3DE0"/>
    <w:rsid w:val="00AC4642"/>
    <w:rsid w:val="00AC4B3A"/>
    <w:rsid w:val="00AC4C52"/>
    <w:rsid w:val="00AC4DD7"/>
    <w:rsid w:val="00AC510D"/>
    <w:rsid w:val="00AC51B5"/>
    <w:rsid w:val="00AC601E"/>
    <w:rsid w:val="00AC6040"/>
    <w:rsid w:val="00AC62B9"/>
    <w:rsid w:val="00AC729C"/>
    <w:rsid w:val="00AD01F5"/>
    <w:rsid w:val="00AD2F11"/>
    <w:rsid w:val="00AD3186"/>
    <w:rsid w:val="00AD375E"/>
    <w:rsid w:val="00AD3C44"/>
    <w:rsid w:val="00AD3D32"/>
    <w:rsid w:val="00AD3E9F"/>
    <w:rsid w:val="00AD4AE7"/>
    <w:rsid w:val="00AD4BDC"/>
    <w:rsid w:val="00AD5913"/>
    <w:rsid w:val="00AD5929"/>
    <w:rsid w:val="00AD5A3E"/>
    <w:rsid w:val="00AD5A83"/>
    <w:rsid w:val="00AD5A92"/>
    <w:rsid w:val="00AD5D55"/>
    <w:rsid w:val="00AD6707"/>
    <w:rsid w:val="00AD67A0"/>
    <w:rsid w:val="00AD6C29"/>
    <w:rsid w:val="00AD6CF8"/>
    <w:rsid w:val="00AD6D8A"/>
    <w:rsid w:val="00AD7345"/>
    <w:rsid w:val="00AD73B2"/>
    <w:rsid w:val="00AD76ED"/>
    <w:rsid w:val="00AD78FE"/>
    <w:rsid w:val="00AD7964"/>
    <w:rsid w:val="00AD7EDE"/>
    <w:rsid w:val="00AE0418"/>
    <w:rsid w:val="00AE0AF7"/>
    <w:rsid w:val="00AE0CD2"/>
    <w:rsid w:val="00AE0E5D"/>
    <w:rsid w:val="00AE161D"/>
    <w:rsid w:val="00AE1FAF"/>
    <w:rsid w:val="00AE205B"/>
    <w:rsid w:val="00AE2793"/>
    <w:rsid w:val="00AE2C28"/>
    <w:rsid w:val="00AE2D6D"/>
    <w:rsid w:val="00AE30E8"/>
    <w:rsid w:val="00AE3277"/>
    <w:rsid w:val="00AE34C8"/>
    <w:rsid w:val="00AE41ED"/>
    <w:rsid w:val="00AE44A6"/>
    <w:rsid w:val="00AE535E"/>
    <w:rsid w:val="00AE5DF0"/>
    <w:rsid w:val="00AE6051"/>
    <w:rsid w:val="00AE738B"/>
    <w:rsid w:val="00AF0012"/>
    <w:rsid w:val="00AF0F6F"/>
    <w:rsid w:val="00AF1DA9"/>
    <w:rsid w:val="00AF3B65"/>
    <w:rsid w:val="00AF4B9B"/>
    <w:rsid w:val="00AF62B3"/>
    <w:rsid w:val="00AF6967"/>
    <w:rsid w:val="00AF6C9E"/>
    <w:rsid w:val="00AF708E"/>
    <w:rsid w:val="00AF762E"/>
    <w:rsid w:val="00AF77D1"/>
    <w:rsid w:val="00AF7B63"/>
    <w:rsid w:val="00B00A4A"/>
    <w:rsid w:val="00B00F20"/>
    <w:rsid w:val="00B01487"/>
    <w:rsid w:val="00B01C77"/>
    <w:rsid w:val="00B02A83"/>
    <w:rsid w:val="00B038B0"/>
    <w:rsid w:val="00B03A7B"/>
    <w:rsid w:val="00B03E48"/>
    <w:rsid w:val="00B05153"/>
    <w:rsid w:val="00B05426"/>
    <w:rsid w:val="00B056B5"/>
    <w:rsid w:val="00B05807"/>
    <w:rsid w:val="00B0584F"/>
    <w:rsid w:val="00B062DD"/>
    <w:rsid w:val="00B0631A"/>
    <w:rsid w:val="00B06B09"/>
    <w:rsid w:val="00B077EB"/>
    <w:rsid w:val="00B07D5D"/>
    <w:rsid w:val="00B1006E"/>
    <w:rsid w:val="00B1030A"/>
    <w:rsid w:val="00B1046F"/>
    <w:rsid w:val="00B10614"/>
    <w:rsid w:val="00B107F5"/>
    <w:rsid w:val="00B10821"/>
    <w:rsid w:val="00B115D3"/>
    <w:rsid w:val="00B11887"/>
    <w:rsid w:val="00B11EFC"/>
    <w:rsid w:val="00B123AB"/>
    <w:rsid w:val="00B1277C"/>
    <w:rsid w:val="00B12987"/>
    <w:rsid w:val="00B139D5"/>
    <w:rsid w:val="00B13A29"/>
    <w:rsid w:val="00B147F5"/>
    <w:rsid w:val="00B1480A"/>
    <w:rsid w:val="00B14E0D"/>
    <w:rsid w:val="00B15065"/>
    <w:rsid w:val="00B15A3A"/>
    <w:rsid w:val="00B15D22"/>
    <w:rsid w:val="00B1661C"/>
    <w:rsid w:val="00B1701F"/>
    <w:rsid w:val="00B1731B"/>
    <w:rsid w:val="00B179CF"/>
    <w:rsid w:val="00B2084D"/>
    <w:rsid w:val="00B20F69"/>
    <w:rsid w:val="00B21713"/>
    <w:rsid w:val="00B217AD"/>
    <w:rsid w:val="00B223AB"/>
    <w:rsid w:val="00B227FF"/>
    <w:rsid w:val="00B23029"/>
    <w:rsid w:val="00B23F59"/>
    <w:rsid w:val="00B24276"/>
    <w:rsid w:val="00B249DE"/>
    <w:rsid w:val="00B2590F"/>
    <w:rsid w:val="00B264EF"/>
    <w:rsid w:val="00B2669E"/>
    <w:rsid w:val="00B26A9B"/>
    <w:rsid w:val="00B27764"/>
    <w:rsid w:val="00B30303"/>
    <w:rsid w:val="00B30808"/>
    <w:rsid w:val="00B31207"/>
    <w:rsid w:val="00B3164D"/>
    <w:rsid w:val="00B31D51"/>
    <w:rsid w:val="00B321A6"/>
    <w:rsid w:val="00B332E3"/>
    <w:rsid w:val="00B33687"/>
    <w:rsid w:val="00B339ED"/>
    <w:rsid w:val="00B33D10"/>
    <w:rsid w:val="00B341C5"/>
    <w:rsid w:val="00B346E7"/>
    <w:rsid w:val="00B34A90"/>
    <w:rsid w:val="00B34DA8"/>
    <w:rsid w:val="00B35540"/>
    <w:rsid w:val="00B35AA2"/>
    <w:rsid w:val="00B35C81"/>
    <w:rsid w:val="00B364DA"/>
    <w:rsid w:val="00B40651"/>
    <w:rsid w:val="00B406E4"/>
    <w:rsid w:val="00B4082F"/>
    <w:rsid w:val="00B40929"/>
    <w:rsid w:val="00B40FE7"/>
    <w:rsid w:val="00B4146C"/>
    <w:rsid w:val="00B41496"/>
    <w:rsid w:val="00B419FE"/>
    <w:rsid w:val="00B42286"/>
    <w:rsid w:val="00B42617"/>
    <w:rsid w:val="00B42D15"/>
    <w:rsid w:val="00B43404"/>
    <w:rsid w:val="00B43647"/>
    <w:rsid w:val="00B43B8F"/>
    <w:rsid w:val="00B43EB5"/>
    <w:rsid w:val="00B44C6E"/>
    <w:rsid w:val="00B45749"/>
    <w:rsid w:val="00B45C92"/>
    <w:rsid w:val="00B460E4"/>
    <w:rsid w:val="00B46166"/>
    <w:rsid w:val="00B46922"/>
    <w:rsid w:val="00B46A06"/>
    <w:rsid w:val="00B46A19"/>
    <w:rsid w:val="00B46A40"/>
    <w:rsid w:val="00B46A84"/>
    <w:rsid w:val="00B5018B"/>
    <w:rsid w:val="00B50654"/>
    <w:rsid w:val="00B51205"/>
    <w:rsid w:val="00B51A27"/>
    <w:rsid w:val="00B51A9F"/>
    <w:rsid w:val="00B52172"/>
    <w:rsid w:val="00B53084"/>
    <w:rsid w:val="00B5320E"/>
    <w:rsid w:val="00B532B4"/>
    <w:rsid w:val="00B5413C"/>
    <w:rsid w:val="00B5448C"/>
    <w:rsid w:val="00B544DA"/>
    <w:rsid w:val="00B546D5"/>
    <w:rsid w:val="00B54C9F"/>
    <w:rsid w:val="00B55904"/>
    <w:rsid w:val="00B55A14"/>
    <w:rsid w:val="00B55C67"/>
    <w:rsid w:val="00B5612B"/>
    <w:rsid w:val="00B57A60"/>
    <w:rsid w:val="00B60237"/>
    <w:rsid w:val="00B6118E"/>
    <w:rsid w:val="00B615C6"/>
    <w:rsid w:val="00B618A8"/>
    <w:rsid w:val="00B61A6C"/>
    <w:rsid w:val="00B622AE"/>
    <w:rsid w:val="00B62392"/>
    <w:rsid w:val="00B634E5"/>
    <w:rsid w:val="00B64670"/>
    <w:rsid w:val="00B6476D"/>
    <w:rsid w:val="00B64D7C"/>
    <w:rsid w:val="00B65049"/>
    <w:rsid w:val="00B654EB"/>
    <w:rsid w:val="00B659FD"/>
    <w:rsid w:val="00B65F29"/>
    <w:rsid w:val="00B6605C"/>
    <w:rsid w:val="00B664C6"/>
    <w:rsid w:val="00B66B50"/>
    <w:rsid w:val="00B6707C"/>
    <w:rsid w:val="00B71F4E"/>
    <w:rsid w:val="00B726CB"/>
    <w:rsid w:val="00B72AF8"/>
    <w:rsid w:val="00B72B09"/>
    <w:rsid w:val="00B73039"/>
    <w:rsid w:val="00B7363D"/>
    <w:rsid w:val="00B73C3E"/>
    <w:rsid w:val="00B74117"/>
    <w:rsid w:val="00B7520B"/>
    <w:rsid w:val="00B75387"/>
    <w:rsid w:val="00B756D5"/>
    <w:rsid w:val="00B76ECB"/>
    <w:rsid w:val="00B7706B"/>
    <w:rsid w:val="00B773B4"/>
    <w:rsid w:val="00B773B8"/>
    <w:rsid w:val="00B77AFC"/>
    <w:rsid w:val="00B77FAB"/>
    <w:rsid w:val="00B80697"/>
    <w:rsid w:val="00B80784"/>
    <w:rsid w:val="00B80CA6"/>
    <w:rsid w:val="00B80CAF"/>
    <w:rsid w:val="00B80EBC"/>
    <w:rsid w:val="00B80ED6"/>
    <w:rsid w:val="00B80FBE"/>
    <w:rsid w:val="00B814EE"/>
    <w:rsid w:val="00B81EEB"/>
    <w:rsid w:val="00B8243F"/>
    <w:rsid w:val="00B8346F"/>
    <w:rsid w:val="00B83CA2"/>
    <w:rsid w:val="00B84745"/>
    <w:rsid w:val="00B8480F"/>
    <w:rsid w:val="00B84CD7"/>
    <w:rsid w:val="00B852A8"/>
    <w:rsid w:val="00B85809"/>
    <w:rsid w:val="00B86241"/>
    <w:rsid w:val="00B8661D"/>
    <w:rsid w:val="00B86F88"/>
    <w:rsid w:val="00B8714D"/>
    <w:rsid w:val="00B8717B"/>
    <w:rsid w:val="00B87203"/>
    <w:rsid w:val="00B874ED"/>
    <w:rsid w:val="00B8788B"/>
    <w:rsid w:val="00B905CD"/>
    <w:rsid w:val="00B909F1"/>
    <w:rsid w:val="00B90EB8"/>
    <w:rsid w:val="00B90F54"/>
    <w:rsid w:val="00B91F3C"/>
    <w:rsid w:val="00B92045"/>
    <w:rsid w:val="00B92722"/>
    <w:rsid w:val="00B9295F"/>
    <w:rsid w:val="00B93498"/>
    <w:rsid w:val="00B939F9"/>
    <w:rsid w:val="00B93BF5"/>
    <w:rsid w:val="00B9406C"/>
    <w:rsid w:val="00B94111"/>
    <w:rsid w:val="00B9438C"/>
    <w:rsid w:val="00B94DC8"/>
    <w:rsid w:val="00B9501D"/>
    <w:rsid w:val="00B951B7"/>
    <w:rsid w:val="00B952AD"/>
    <w:rsid w:val="00B956B1"/>
    <w:rsid w:val="00B95D82"/>
    <w:rsid w:val="00B95DE7"/>
    <w:rsid w:val="00B96127"/>
    <w:rsid w:val="00B9671B"/>
    <w:rsid w:val="00B9721D"/>
    <w:rsid w:val="00B97344"/>
    <w:rsid w:val="00B97502"/>
    <w:rsid w:val="00B977DE"/>
    <w:rsid w:val="00B9786D"/>
    <w:rsid w:val="00B97F3E"/>
    <w:rsid w:val="00BA06CA"/>
    <w:rsid w:val="00BA1B83"/>
    <w:rsid w:val="00BA23D5"/>
    <w:rsid w:val="00BA37DC"/>
    <w:rsid w:val="00BA3BC9"/>
    <w:rsid w:val="00BA4472"/>
    <w:rsid w:val="00BA556E"/>
    <w:rsid w:val="00BA691B"/>
    <w:rsid w:val="00BA6CBC"/>
    <w:rsid w:val="00BA77AD"/>
    <w:rsid w:val="00BA7861"/>
    <w:rsid w:val="00BA78CF"/>
    <w:rsid w:val="00BB057B"/>
    <w:rsid w:val="00BB09D8"/>
    <w:rsid w:val="00BB15C5"/>
    <w:rsid w:val="00BB1752"/>
    <w:rsid w:val="00BB2310"/>
    <w:rsid w:val="00BB4D0B"/>
    <w:rsid w:val="00BB512C"/>
    <w:rsid w:val="00BB5C83"/>
    <w:rsid w:val="00BB6149"/>
    <w:rsid w:val="00BB6979"/>
    <w:rsid w:val="00BB74A1"/>
    <w:rsid w:val="00BB770F"/>
    <w:rsid w:val="00BB7A4C"/>
    <w:rsid w:val="00BC15C5"/>
    <w:rsid w:val="00BC16DF"/>
    <w:rsid w:val="00BC187A"/>
    <w:rsid w:val="00BC1979"/>
    <w:rsid w:val="00BC1E6D"/>
    <w:rsid w:val="00BC22BF"/>
    <w:rsid w:val="00BC433A"/>
    <w:rsid w:val="00BC4FA4"/>
    <w:rsid w:val="00BC51F0"/>
    <w:rsid w:val="00BC539D"/>
    <w:rsid w:val="00BC6F56"/>
    <w:rsid w:val="00BC6FE6"/>
    <w:rsid w:val="00BC7082"/>
    <w:rsid w:val="00BC794B"/>
    <w:rsid w:val="00BC7A0E"/>
    <w:rsid w:val="00BC7B60"/>
    <w:rsid w:val="00BD06A8"/>
    <w:rsid w:val="00BD1384"/>
    <w:rsid w:val="00BD1D62"/>
    <w:rsid w:val="00BD1E24"/>
    <w:rsid w:val="00BD1FCA"/>
    <w:rsid w:val="00BD227D"/>
    <w:rsid w:val="00BD3936"/>
    <w:rsid w:val="00BD3BC7"/>
    <w:rsid w:val="00BD41F4"/>
    <w:rsid w:val="00BD4B0B"/>
    <w:rsid w:val="00BD4CDB"/>
    <w:rsid w:val="00BD53EA"/>
    <w:rsid w:val="00BD5406"/>
    <w:rsid w:val="00BD64A3"/>
    <w:rsid w:val="00BE0262"/>
    <w:rsid w:val="00BE0267"/>
    <w:rsid w:val="00BE032F"/>
    <w:rsid w:val="00BE0A43"/>
    <w:rsid w:val="00BE0BAC"/>
    <w:rsid w:val="00BE192D"/>
    <w:rsid w:val="00BE1C19"/>
    <w:rsid w:val="00BE1CED"/>
    <w:rsid w:val="00BE2000"/>
    <w:rsid w:val="00BE232F"/>
    <w:rsid w:val="00BE274B"/>
    <w:rsid w:val="00BE2894"/>
    <w:rsid w:val="00BE2C05"/>
    <w:rsid w:val="00BE2F60"/>
    <w:rsid w:val="00BE3421"/>
    <w:rsid w:val="00BE4595"/>
    <w:rsid w:val="00BE51CF"/>
    <w:rsid w:val="00BE534F"/>
    <w:rsid w:val="00BE54EC"/>
    <w:rsid w:val="00BE5610"/>
    <w:rsid w:val="00BE5A64"/>
    <w:rsid w:val="00BE64C8"/>
    <w:rsid w:val="00BE6682"/>
    <w:rsid w:val="00BE6FEC"/>
    <w:rsid w:val="00BE706F"/>
    <w:rsid w:val="00BE7953"/>
    <w:rsid w:val="00BF023A"/>
    <w:rsid w:val="00BF1BC9"/>
    <w:rsid w:val="00BF227B"/>
    <w:rsid w:val="00BF340A"/>
    <w:rsid w:val="00BF3E9B"/>
    <w:rsid w:val="00BF460E"/>
    <w:rsid w:val="00BF4C64"/>
    <w:rsid w:val="00BF4D79"/>
    <w:rsid w:val="00BF5C09"/>
    <w:rsid w:val="00BF5C3A"/>
    <w:rsid w:val="00BF5C56"/>
    <w:rsid w:val="00BF65B7"/>
    <w:rsid w:val="00BF7249"/>
    <w:rsid w:val="00BF74BD"/>
    <w:rsid w:val="00BF75A9"/>
    <w:rsid w:val="00BF774E"/>
    <w:rsid w:val="00BF779D"/>
    <w:rsid w:val="00BF7978"/>
    <w:rsid w:val="00C00E5D"/>
    <w:rsid w:val="00C00EA9"/>
    <w:rsid w:val="00C014AE"/>
    <w:rsid w:val="00C01911"/>
    <w:rsid w:val="00C02C26"/>
    <w:rsid w:val="00C031AA"/>
    <w:rsid w:val="00C03D81"/>
    <w:rsid w:val="00C03DE2"/>
    <w:rsid w:val="00C04CFE"/>
    <w:rsid w:val="00C05397"/>
    <w:rsid w:val="00C05FB7"/>
    <w:rsid w:val="00C06AFA"/>
    <w:rsid w:val="00C06C54"/>
    <w:rsid w:val="00C0769B"/>
    <w:rsid w:val="00C101B7"/>
    <w:rsid w:val="00C1067E"/>
    <w:rsid w:val="00C10ECF"/>
    <w:rsid w:val="00C11265"/>
    <w:rsid w:val="00C11317"/>
    <w:rsid w:val="00C1176E"/>
    <w:rsid w:val="00C11985"/>
    <w:rsid w:val="00C121E9"/>
    <w:rsid w:val="00C131EC"/>
    <w:rsid w:val="00C13358"/>
    <w:rsid w:val="00C14A14"/>
    <w:rsid w:val="00C14A4E"/>
    <w:rsid w:val="00C14BBB"/>
    <w:rsid w:val="00C14C1E"/>
    <w:rsid w:val="00C15067"/>
    <w:rsid w:val="00C150AB"/>
    <w:rsid w:val="00C1579D"/>
    <w:rsid w:val="00C15DD8"/>
    <w:rsid w:val="00C164C5"/>
    <w:rsid w:val="00C169BB"/>
    <w:rsid w:val="00C16A96"/>
    <w:rsid w:val="00C16D63"/>
    <w:rsid w:val="00C16DD9"/>
    <w:rsid w:val="00C1711E"/>
    <w:rsid w:val="00C17528"/>
    <w:rsid w:val="00C17AE3"/>
    <w:rsid w:val="00C17DC8"/>
    <w:rsid w:val="00C20696"/>
    <w:rsid w:val="00C20751"/>
    <w:rsid w:val="00C224DF"/>
    <w:rsid w:val="00C232D5"/>
    <w:rsid w:val="00C236AB"/>
    <w:rsid w:val="00C23A0C"/>
    <w:rsid w:val="00C24145"/>
    <w:rsid w:val="00C247B8"/>
    <w:rsid w:val="00C255D7"/>
    <w:rsid w:val="00C25692"/>
    <w:rsid w:val="00C2589F"/>
    <w:rsid w:val="00C25D65"/>
    <w:rsid w:val="00C26166"/>
    <w:rsid w:val="00C2636E"/>
    <w:rsid w:val="00C26895"/>
    <w:rsid w:val="00C275F0"/>
    <w:rsid w:val="00C27C7C"/>
    <w:rsid w:val="00C27FE2"/>
    <w:rsid w:val="00C306EC"/>
    <w:rsid w:val="00C3078D"/>
    <w:rsid w:val="00C30DE3"/>
    <w:rsid w:val="00C31055"/>
    <w:rsid w:val="00C31B18"/>
    <w:rsid w:val="00C31FD9"/>
    <w:rsid w:val="00C3205F"/>
    <w:rsid w:val="00C32D15"/>
    <w:rsid w:val="00C32F89"/>
    <w:rsid w:val="00C33A4C"/>
    <w:rsid w:val="00C33F8A"/>
    <w:rsid w:val="00C345BB"/>
    <w:rsid w:val="00C34657"/>
    <w:rsid w:val="00C34B15"/>
    <w:rsid w:val="00C34EF2"/>
    <w:rsid w:val="00C35002"/>
    <w:rsid w:val="00C355D5"/>
    <w:rsid w:val="00C36C57"/>
    <w:rsid w:val="00C36D88"/>
    <w:rsid w:val="00C376D8"/>
    <w:rsid w:val="00C37A11"/>
    <w:rsid w:val="00C37D8F"/>
    <w:rsid w:val="00C40393"/>
    <w:rsid w:val="00C408F8"/>
    <w:rsid w:val="00C413B5"/>
    <w:rsid w:val="00C416AD"/>
    <w:rsid w:val="00C41850"/>
    <w:rsid w:val="00C419DC"/>
    <w:rsid w:val="00C42016"/>
    <w:rsid w:val="00C4315C"/>
    <w:rsid w:val="00C43962"/>
    <w:rsid w:val="00C43D49"/>
    <w:rsid w:val="00C44EAA"/>
    <w:rsid w:val="00C45031"/>
    <w:rsid w:val="00C4518E"/>
    <w:rsid w:val="00C45ECB"/>
    <w:rsid w:val="00C460A2"/>
    <w:rsid w:val="00C46CCC"/>
    <w:rsid w:val="00C46E2D"/>
    <w:rsid w:val="00C4720F"/>
    <w:rsid w:val="00C47230"/>
    <w:rsid w:val="00C47698"/>
    <w:rsid w:val="00C47708"/>
    <w:rsid w:val="00C50EDD"/>
    <w:rsid w:val="00C513BD"/>
    <w:rsid w:val="00C516C6"/>
    <w:rsid w:val="00C52782"/>
    <w:rsid w:val="00C5306E"/>
    <w:rsid w:val="00C53DDD"/>
    <w:rsid w:val="00C540F0"/>
    <w:rsid w:val="00C542AF"/>
    <w:rsid w:val="00C54538"/>
    <w:rsid w:val="00C5491C"/>
    <w:rsid w:val="00C559F5"/>
    <w:rsid w:val="00C56AB3"/>
    <w:rsid w:val="00C56B1B"/>
    <w:rsid w:val="00C56D72"/>
    <w:rsid w:val="00C57CCC"/>
    <w:rsid w:val="00C57F58"/>
    <w:rsid w:val="00C60778"/>
    <w:rsid w:val="00C60C44"/>
    <w:rsid w:val="00C61216"/>
    <w:rsid w:val="00C612E7"/>
    <w:rsid w:val="00C6193C"/>
    <w:rsid w:val="00C61DB3"/>
    <w:rsid w:val="00C625FF"/>
    <w:rsid w:val="00C638BC"/>
    <w:rsid w:val="00C6452C"/>
    <w:rsid w:val="00C647D9"/>
    <w:rsid w:val="00C64910"/>
    <w:rsid w:val="00C64E08"/>
    <w:rsid w:val="00C654CB"/>
    <w:rsid w:val="00C65923"/>
    <w:rsid w:val="00C66034"/>
    <w:rsid w:val="00C6662B"/>
    <w:rsid w:val="00C6662F"/>
    <w:rsid w:val="00C66F15"/>
    <w:rsid w:val="00C671C8"/>
    <w:rsid w:val="00C67691"/>
    <w:rsid w:val="00C67BA7"/>
    <w:rsid w:val="00C67D7B"/>
    <w:rsid w:val="00C67F40"/>
    <w:rsid w:val="00C7028C"/>
    <w:rsid w:val="00C70765"/>
    <w:rsid w:val="00C7199C"/>
    <w:rsid w:val="00C71A2F"/>
    <w:rsid w:val="00C71D6E"/>
    <w:rsid w:val="00C72441"/>
    <w:rsid w:val="00C72DEB"/>
    <w:rsid w:val="00C72DFD"/>
    <w:rsid w:val="00C730E6"/>
    <w:rsid w:val="00C73466"/>
    <w:rsid w:val="00C73735"/>
    <w:rsid w:val="00C73875"/>
    <w:rsid w:val="00C73FA0"/>
    <w:rsid w:val="00C74310"/>
    <w:rsid w:val="00C7459A"/>
    <w:rsid w:val="00C74788"/>
    <w:rsid w:val="00C74F17"/>
    <w:rsid w:val="00C7539A"/>
    <w:rsid w:val="00C76507"/>
    <w:rsid w:val="00C76766"/>
    <w:rsid w:val="00C76B19"/>
    <w:rsid w:val="00C7706F"/>
    <w:rsid w:val="00C7755F"/>
    <w:rsid w:val="00C805B4"/>
    <w:rsid w:val="00C807F2"/>
    <w:rsid w:val="00C809F8"/>
    <w:rsid w:val="00C81474"/>
    <w:rsid w:val="00C81EB2"/>
    <w:rsid w:val="00C82910"/>
    <w:rsid w:val="00C82FA6"/>
    <w:rsid w:val="00C830AB"/>
    <w:rsid w:val="00C83B25"/>
    <w:rsid w:val="00C8401D"/>
    <w:rsid w:val="00C843EE"/>
    <w:rsid w:val="00C84769"/>
    <w:rsid w:val="00C84A4D"/>
    <w:rsid w:val="00C84E3F"/>
    <w:rsid w:val="00C85120"/>
    <w:rsid w:val="00C854C1"/>
    <w:rsid w:val="00C85554"/>
    <w:rsid w:val="00C856D2"/>
    <w:rsid w:val="00C86386"/>
    <w:rsid w:val="00C8641E"/>
    <w:rsid w:val="00C86AB7"/>
    <w:rsid w:val="00C86D45"/>
    <w:rsid w:val="00C90234"/>
    <w:rsid w:val="00C90488"/>
    <w:rsid w:val="00C906A2"/>
    <w:rsid w:val="00C90F2F"/>
    <w:rsid w:val="00C90FB1"/>
    <w:rsid w:val="00C91136"/>
    <w:rsid w:val="00C91225"/>
    <w:rsid w:val="00C91632"/>
    <w:rsid w:val="00C92422"/>
    <w:rsid w:val="00C929E1"/>
    <w:rsid w:val="00C9344D"/>
    <w:rsid w:val="00C934A6"/>
    <w:rsid w:val="00C93F1B"/>
    <w:rsid w:val="00C940D8"/>
    <w:rsid w:val="00C94304"/>
    <w:rsid w:val="00C9443C"/>
    <w:rsid w:val="00C94712"/>
    <w:rsid w:val="00C94C24"/>
    <w:rsid w:val="00C95589"/>
    <w:rsid w:val="00C95727"/>
    <w:rsid w:val="00C957C3"/>
    <w:rsid w:val="00C9621A"/>
    <w:rsid w:val="00C9674F"/>
    <w:rsid w:val="00C967CC"/>
    <w:rsid w:val="00C96CEF"/>
    <w:rsid w:val="00C97102"/>
    <w:rsid w:val="00CA06EC"/>
    <w:rsid w:val="00CA0A54"/>
    <w:rsid w:val="00CA1336"/>
    <w:rsid w:val="00CA14EF"/>
    <w:rsid w:val="00CA1EAF"/>
    <w:rsid w:val="00CA1F5C"/>
    <w:rsid w:val="00CA2767"/>
    <w:rsid w:val="00CA2E33"/>
    <w:rsid w:val="00CA2FFE"/>
    <w:rsid w:val="00CA34CD"/>
    <w:rsid w:val="00CA34D4"/>
    <w:rsid w:val="00CA3849"/>
    <w:rsid w:val="00CA3A20"/>
    <w:rsid w:val="00CA4463"/>
    <w:rsid w:val="00CA46D5"/>
    <w:rsid w:val="00CA51DC"/>
    <w:rsid w:val="00CA5659"/>
    <w:rsid w:val="00CA5B35"/>
    <w:rsid w:val="00CA5C5E"/>
    <w:rsid w:val="00CA5F84"/>
    <w:rsid w:val="00CA61EF"/>
    <w:rsid w:val="00CA6862"/>
    <w:rsid w:val="00CA6A07"/>
    <w:rsid w:val="00CA6BEA"/>
    <w:rsid w:val="00CA6C0D"/>
    <w:rsid w:val="00CA6C20"/>
    <w:rsid w:val="00CA6D3A"/>
    <w:rsid w:val="00CA6E65"/>
    <w:rsid w:val="00CA7367"/>
    <w:rsid w:val="00CA7789"/>
    <w:rsid w:val="00CB012D"/>
    <w:rsid w:val="00CB03B7"/>
    <w:rsid w:val="00CB0628"/>
    <w:rsid w:val="00CB0DA1"/>
    <w:rsid w:val="00CB0FDF"/>
    <w:rsid w:val="00CB1682"/>
    <w:rsid w:val="00CB1A04"/>
    <w:rsid w:val="00CB1D61"/>
    <w:rsid w:val="00CB2FDD"/>
    <w:rsid w:val="00CB33BF"/>
    <w:rsid w:val="00CB3913"/>
    <w:rsid w:val="00CB3A6E"/>
    <w:rsid w:val="00CB3B24"/>
    <w:rsid w:val="00CB405D"/>
    <w:rsid w:val="00CB43A6"/>
    <w:rsid w:val="00CB43E4"/>
    <w:rsid w:val="00CB442A"/>
    <w:rsid w:val="00CB4693"/>
    <w:rsid w:val="00CB4B61"/>
    <w:rsid w:val="00CB52D8"/>
    <w:rsid w:val="00CB54AF"/>
    <w:rsid w:val="00CB6034"/>
    <w:rsid w:val="00CB6988"/>
    <w:rsid w:val="00CB70E3"/>
    <w:rsid w:val="00CB7C0E"/>
    <w:rsid w:val="00CC0407"/>
    <w:rsid w:val="00CC0D8B"/>
    <w:rsid w:val="00CC1503"/>
    <w:rsid w:val="00CC1549"/>
    <w:rsid w:val="00CC1910"/>
    <w:rsid w:val="00CC19DE"/>
    <w:rsid w:val="00CC23FD"/>
    <w:rsid w:val="00CC2436"/>
    <w:rsid w:val="00CC2AAB"/>
    <w:rsid w:val="00CC2CB0"/>
    <w:rsid w:val="00CC2CCE"/>
    <w:rsid w:val="00CC2EF6"/>
    <w:rsid w:val="00CC3502"/>
    <w:rsid w:val="00CC3B18"/>
    <w:rsid w:val="00CC4294"/>
    <w:rsid w:val="00CC476C"/>
    <w:rsid w:val="00CC4D91"/>
    <w:rsid w:val="00CC5266"/>
    <w:rsid w:val="00CC5BAC"/>
    <w:rsid w:val="00CC6524"/>
    <w:rsid w:val="00CC6E97"/>
    <w:rsid w:val="00CC72BE"/>
    <w:rsid w:val="00CC72CA"/>
    <w:rsid w:val="00CC772D"/>
    <w:rsid w:val="00CC78BF"/>
    <w:rsid w:val="00CD03FA"/>
    <w:rsid w:val="00CD0846"/>
    <w:rsid w:val="00CD0D5C"/>
    <w:rsid w:val="00CD1BD1"/>
    <w:rsid w:val="00CD1BED"/>
    <w:rsid w:val="00CD254C"/>
    <w:rsid w:val="00CD3285"/>
    <w:rsid w:val="00CD351D"/>
    <w:rsid w:val="00CD397B"/>
    <w:rsid w:val="00CD3D78"/>
    <w:rsid w:val="00CD3E1F"/>
    <w:rsid w:val="00CD40B6"/>
    <w:rsid w:val="00CD42F3"/>
    <w:rsid w:val="00CD4394"/>
    <w:rsid w:val="00CD468A"/>
    <w:rsid w:val="00CD5116"/>
    <w:rsid w:val="00CD51C9"/>
    <w:rsid w:val="00CD559E"/>
    <w:rsid w:val="00CD5BF5"/>
    <w:rsid w:val="00CD6660"/>
    <w:rsid w:val="00CD6D7F"/>
    <w:rsid w:val="00CD732D"/>
    <w:rsid w:val="00CD7510"/>
    <w:rsid w:val="00CD7D43"/>
    <w:rsid w:val="00CD7D5B"/>
    <w:rsid w:val="00CE049D"/>
    <w:rsid w:val="00CE0967"/>
    <w:rsid w:val="00CE0B94"/>
    <w:rsid w:val="00CE0FD8"/>
    <w:rsid w:val="00CE1286"/>
    <w:rsid w:val="00CE12EF"/>
    <w:rsid w:val="00CE169F"/>
    <w:rsid w:val="00CE16C4"/>
    <w:rsid w:val="00CE1B3F"/>
    <w:rsid w:val="00CE1BFF"/>
    <w:rsid w:val="00CE1FFA"/>
    <w:rsid w:val="00CE2116"/>
    <w:rsid w:val="00CE2226"/>
    <w:rsid w:val="00CE2364"/>
    <w:rsid w:val="00CE2394"/>
    <w:rsid w:val="00CE25E8"/>
    <w:rsid w:val="00CE2B69"/>
    <w:rsid w:val="00CE2CA9"/>
    <w:rsid w:val="00CE2ED7"/>
    <w:rsid w:val="00CE3B99"/>
    <w:rsid w:val="00CE3EA0"/>
    <w:rsid w:val="00CE4519"/>
    <w:rsid w:val="00CE4909"/>
    <w:rsid w:val="00CE4CD6"/>
    <w:rsid w:val="00CE4D62"/>
    <w:rsid w:val="00CE5223"/>
    <w:rsid w:val="00CE56B4"/>
    <w:rsid w:val="00CE5708"/>
    <w:rsid w:val="00CE5D47"/>
    <w:rsid w:val="00CE657E"/>
    <w:rsid w:val="00CE6822"/>
    <w:rsid w:val="00CE71C2"/>
    <w:rsid w:val="00CE7223"/>
    <w:rsid w:val="00CF0398"/>
    <w:rsid w:val="00CF03AA"/>
    <w:rsid w:val="00CF05C7"/>
    <w:rsid w:val="00CF0695"/>
    <w:rsid w:val="00CF0D0C"/>
    <w:rsid w:val="00CF1031"/>
    <w:rsid w:val="00CF13A1"/>
    <w:rsid w:val="00CF15E6"/>
    <w:rsid w:val="00CF160D"/>
    <w:rsid w:val="00CF1611"/>
    <w:rsid w:val="00CF1F89"/>
    <w:rsid w:val="00CF2411"/>
    <w:rsid w:val="00CF25AF"/>
    <w:rsid w:val="00CF270A"/>
    <w:rsid w:val="00CF2F1D"/>
    <w:rsid w:val="00CF331B"/>
    <w:rsid w:val="00CF3A2A"/>
    <w:rsid w:val="00CF3D85"/>
    <w:rsid w:val="00CF44FC"/>
    <w:rsid w:val="00CF53C8"/>
    <w:rsid w:val="00CF559F"/>
    <w:rsid w:val="00CF6095"/>
    <w:rsid w:val="00CF60D4"/>
    <w:rsid w:val="00CF698E"/>
    <w:rsid w:val="00CF6E76"/>
    <w:rsid w:val="00CF70D0"/>
    <w:rsid w:val="00CF74BC"/>
    <w:rsid w:val="00CF78BA"/>
    <w:rsid w:val="00CF7E80"/>
    <w:rsid w:val="00D002B6"/>
    <w:rsid w:val="00D003ED"/>
    <w:rsid w:val="00D00501"/>
    <w:rsid w:val="00D0094C"/>
    <w:rsid w:val="00D0114F"/>
    <w:rsid w:val="00D01B24"/>
    <w:rsid w:val="00D01DCD"/>
    <w:rsid w:val="00D01DD8"/>
    <w:rsid w:val="00D04A04"/>
    <w:rsid w:val="00D04CE7"/>
    <w:rsid w:val="00D05391"/>
    <w:rsid w:val="00D057D0"/>
    <w:rsid w:val="00D06533"/>
    <w:rsid w:val="00D06567"/>
    <w:rsid w:val="00D067C5"/>
    <w:rsid w:val="00D0710B"/>
    <w:rsid w:val="00D0717F"/>
    <w:rsid w:val="00D073F6"/>
    <w:rsid w:val="00D0758C"/>
    <w:rsid w:val="00D07621"/>
    <w:rsid w:val="00D07792"/>
    <w:rsid w:val="00D10CBD"/>
    <w:rsid w:val="00D10FDA"/>
    <w:rsid w:val="00D1105E"/>
    <w:rsid w:val="00D11706"/>
    <w:rsid w:val="00D11D59"/>
    <w:rsid w:val="00D131FA"/>
    <w:rsid w:val="00D14307"/>
    <w:rsid w:val="00D150D4"/>
    <w:rsid w:val="00D15599"/>
    <w:rsid w:val="00D1590C"/>
    <w:rsid w:val="00D15D03"/>
    <w:rsid w:val="00D167BB"/>
    <w:rsid w:val="00D168F1"/>
    <w:rsid w:val="00D16984"/>
    <w:rsid w:val="00D16FBF"/>
    <w:rsid w:val="00D17723"/>
    <w:rsid w:val="00D17A3A"/>
    <w:rsid w:val="00D17D8F"/>
    <w:rsid w:val="00D17FEE"/>
    <w:rsid w:val="00D200B9"/>
    <w:rsid w:val="00D209C8"/>
    <w:rsid w:val="00D20B00"/>
    <w:rsid w:val="00D20BF0"/>
    <w:rsid w:val="00D212EA"/>
    <w:rsid w:val="00D22950"/>
    <w:rsid w:val="00D23041"/>
    <w:rsid w:val="00D23353"/>
    <w:rsid w:val="00D234AE"/>
    <w:rsid w:val="00D2360F"/>
    <w:rsid w:val="00D23CE1"/>
    <w:rsid w:val="00D24643"/>
    <w:rsid w:val="00D2482B"/>
    <w:rsid w:val="00D24D71"/>
    <w:rsid w:val="00D253CC"/>
    <w:rsid w:val="00D25E36"/>
    <w:rsid w:val="00D26068"/>
    <w:rsid w:val="00D265C5"/>
    <w:rsid w:val="00D26A66"/>
    <w:rsid w:val="00D270F6"/>
    <w:rsid w:val="00D27CA0"/>
    <w:rsid w:val="00D30919"/>
    <w:rsid w:val="00D3125C"/>
    <w:rsid w:val="00D31670"/>
    <w:rsid w:val="00D31B2F"/>
    <w:rsid w:val="00D324EF"/>
    <w:rsid w:val="00D32BA1"/>
    <w:rsid w:val="00D339B1"/>
    <w:rsid w:val="00D343DE"/>
    <w:rsid w:val="00D350CB"/>
    <w:rsid w:val="00D35540"/>
    <w:rsid w:val="00D35B4F"/>
    <w:rsid w:val="00D35F30"/>
    <w:rsid w:val="00D35FA6"/>
    <w:rsid w:val="00D36C70"/>
    <w:rsid w:val="00D36CD3"/>
    <w:rsid w:val="00D36FBA"/>
    <w:rsid w:val="00D37214"/>
    <w:rsid w:val="00D37436"/>
    <w:rsid w:val="00D37455"/>
    <w:rsid w:val="00D37699"/>
    <w:rsid w:val="00D40040"/>
    <w:rsid w:val="00D4018B"/>
    <w:rsid w:val="00D40933"/>
    <w:rsid w:val="00D40D48"/>
    <w:rsid w:val="00D414C5"/>
    <w:rsid w:val="00D424E6"/>
    <w:rsid w:val="00D42691"/>
    <w:rsid w:val="00D4310E"/>
    <w:rsid w:val="00D4319C"/>
    <w:rsid w:val="00D432D6"/>
    <w:rsid w:val="00D43551"/>
    <w:rsid w:val="00D43638"/>
    <w:rsid w:val="00D43776"/>
    <w:rsid w:val="00D43927"/>
    <w:rsid w:val="00D43A06"/>
    <w:rsid w:val="00D43F73"/>
    <w:rsid w:val="00D44598"/>
    <w:rsid w:val="00D45B10"/>
    <w:rsid w:val="00D46ABF"/>
    <w:rsid w:val="00D4713D"/>
    <w:rsid w:val="00D47407"/>
    <w:rsid w:val="00D4742D"/>
    <w:rsid w:val="00D4742E"/>
    <w:rsid w:val="00D47477"/>
    <w:rsid w:val="00D47789"/>
    <w:rsid w:val="00D47BE7"/>
    <w:rsid w:val="00D47CCA"/>
    <w:rsid w:val="00D47CE6"/>
    <w:rsid w:val="00D51209"/>
    <w:rsid w:val="00D51535"/>
    <w:rsid w:val="00D51605"/>
    <w:rsid w:val="00D521B6"/>
    <w:rsid w:val="00D52428"/>
    <w:rsid w:val="00D52A68"/>
    <w:rsid w:val="00D53114"/>
    <w:rsid w:val="00D5354D"/>
    <w:rsid w:val="00D53A90"/>
    <w:rsid w:val="00D5447E"/>
    <w:rsid w:val="00D545EA"/>
    <w:rsid w:val="00D54690"/>
    <w:rsid w:val="00D54BD7"/>
    <w:rsid w:val="00D54C69"/>
    <w:rsid w:val="00D54D3E"/>
    <w:rsid w:val="00D54EC4"/>
    <w:rsid w:val="00D54F38"/>
    <w:rsid w:val="00D562BF"/>
    <w:rsid w:val="00D562F7"/>
    <w:rsid w:val="00D563B6"/>
    <w:rsid w:val="00D601E0"/>
    <w:rsid w:val="00D60240"/>
    <w:rsid w:val="00D603E9"/>
    <w:rsid w:val="00D610DC"/>
    <w:rsid w:val="00D61823"/>
    <w:rsid w:val="00D61DF2"/>
    <w:rsid w:val="00D6221E"/>
    <w:rsid w:val="00D6230B"/>
    <w:rsid w:val="00D6235A"/>
    <w:rsid w:val="00D6282F"/>
    <w:rsid w:val="00D628ED"/>
    <w:rsid w:val="00D62BC3"/>
    <w:rsid w:val="00D62C40"/>
    <w:rsid w:val="00D6327F"/>
    <w:rsid w:val="00D64079"/>
    <w:rsid w:val="00D64951"/>
    <w:rsid w:val="00D65083"/>
    <w:rsid w:val="00D652FF"/>
    <w:rsid w:val="00D6571A"/>
    <w:rsid w:val="00D65F4F"/>
    <w:rsid w:val="00D66A50"/>
    <w:rsid w:val="00D66AA9"/>
    <w:rsid w:val="00D6781C"/>
    <w:rsid w:val="00D700FD"/>
    <w:rsid w:val="00D70180"/>
    <w:rsid w:val="00D705A0"/>
    <w:rsid w:val="00D71C65"/>
    <w:rsid w:val="00D7224A"/>
    <w:rsid w:val="00D723C2"/>
    <w:rsid w:val="00D72714"/>
    <w:rsid w:val="00D72AB3"/>
    <w:rsid w:val="00D72B0F"/>
    <w:rsid w:val="00D731E3"/>
    <w:rsid w:val="00D73240"/>
    <w:rsid w:val="00D73D4B"/>
    <w:rsid w:val="00D73D54"/>
    <w:rsid w:val="00D7420D"/>
    <w:rsid w:val="00D742C9"/>
    <w:rsid w:val="00D74A0A"/>
    <w:rsid w:val="00D74AC2"/>
    <w:rsid w:val="00D74D8F"/>
    <w:rsid w:val="00D75357"/>
    <w:rsid w:val="00D75A56"/>
    <w:rsid w:val="00D75B56"/>
    <w:rsid w:val="00D75B69"/>
    <w:rsid w:val="00D75C21"/>
    <w:rsid w:val="00D7622B"/>
    <w:rsid w:val="00D765CA"/>
    <w:rsid w:val="00D76951"/>
    <w:rsid w:val="00D77747"/>
    <w:rsid w:val="00D7779A"/>
    <w:rsid w:val="00D77E1D"/>
    <w:rsid w:val="00D80518"/>
    <w:rsid w:val="00D808BF"/>
    <w:rsid w:val="00D8199C"/>
    <w:rsid w:val="00D82583"/>
    <w:rsid w:val="00D826FE"/>
    <w:rsid w:val="00D82882"/>
    <w:rsid w:val="00D82BB0"/>
    <w:rsid w:val="00D82BF8"/>
    <w:rsid w:val="00D8331E"/>
    <w:rsid w:val="00D83922"/>
    <w:rsid w:val="00D839A4"/>
    <w:rsid w:val="00D83CDC"/>
    <w:rsid w:val="00D83DE3"/>
    <w:rsid w:val="00D8447B"/>
    <w:rsid w:val="00D847B9"/>
    <w:rsid w:val="00D84CAA"/>
    <w:rsid w:val="00D8519E"/>
    <w:rsid w:val="00D8527C"/>
    <w:rsid w:val="00D85AA1"/>
    <w:rsid w:val="00D85B0B"/>
    <w:rsid w:val="00D861E7"/>
    <w:rsid w:val="00D86244"/>
    <w:rsid w:val="00D86AF6"/>
    <w:rsid w:val="00D86BFF"/>
    <w:rsid w:val="00D86DD6"/>
    <w:rsid w:val="00D87089"/>
    <w:rsid w:val="00D872C5"/>
    <w:rsid w:val="00D874B4"/>
    <w:rsid w:val="00D87C5E"/>
    <w:rsid w:val="00D87F2F"/>
    <w:rsid w:val="00D90330"/>
    <w:rsid w:val="00D903B9"/>
    <w:rsid w:val="00D903C4"/>
    <w:rsid w:val="00D908C0"/>
    <w:rsid w:val="00D9133E"/>
    <w:rsid w:val="00D91461"/>
    <w:rsid w:val="00D91B84"/>
    <w:rsid w:val="00D91DF0"/>
    <w:rsid w:val="00D92105"/>
    <w:rsid w:val="00D92919"/>
    <w:rsid w:val="00D92B11"/>
    <w:rsid w:val="00D934A0"/>
    <w:rsid w:val="00D93B6A"/>
    <w:rsid w:val="00D93F8D"/>
    <w:rsid w:val="00D955DE"/>
    <w:rsid w:val="00D95963"/>
    <w:rsid w:val="00D95C6F"/>
    <w:rsid w:val="00D9633A"/>
    <w:rsid w:val="00D963AA"/>
    <w:rsid w:val="00D97616"/>
    <w:rsid w:val="00D9762B"/>
    <w:rsid w:val="00D9798B"/>
    <w:rsid w:val="00D97D17"/>
    <w:rsid w:val="00DA0104"/>
    <w:rsid w:val="00DA07E8"/>
    <w:rsid w:val="00DA0B69"/>
    <w:rsid w:val="00DA1980"/>
    <w:rsid w:val="00DA1982"/>
    <w:rsid w:val="00DA1E5F"/>
    <w:rsid w:val="00DA1F19"/>
    <w:rsid w:val="00DA21C8"/>
    <w:rsid w:val="00DA2772"/>
    <w:rsid w:val="00DA2816"/>
    <w:rsid w:val="00DA2837"/>
    <w:rsid w:val="00DA29A3"/>
    <w:rsid w:val="00DA2C0F"/>
    <w:rsid w:val="00DA30D2"/>
    <w:rsid w:val="00DA4066"/>
    <w:rsid w:val="00DA462C"/>
    <w:rsid w:val="00DA4C56"/>
    <w:rsid w:val="00DA5322"/>
    <w:rsid w:val="00DA5BB6"/>
    <w:rsid w:val="00DA5C3B"/>
    <w:rsid w:val="00DA5EB0"/>
    <w:rsid w:val="00DA5FFB"/>
    <w:rsid w:val="00DA6581"/>
    <w:rsid w:val="00DA67E8"/>
    <w:rsid w:val="00DA71F2"/>
    <w:rsid w:val="00DA7410"/>
    <w:rsid w:val="00DB0171"/>
    <w:rsid w:val="00DB0BBA"/>
    <w:rsid w:val="00DB1881"/>
    <w:rsid w:val="00DB1DC8"/>
    <w:rsid w:val="00DB2038"/>
    <w:rsid w:val="00DB2186"/>
    <w:rsid w:val="00DB2237"/>
    <w:rsid w:val="00DB2B22"/>
    <w:rsid w:val="00DB3917"/>
    <w:rsid w:val="00DB4224"/>
    <w:rsid w:val="00DB481B"/>
    <w:rsid w:val="00DB4EA5"/>
    <w:rsid w:val="00DB57A9"/>
    <w:rsid w:val="00DB62F9"/>
    <w:rsid w:val="00DB6D21"/>
    <w:rsid w:val="00DB7105"/>
    <w:rsid w:val="00DB795B"/>
    <w:rsid w:val="00DB7F0E"/>
    <w:rsid w:val="00DC0221"/>
    <w:rsid w:val="00DC0355"/>
    <w:rsid w:val="00DC106E"/>
    <w:rsid w:val="00DC17DA"/>
    <w:rsid w:val="00DC1D27"/>
    <w:rsid w:val="00DC1F9A"/>
    <w:rsid w:val="00DC236F"/>
    <w:rsid w:val="00DC2BBF"/>
    <w:rsid w:val="00DC2C95"/>
    <w:rsid w:val="00DC2DA8"/>
    <w:rsid w:val="00DC33C2"/>
    <w:rsid w:val="00DC3C0F"/>
    <w:rsid w:val="00DC3C86"/>
    <w:rsid w:val="00DC456B"/>
    <w:rsid w:val="00DC48B1"/>
    <w:rsid w:val="00DC4F93"/>
    <w:rsid w:val="00DC5676"/>
    <w:rsid w:val="00DC5839"/>
    <w:rsid w:val="00DC5AE4"/>
    <w:rsid w:val="00DC5BC1"/>
    <w:rsid w:val="00DC627B"/>
    <w:rsid w:val="00DC637C"/>
    <w:rsid w:val="00DC64E7"/>
    <w:rsid w:val="00DC661C"/>
    <w:rsid w:val="00DC6787"/>
    <w:rsid w:val="00DC6A2A"/>
    <w:rsid w:val="00DC7124"/>
    <w:rsid w:val="00DC7A7C"/>
    <w:rsid w:val="00DD029E"/>
    <w:rsid w:val="00DD03A8"/>
    <w:rsid w:val="00DD0F10"/>
    <w:rsid w:val="00DD17DB"/>
    <w:rsid w:val="00DD1C90"/>
    <w:rsid w:val="00DD288B"/>
    <w:rsid w:val="00DD30B4"/>
    <w:rsid w:val="00DD384B"/>
    <w:rsid w:val="00DD39E7"/>
    <w:rsid w:val="00DD42E2"/>
    <w:rsid w:val="00DD4546"/>
    <w:rsid w:val="00DD45E3"/>
    <w:rsid w:val="00DD4CE5"/>
    <w:rsid w:val="00DD6ACA"/>
    <w:rsid w:val="00DD6C19"/>
    <w:rsid w:val="00DD6CCA"/>
    <w:rsid w:val="00DD6FA2"/>
    <w:rsid w:val="00DD7605"/>
    <w:rsid w:val="00DD796A"/>
    <w:rsid w:val="00DD79DF"/>
    <w:rsid w:val="00DD7A78"/>
    <w:rsid w:val="00DD7C5B"/>
    <w:rsid w:val="00DD7EF5"/>
    <w:rsid w:val="00DE010B"/>
    <w:rsid w:val="00DE0845"/>
    <w:rsid w:val="00DE0CAC"/>
    <w:rsid w:val="00DE1888"/>
    <w:rsid w:val="00DE1D0C"/>
    <w:rsid w:val="00DE1EDA"/>
    <w:rsid w:val="00DE2C8B"/>
    <w:rsid w:val="00DE3B44"/>
    <w:rsid w:val="00DE3EB0"/>
    <w:rsid w:val="00DE4740"/>
    <w:rsid w:val="00DE49D4"/>
    <w:rsid w:val="00DE52B9"/>
    <w:rsid w:val="00DE60AF"/>
    <w:rsid w:val="00DE65AD"/>
    <w:rsid w:val="00DE7B8C"/>
    <w:rsid w:val="00DF042F"/>
    <w:rsid w:val="00DF1110"/>
    <w:rsid w:val="00DF1535"/>
    <w:rsid w:val="00DF15C2"/>
    <w:rsid w:val="00DF1917"/>
    <w:rsid w:val="00DF208E"/>
    <w:rsid w:val="00DF21C0"/>
    <w:rsid w:val="00DF285E"/>
    <w:rsid w:val="00DF35A4"/>
    <w:rsid w:val="00DF37B2"/>
    <w:rsid w:val="00DF3E5D"/>
    <w:rsid w:val="00DF459B"/>
    <w:rsid w:val="00DF47F7"/>
    <w:rsid w:val="00DF4B6A"/>
    <w:rsid w:val="00DF4C87"/>
    <w:rsid w:val="00DF4FB2"/>
    <w:rsid w:val="00DF6604"/>
    <w:rsid w:val="00DF6D9D"/>
    <w:rsid w:val="00DF7619"/>
    <w:rsid w:val="00DF765F"/>
    <w:rsid w:val="00E0095A"/>
    <w:rsid w:val="00E0103F"/>
    <w:rsid w:val="00E01DFE"/>
    <w:rsid w:val="00E020D5"/>
    <w:rsid w:val="00E03BE1"/>
    <w:rsid w:val="00E03CC6"/>
    <w:rsid w:val="00E03F8D"/>
    <w:rsid w:val="00E05230"/>
    <w:rsid w:val="00E05591"/>
    <w:rsid w:val="00E05A9A"/>
    <w:rsid w:val="00E0669E"/>
    <w:rsid w:val="00E06B74"/>
    <w:rsid w:val="00E06C39"/>
    <w:rsid w:val="00E07228"/>
    <w:rsid w:val="00E07685"/>
    <w:rsid w:val="00E0795A"/>
    <w:rsid w:val="00E07B73"/>
    <w:rsid w:val="00E07D82"/>
    <w:rsid w:val="00E07E32"/>
    <w:rsid w:val="00E106D8"/>
    <w:rsid w:val="00E10ABF"/>
    <w:rsid w:val="00E10D0A"/>
    <w:rsid w:val="00E11364"/>
    <w:rsid w:val="00E117EA"/>
    <w:rsid w:val="00E1199C"/>
    <w:rsid w:val="00E11B1B"/>
    <w:rsid w:val="00E11D2B"/>
    <w:rsid w:val="00E1204E"/>
    <w:rsid w:val="00E123F1"/>
    <w:rsid w:val="00E12893"/>
    <w:rsid w:val="00E12B7A"/>
    <w:rsid w:val="00E12CFF"/>
    <w:rsid w:val="00E133C6"/>
    <w:rsid w:val="00E142BE"/>
    <w:rsid w:val="00E14449"/>
    <w:rsid w:val="00E1461B"/>
    <w:rsid w:val="00E1550C"/>
    <w:rsid w:val="00E1600E"/>
    <w:rsid w:val="00E167C9"/>
    <w:rsid w:val="00E16E73"/>
    <w:rsid w:val="00E172B1"/>
    <w:rsid w:val="00E173EC"/>
    <w:rsid w:val="00E178DC"/>
    <w:rsid w:val="00E17C3F"/>
    <w:rsid w:val="00E20159"/>
    <w:rsid w:val="00E20800"/>
    <w:rsid w:val="00E209DD"/>
    <w:rsid w:val="00E20AF8"/>
    <w:rsid w:val="00E20C75"/>
    <w:rsid w:val="00E20CB5"/>
    <w:rsid w:val="00E211ED"/>
    <w:rsid w:val="00E21AC5"/>
    <w:rsid w:val="00E23210"/>
    <w:rsid w:val="00E2358C"/>
    <w:rsid w:val="00E23E0D"/>
    <w:rsid w:val="00E24141"/>
    <w:rsid w:val="00E245A4"/>
    <w:rsid w:val="00E248E4"/>
    <w:rsid w:val="00E251EC"/>
    <w:rsid w:val="00E25E72"/>
    <w:rsid w:val="00E26B1D"/>
    <w:rsid w:val="00E27221"/>
    <w:rsid w:val="00E27366"/>
    <w:rsid w:val="00E30029"/>
    <w:rsid w:val="00E300E5"/>
    <w:rsid w:val="00E303E0"/>
    <w:rsid w:val="00E309E2"/>
    <w:rsid w:val="00E32192"/>
    <w:rsid w:val="00E325A5"/>
    <w:rsid w:val="00E3269A"/>
    <w:rsid w:val="00E32F35"/>
    <w:rsid w:val="00E33029"/>
    <w:rsid w:val="00E331AF"/>
    <w:rsid w:val="00E33543"/>
    <w:rsid w:val="00E33B0A"/>
    <w:rsid w:val="00E33C2B"/>
    <w:rsid w:val="00E3434C"/>
    <w:rsid w:val="00E34A42"/>
    <w:rsid w:val="00E34AED"/>
    <w:rsid w:val="00E3544B"/>
    <w:rsid w:val="00E35EF8"/>
    <w:rsid w:val="00E35F6E"/>
    <w:rsid w:val="00E35FEC"/>
    <w:rsid w:val="00E36894"/>
    <w:rsid w:val="00E371F0"/>
    <w:rsid w:val="00E376E7"/>
    <w:rsid w:val="00E4051B"/>
    <w:rsid w:val="00E41944"/>
    <w:rsid w:val="00E41994"/>
    <w:rsid w:val="00E41FCF"/>
    <w:rsid w:val="00E4218F"/>
    <w:rsid w:val="00E424F0"/>
    <w:rsid w:val="00E43E32"/>
    <w:rsid w:val="00E44578"/>
    <w:rsid w:val="00E446AB"/>
    <w:rsid w:val="00E4490B"/>
    <w:rsid w:val="00E45446"/>
    <w:rsid w:val="00E456ED"/>
    <w:rsid w:val="00E46F8A"/>
    <w:rsid w:val="00E4760F"/>
    <w:rsid w:val="00E5038B"/>
    <w:rsid w:val="00E5061A"/>
    <w:rsid w:val="00E506AD"/>
    <w:rsid w:val="00E516CD"/>
    <w:rsid w:val="00E51A92"/>
    <w:rsid w:val="00E51C75"/>
    <w:rsid w:val="00E51F52"/>
    <w:rsid w:val="00E52647"/>
    <w:rsid w:val="00E52FD0"/>
    <w:rsid w:val="00E541C9"/>
    <w:rsid w:val="00E54424"/>
    <w:rsid w:val="00E5523E"/>
    <w:rsid w:val="00E5540A"/>
    <w:rsid w:val="00E55B16"/>
    <w:rsid w:val="00E55F40"/>
    <w:rsid w:val="00E56454"/>
    <w:rsid w:val="00E564F3"/>
    <w:rsid w:val="00E572FA"/>
    <w:rsid w:val="00E6081E"/>
    <w:rsid w:val="00E60ADB"/>
    <w:rsid w:val="00E60F7E"/>
    <w:rsid w:val="00E61531"/>
    <w:rsid w:val="00E61815"/>
    <w:rsid w:val="00E648B0"/>
    <w:rsid w:val="00E6608D"/>
    <w:rsid w:val="00E670EA"/>
    <w:rsid w:val="00E67A76"/>
    <w:rsid w:val="00E67F7B"/>
    <w:rsid w:val="00E700E5"/>
    <w:rsid w:val="00E70830"/>
    <w:rsid w:val="00E70D51"/>
    <w:rsid w:val="00E71225"/>
    <w:rsid w:val="00E7161A"/>
    <w:rsid w:val="00E72033"/>
    <w:rsid w:val="00E7269C"/>
    <w:rsid w:val="00E726E5"/>
    <w:rsid w:val="00E73458"/>
    <w:rsid w:val="00E73859"/>
    <w:rsid w:val="00E73A67"/>
    <w:rsid w:val="00E74DCA"/>
    <w:rsid w:val="00E754D9"/>
    <w:rsid w:val="00E759C1"/>
    <w:rsid w:val="00E75C63"/>
    <w:rsid w:val="00E763F0"/>
    <w:rsid w:val="00E76EA2"/>
    <w:rsid w:val="00E77CA7"/>
    <w:rsid w:val="00E77EA7"/>
    <w:rsid w:val="00E77F6C"/>
    <w:rsid w:val="00E80090"/>
    <w:rsid w:val="00E81AA9"/>
    <w:rsid w:val="00E81BFC"/>
    <w:rsid w:val="00E81CFC"/>
    <w:rsid w:val="00E81D84"/>
    <w:rsid w:val="00E8266D"/>
    <w:rsid w:val="00E8268F"/>
    <w:rsid w:val="00E82F5A"/>
    <w:rsid w:val="00E8372A"/>
    <w:rsid w:val="00E84AC0"/>
    <w:rsid w:val="00E8514A"/>
    <w:rsid w:val="00E853E3"/>
    <w:rsid w:val="00E8550D"/>
    <w:rsid w:val="00E859CF"/>
    <w:rsid w:val="00E85A96"/>
    <w:rsid w:val="00E85E55"/>
    <w:rsid w:val="00E86FF5"/>
    <w:rsid w:val="00E871FC"/>
    <w:rsid w:val="00E87B01"/>
    <w:rsid w:val="00E901E1"/>
    <w:rsid w:val="00E90F83"/>
    <w:rsid w:val="00E918D3"/>
    <w:rsid w:val="00E9196B"/>
    <w:rsid w:val="00E91AA0"/>
    <w:rsid w:val="00E91DB2"/>
    <w:rsid w:val="00E91F41"/>
    <w:rsid w:val="00E927A0"/>
    <w:rsid w:val="00E9282A"/>
    <w:rsid w:val="00E928EA"/>
    <w:rsid w:val="00E92D26"/>
    <w:rsid w:val="00E939A7"/>
    <w:rsid w:val="00E94B6E"/>
    <w:rsid w:val="00E95584"/>
    <w:rsid w:val="00E95D80"/>
    <w:rsid w:val="00E97640"/>
    <w:rsid w:val="00E9777F"/>
    <w:rsid w:val="00E978A1"/>
    <w:rsid w:val="00EA05B3"/>
    <w:rsid w:val="00EA05EA"/>
    <w:rsid w:val="00EA0867"/>
    <w:rsid w:val="00EA0EAF"/>
    <w:rsid w:val="00EA112A"/>
    <w:rsid w:val="00EA16BF"/>
    <w:rsid w:val="00EA1938"/>
    <w:rsid w:val="00EA3628"/>
    <w:rsid w:val="00EA3D1B"/>
    <w:rsid w:val="00EA42D6"/>
    <w:rsid w:val="00EA4DDC"/>
    <w:rsid w:val="00EA4EB2"/>
    <w:rsid w:val="00EA4F76"/>
    <w:rsid w:val="00EA58A6"/>
    <w:rsid w:val="00EA5BC4"/>
    <w:rsid w:val="00EA5CA8"/>
    <w:rsid w:val="00EA653A"/>
    <w:rsid w:val="00EA6A61"/>
    <w:rsid w:val="00EA6FFF"/>
    <w:rsid w:val="00EA7995"/>
    <w:rsid w:val="00EA7F00"/>
    <w:rsid w:val="00EA7F0D"/>
    <w:rsid w:val="00EB004C"/>
    <w:rsid w:val="00EB03E7"/>
    <w:rsid w:val="00EB1291"/>
    <w:rsid w:val="00EB13EE"/>
    <w:rsid w:val="00EB1617"/>
    <w:rsid w:val="00EB22C2"/>
    <w:rsid w:val="00EB287E"/>
    <w:rsid w:val="00EB2CB2"/>
    <w:rsid w:val="00EB2D91"/>
    <w:rsid w:val="00EB36A6"/>
    <w:rsid w:val="00EB4002"/>
    <w:rsid w:val="00EB44CD"/>
    <w:rsid w:val="00EB4634"/>
    <w:rsid w:val="00EB4BCD"/>
    <w:rsid w:val="00EB51C8"/>
    <w:rsid w:val="00EB5761"/>
    <w:rsid w:val="00EB58B5"/>
    <w:rsid w:val="00EB58EA"/>
    <w:rsid w:val="00EB5F61"/>
    <w:rsid w:val="00EB7056"/>
    <w:rsid w:val="00EB75B0"/>
    <w:rsid w:val="00EB7746"/>
    <w:rsid w:val="00EC073E"/>
    <w:rsid w:val="00EC0F0B"/>
    <w:rsid w:val="00EC1498"/>
    <w:rsid w:val="00EC2166"/>
    <w:rsid w:val="00EC268F"/>
    <w:rsid w:val="00EC3396"/>
    <w:rsid w:val="00EC3824"/>
    <w:rsid w:val="00EC3A89"/>
    <w:rsid w:val="00EC41C2"/>
    <w:rsid w:val="00EC4261"/>
    <w:rsid w:val="00EC4335"/>
    <w:rsid w:val="00EC6099"/>
    <w:rsid w:val="00EC6487"/>
    <w:rsid w:val="00EC6862"/>
    <w:rsid w:val="00EC6B5D"/>
    <w:rsid w:val="00EC70C9"/>
    <w:rsid w:val="00EC725D"/>
    <w:rsid w:val="00EC7554"/>
    <w:rsid w:val="00ED15CE"/>
    <w:rsid w:val="00ED1ADC"/>
    <w:rsid w:val="00ED1B3A"/>
    <w:rsid w:val="00ED262A"/>
    <w:rsid w:val="00ED2913"/>
    <w:rsid w:val="00ED2B41"/>
    <w:rsid w:val="00ED3676"/>
    <w:rsid w:val="00ED3889"/>
    <w:rsid w:val="00ED3AED"/>
    <w:rsid w:val="00ED4410"/>
    <w:rsid w:val="00ED4675"/>
    <w:rsid w:val="00ED4940"/>
    <w:rsid w:val="00ED5075"/>
    <w:rsid w:val="00ED578A"/>
    <w:rsid w:val="00ED5B68"/>
    <w:rsid w:val="00ED5F2A"/>
    <w:rsid w:val="00ED5FFD"/>
    <w:rsid w:val="00ED65FC"/>
    <w:rsid w:val="00ED6907"/>
    <w:rsid w:val="00ED6947"/>
    <w:rsid w:val="00ED6CB0"/>
    <w:rsid w:val="00ED710C"/>
    <w:rsid w:val="00ED7BC4"/>
    <w:rsid w:val="00EE0097"/>
    <w:rsid w:val="00EE0532"/>
    <w:rsid w:val="00EE0A49"/>
    <w:rsid w:val="00EE14A1"/>
    <w:rsid w:val="00EE18A5"/>
    <w:rsid w:val="00EE1AE6"/>
    <w:rsid w:val="00EE21D1"/>
    <w:rsid w:val="00EE2A87"/>
    <w:rsid w:val="00EE2EE3"/>
    <w:rsid w:val="00EE3CC6"/>
    <w:rsid w:val="00EE4A78"/>
    <w:rsid w:val="00EE6135"/>
    <w:rsid w:val="00EE7377"/>
    <w:rsid w:val="00EE738F"/>
    <w:rsid w:val="00EF01A7"/>
    <w:rsid w:val="00EF0E4A"/>
    <w:rsid w:val="00EF0F6D"/>
    <w:rsid w:val="00EF133F"/>
    <w:rsid w:val="00EF13AA"/>
    <w:rsid w:val="00EF14F8"/>
    <w:rsid w:val="00EF15C5"/>
    <w:rsid w:val="00EF188C"/>
    <w:rsid w:val="00EF2288"/>
    <w:rsid w:val="00EF32C6"/>
    <w:rsid w:val="00EF335A"/>
    <w:rsid w:val="00EF3D11"/>
    <w:rsid w:val="00EF435B"/>
    <w:rsid w:val="00EF4BF5"/>
    <w:rsid w:val="00EF4C19"/>
    <w:rsid w:val="00EF4E96"/>
    <w:rsid w:val="00EF4ED3"/>
    <w:rsid w:val="00EF5B42"/>
    <w:rsid w:val="00EF6404"/>
    <w:rsid w:val="00EF6443"/>
    <w:rsid w:val="00EF6AE5"/>
    <w:rsid w:val="00EF735E"/>
    <w:rsid w:val="00EF7BF7"/>
    <w:rsid w:val="00F00628"/>
    <w:rsid w:val="00F00E61"/>
    <w:rsid w:val="00F017D1"/>
    <w:rsid w:val="00F0183B"/>
    <w:rsid w:val="00F01889"/>
    <w:rsid w:val="00F01A16"/>
    <w:rsid w:val="00F0216D"/>
    <w:rsid w:val="00F0250B"/>
    <w:rsid w:val="00F026D0"/>
    <w:rsid w:val="00F0296E"/>
    <w:rsid w:val="00F034C2"/>
    <w:rsid w:val="00F0362B"/>
    <w:rsid w:val="00F03676"/>
    <w:rsid w:val="00F04159"/>
    <w:rsid w:val="00F0432F"/>
    <w:rsid w:val="00F04542"/>
    <w:rsid w:val="00F045E4"/>
    <w:rsid w:val="00F0471A"/>
    <w:rsid w:val="00F04961"/>
    <w:rsid w:val="00F0498A"/>
    <w:rsid w:val="00F04EA1"/>
    <w:rsid w:val="00F0515A"/>
    <w:rsid w:val="00F06193"/>
    <w:rsid w:val="00F07101"/>
    <w:rsid w:val="00F072B9"/>
    <w:rsid w:val="00F075D7"/>
    <w:rsid w:val="00F0783C"/>
    <w:rsid w:val="00F1057A"/>
    <w:rsid w:val="00F10D0D"/>
    <w:rsid w:val="00F11282"/>
    <w:rsid w:val="00F1142A"/>
    <w:rsid w:val="00F11789"/>
    <w:rsid w:val="00F120B3"/>
    <w:rsid w:val="00F124EA"/>
    <w:rsid w:val="00F12A75"/>
    <w:rsid w:val="00F12C2C"/>
    <w:rsid w:val="00F12D47"/>
    <w:rsid w:val="00F12DFF"/>
    <w:rsid w:val="00F12F83"/>
    <w:rsid w:val="00F13161"/>
    <w:rsid w:val="00F13253"/>
    <w:rsid w:val="00F133DC"/>
    <w:rsid w:val="00F14645"/>
    <w:rsid w:val="00F14E98"/>
    <w:rsid w:val="00F15FA5"/>
    <w:rsid w:val="00F16013"/>
    <w:rsid w:val="00F1623F"/>
    <w:rsid w:val="00F1661A"/>
    <w:rsid w:val="00F16676"/>
    <w:rsid w:val="00F16F87"/>
    <w:rsid w:val="00F17261"/>
    <w:rsid w:val="00F17A3E"/>
    <w:rsid w:val="00F2046F"/>
    <w:rsid w:val="00F20A7A"/>
    <w:rsid w:val="00F20CC5"/>
    <w:rsid w:val="00F21085"/>
    <w:rsid w:val="00F219F2"/>
    <w:rsid w:val="00F224AC"/>
    <w:rsid w:val="00F23359"/>
    <w:rsid w:val="00F238B5"/>
    <w:rsid w:val="00F241A3"/>
    <w:rsid w:val="00F24B81"/>
    <w:rsid w:val="00F24FFB"/>
    <w:rsid w:val="00F25DD7"/>
    <w:rsid w:val="00F267E3"/>
    <w:rsid w:val="00F26910"/>
    <w:rsid w:val="00F303D9"/>
    <w:rsid w:val="00F30436"/>
    <w:rsid w:val="00F30A9B"/>
    <w:rsid w:val="00F314FD"/>
    <w:rsid w:val="00F316E2"/>
    <w:rsid w:val="00F325D9"/>
    <w:rsid w:val="00F3262D"/>
    <w:rsid w:val="00F3297A"/>
    <w:rsid w:val="00F32F63"/>
    <w:rsid w:val="00F3355B"/>
    <w:rsid w:val="00F33A7C"/>
    <w:rsid w:val="00F35CA1"/>
    <w:rsid w:val="00F3644A"/>
    <w:rsid w:val="00F368C0"/>
    <w:rsid w:val="00F368CE"/>
    <w:rsid w:val="00F36D9B"/>
    <w:rsid w:val="00F37084"/>
    <w:rsid w:val="00F373FF"/>
    <w:rsid w:val="00F37A06"/>
    <w:rsid w:val="00F4068A"/>
    <w:rsid w:val="00F41654"/>
    <w:rsid w:val="00F41CC8"/>
    <w:rsid w:val="00F41DB1"/>
    <w:rsid w:val="00F41E7D"/>
    <w:rsid w:val="00F42125"/>
    <w:rsid w:val="00F42399"/>
    <w:rsid w:val="00F42C05"/>
    <w:rsid w:val="00F4329D"/>
    <w:rsid w:val="00F43E32"/>
    <w:rsid w:val="00F443CC"/>
    <w:rsid w:val="00F45843"/>
    <w:rsid w:val="00F458FA"/>
    <w:rsid w:val="00F468A2"/>
    <w:rsid w:val="00F46FE0"/>
    <w:rsid w:val="00F4760D"/>
    <w:rsid w:val="00F4790E"/>
    <w:rsid w:val="00F5053E"/>
    <w:rsid w:val="00F51F24"/>
    <w:rsid w:val="00F52502"/>
    <w:rsid w:val="00F52A74"/>
    <w:rsid w:val="00F52A8A"/>
    <w:rsid w:val="00F53152"/>
    <w:rsid w:val="00F53B0B"/>
    <w:rsid w:val="00F53C10"/>
    <w:rsid w:val="00F53E56"/>
    <w:rsid w:val="00F54583"/>
    <w:rsid w:val="00F54738"/>
    <w:rsid w:val="00F54C5E"/>
    <w:rsid w:val="00F54C94"/>
    <w:rsid w:val="00F551C7"/>
    <w:rsid w:val="00F555FF"/>
    <w:rsid w:val="00F560E1"/>
    <w:rsid w:val="00F562F7"/>
    <w:rsid w:val="00F56A3E"/>
    <w:rsid w:val="00F56B5D"/>
    <w:rsid w:val="00F56BE7"/>
    <w:rsid w:val="00F57243"/>
    <w:rsid w:val="00F5733F"/>
    <w:rsid w:val="00F57AB2"/>
    <w:rsid w:val="00F606C3"/>
    <w:rsid w:val="00F607A9"/>
    <w:rsid w:val="00F60908"/>
    <w:rsid w:val="00F60DB9"/>
    <w:rsid w:val="00F61A30"/>
    <w:rsid w:val="00F624D8"/>
    <w:rsid w:val="00F62573"/>
    <w:rsid w:val="00F629DB"/>
    <w:rsid w:val="00F62A7B"/>
    <w:rsid w:val="00F63192"/>
    <w:rsid w:val="00F63467"/>
    <w:rsid w:val="00F646A2"/>
    <w:rsid w:val="00F657D0"/>
    <w:rsid w:val="00F65B79"/>
    <w:rsid w:val="00F65E6A"/>
    <w:rsid w:val="00F66087"/>
    <w:rsid w:val="00F6645B"/>
    <w:rsid w:val="00F66495"/>
    <w:rsid w:val="00F666EB"/>
    <w:rsid w:val="00F673BE"/>
    <w:rsid w:val="00F70044"/>
    <w:rsid w:val="00F7051A"/>
    <w:rsid w:val="00F70D3A"/>
    <w:rsid w:val="00F70D53"/>
    <w:rsid w:val="00F70E12"/>
    <w:rsid w:val="00F71D96"/>
    <w:rsid w:val="00F72259"/>
    <w:rsid w:val="00F73772"/>
    <w:rsid w:val="00F73BAD"/>
    <w:rsid w:val="00F74342"/>
    <w:rsid w:val="00F7443B"/>
    <w:rsid w:val="00F745AF"/>
    <w:rsid w:val="00F7463B"/>
    <w:rsid w:val="00F7482D"/>
    <w:rsid w:val="00F75114"/>
    <w:rsid w:val="00F75298"/>
    <w:rsid w:val="00F75418"/>
    <w:rsid w:val="00F75F0E"/>
    <w:rsid w:val="00F76080"/>
    <w:rsid w:val="00F76088"/>
    <w:rsid w:val="00F765BB"/>
    <w:rsid w:val="00F76FE5"/>
    <w:rsid w:val="00F77886"/>
    <w:rsid w:val="00F77C02"/>
    <w:rsid w:val="00F77E79"/>
    <w:rsid w:val="00F8004B"/>
    <w:rsid w:val="00F80AE7"/>
    <w:rsid w:val="00F8111D"/>
    <w:rsid w:val="00F81538"/>
    <w:rsid w:val="00F81CBF"/>
    <w:rsid w:val="00F82260"/>
    <w:rsid w:val="00F82A6E"/>
    <w:rsid w:val="00F82AEE"/>
    <w:rsid w:val="00F82EA5"/>
    <w:rsid w:val="00F8352D"/>
    <w:rsid w:val="00F84327"/>
    <w:rsid w:val="00F844C6"/>
    <w:rsid w:val="00F84792"/>
    <w:rsid w:val="00F84A52"/>
    <w:rsid w:val="00F8576E"/>
    <w:rsid w:val="00F857BD"/>
    <w:rsid w:val="00F85D4F"/>
    <w:rsid w:val="00F86832"/>
    <w:rsid w:val="00F86B33"/>
    <w:rsid w:val="00F86F08"/>
    <w:rsid w:val="00F878D7"/>
    <w:rsid w:val="00F90012"/>
    <w:rsid w:val="00F9032F"/>
    <w:rsid w:val="00F906F6"/>
    <w:rsid w:val="00F9154F"/>
    <w:rsid w:val="00F91BAB"/>
    <w:rsid w:val="00F91ED9"/>
    <w:rsid w:val="00F92026"/>
    <w:rsid w:val="00F9262A"/>
    <w:rsid w:val="00F927D1"/>
    <w:rsid w:val="00F92B7A"/>
    <w:rsid w:val="00F93437"/>
    <w:rsid w:val="00F940A3"/>
    <w:rsid w:val="00F9415B"/>
    <w:rsid w:val="00F949D4"/>
    <w:rsid w:val="00F94C4F"/>
    <w:rsid w:val="00F959D1"/>
    <w:rsid w:val="00F95B49"/>
    <w:rsid w:val="00F9640B"/>
    <w:rsid w:val="00F9675B"/>
    <w:rsid w:val="00F96801"/>
    <w:rsid w:val="00F9764D"/>
    <w:rsid w:val="00FA05E4"/>
    <w:rsid w:val="00FA05E8"/>
    <w:rsid w:val="00FA1D9F"/>
    <w:rsid w:val="00FA2C54"/>
    <w:rsid w:val="00FA3493"/>
    <w:rsid w:val="00FA3B8A"/>
    <w:rsid w:val="00FA4B8F"/>
    <w:rsid w:val="00FA4E43"/>
    <w:rsid w:val="00FA512D"/>
    <w:rsid w:val="00FA55CF"/>
    <w:rsid w:val="00FA5EB9"/>
    <w:rsid w:val="00FA6117"/>
    <w:rsid w:val="00FA6970"/>
    <w:rsid w:val="00FA7229"/>
    <w:rsid w:val="00FA7BB8"/>
    <w:rsid w:val="00FB1DDA"/>
    <w:rsid w:val="00FB1E4B"/>
    <w:rsid w:val="00FB1FF6"/>
    <w:rsid w:val="00FB2971"/>
    <w:rsid w:val="00FB3039"/>
    <w:rsid w:val="00FB38B2"/>
    <w:rsid w:val="00FB3BF1"/>
    <w:rsid w:val="00FB4BCC"/>
    <w:rsid w:val="00FB6A48"/>
    <w:rsid w:val="00FB6C76"/>
    <w:rsid w:val="00FC07F0"/>
    <w:rsid w:val="00FC13DB"/>
    <w:rsid w:val="00FC1CA4"/>
    <w:rsid w:val="00FC1DA0"/>
    <w:rsid w:val="00FC26AD"/>
    <w:rsid w:val="00FC2C06"/>
    <w:rsid w:val="00FC2DB1"/>
    <w:rsid w:val="00FC3952"/>
    <w:rsid w:val="00FC3D15"/>
    <w:rsid w:val="00FC4649"/>
    <w:rsid w:val="00FC49A0"/>
    <w:rsid w:val="00FC4C78"/>
    <w:rsid w:val="00FC4F38"/>
    <w:rsid w:val="00FC5BF1"/>
    <w:rsid w:val="00FC5DEC"/>
    <w:rsid w:val="00FC6EF3"/>
    <w:rsid w:val="00FC75D8"/>
    <w:rsid w:val="00FC766D"/>
    <w:rsid w:val="00FC7AF3"/>
    <w:rsid w:val="00FC7C35"/>
    <w:rsid w:val="00FC7DCE"/>
    <w:rsid w:val="00FD035A"/>
    <w:rsid w:val="00FD088C"/>
    <w:rsid w:val="00FD0A0B"/>
    <w:rsid w:val="00FD15D5"/>
    <w:rsid w:val="00FD1A93"/>
    <w:rsid w:val="00FD2498"/>
    <w:rsid w:val="00FD24D0"/>
    <w:rsid w:val="00FD265A"/>
    <w:rsid w:val="00FD268F"/>
    <w:rsid w:val="00FD2EA2"/>
    <w:rsid w:val="00FD3F9B"/>
    <w:rsid w:val="00FD5030"/>
    <w:rsid w:val="00FD5378"/>
    <w:rsid w:val="00FD555F"/>
    <w:rsid w:val="00FD5797"/>
    <w:rsid w:val="00FD5A71"/>
    <w:rsid w:val="00FD601A"/>
    <w:rsid w:val="00FD6597"/>
    <w:rsid w:val="00FD7155"/>
    <w:rsid w:val="00FD76C6"/>
    <w:rsid w:val="00FD76F2"/>
    <w:rsid w:val="00FD7874"/>
    <w:rsid w:val="00FD7909"/>
    <w:rsid w:val="00FE0040"/>
    <w:rsid w:val="00FE00D2"/>
    <w:rsid w:val="00FE0100"/>
    <w:rsid w:val="00FE0343"/>
    <w:rsid w:val="00FE06BE"/>
    <w:rsid w:val="00FE0FD0"/>
    <w:rsid w:val="00FE1129"/>
    <w:rsid w:val="00FE14BB"/>
    <w:rsid w:val="00FE15B7"/>
    <w:rsid w:val="00FE1AA5"/>
    <w:rsid w:val="00FE1F14"/>
    <w:rsid w:val="00FE2B3A"/>
    <w:rsid w:val="00FE2DE4"/>
    <w:rsid w:val="00FE2E8D"/>
    <w:rsid w:val="00FE32D7"/>
    <w:rsid w:val="00FE4EB5"/>
    <w:rsid w:val="00FE4FC9"/>
    <w:rsid w:val="00FE5004"/>
    <w:rsid w:val="00FE5E4F"/>
    <w:rsid w:val="00FE6B58"/>
    <w:rsid w:val="00FE6D54"/>
    <w:rsid w:val="00FE7941"/>
    <w:rsid w:val="00FF0095"/>
    <w:rsid w:val="00FF04C0"/>
    <w:rsid w:val="00FF092B"/>
    <w:rsid w:val="00FF0B8F"/>
    <w:rsid w:val="00FF0BA7"/>
    <w:rsid w:val="00FF0C8F"/>
    <w:rsid w:val="00FF24D0"/>
    <w:rsid w:val="00FF2FBC"/>
    <w:rsid w:val="00FF3195"/>
    <w:rsid w:val="00FF3488"/>
    <w:rsid w:val="00FF352B"/>
    <w:rsid w:val="00FF3624"/>
    <w:rsid w:val="00FF38BD"/>
    <w:rsid w:val="00FF39C9"/>
    <w:rsid w:val="00FF3A9A"/>
    <w:rsid w:val="00FF3B0D"/>
    <w:rsid w:val="00FF3D04"/>
    <w:rsid w:val="00FF3DA4"/>
    <w:rsid w:val="00FF3F96"/>
    <w:rsid w:val="00FF42B7"/>
    <w:rsid w:val="00FF4661"/>
    <w:rsid w:val="00FF4DA0"/>
    <w:rsid w:val="00FF5A0F"/>
    <w:rsid w:val="00FF5EC6"/>
    <w:rsid w:val="00FF61C7"/>
    <w:rsid w:val="00FF6412"/>
    <w:rsid w:val="00FF73CE"/>
    <w:rsid w:val="00FF7550"/>
    <w:rsid w:val="00FF76CD"/>
    <w:rsid w:val="00FF7E2E"/>
    <w:rsid w:val="00FF7E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98A304"/>
  <w15:docId w15:val="{9C4CC43E-4AF6-2642-B5DB-1DDA64559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460D"/>
  </w:style>
  <w:style w:type="paragraph" w:styleId="Heading1">
    <w:name w:val="heading 1"/>
    <w:basedOn w:val="Normal"/>
    <w:next w:val="Normal"/>
    <w:link w:val="Heading1Char"/>
    <w:uiPriority w:val="9"/>
    <w:qFormat/>
    <w:rsid w:val="00933882"/>
    <w:pPr>
      <w:spacing w:after="0" w:line="240" w:lineRule="auto"/>
      <w:jc w:val="center"/>
      <w:outlineLvl w:val="0"/>
    </w:pPr>
    <w:rPr>
      <w:rFonts w:ascii="Calibri" w:hAnsi="Calibri" w:cs="Calibri"/>
      <w:b/>
      <w:bCs/>
      <w:color w:val="1B4466"/>
      <w:sz w:val="40"/>
      <w:szCs w:val="40"/>
    </w:rPr>
  </w:style>
  <w:style w:type="paragraph" w:styleId="Heading2">
    <w:name w:val="heading 2"/>
    <w:basedOn w:val="Normal"/>
    <w:next w:val="Normal"/>
    <w:link w:val="Heading2Char"/>
    <w:uiPriority w:val="9"/>
    <w:unhideWhenUsed/>
    <w:qFormat/>
    <w:rsid w:val="00E77F6C"/>
    <w:pPr>
      <w:keepNext/>
      <w:keepLines/>
      <w:spacing w:before="40" w:after="0"/>
      <w:jc w:val="center"/>
      <w:outlineLvl w:val="1"/>
    </w:pPr>
    <w:rPr>
      <w:rFonts w:ascii="Calibri" w:eastAsiaTheme="majorEastAsia" w:hAnsi="Calibri" w:cstheme="majorBidi"/>
      <w:b/>
      <w:color w:val="1B4466"/>
      <w:sz w:val="28"/>
      <w:szCs w:val="26"/>
    </w:rPr>
  </w:style>
  <w:style w:type="paragraph" w:styleId="Heading3">
    <w:name w:val="heading 3"/>
    <w:basedOn w:val="Normal"/>
    <w:next w:val="Normal"/>
    <w:link w:val="Heading3Char"/>
    <w:uiPriority w:val="9"/>
    <w:unhideWhenUsed/>
    <w:qFormat/>
    <w:rsid w:val="00DE1888"/>
    <w:pPr>
      <w:keepNext/>
      <w:keepLines/>
      <w:spacing w:before="40" w:after="0"/>
      <w:outlineLvl w:val="2"/>
    </w:pPr>
    <w:rPr>
      <w:rFonts w:ascii="Calibri" w:eastAsiaTheme="majorEastAsia" w:hAnsi="Calibri" w:cstheme="majorBidi"/>
      <w:b/>
      <w:color w:val="1B4466"/>
      <w:sz w:val="24"/>
      <w:szCs w:val="24"/>
    </w:rPr>
  </w:style>
  <w:style w:type="paragraph" w:styleId="Heading4">
    <w:name w:val="heading 4"/>
    <w:basedOn w:val="Normal"/>
    <w:next w:val="Normal"/>
    <w:link w:val="Heading4Char"/>
    <w:uiPriority w:val="9"/>
    <w:unhideWhenUsed/>
    <w:qFormat/>
    <w:rsid w:val="00DE1888"/>
    <w:pPr>
      <w:keepNext/>
      <w:keepLines/>
      <w:spacing w:before="40" w:after="0"/>
      <w:jc w:val="center"/>
      <w:outlineLvl w:val="3"/>
    </w:pPr>
    <w:rPr>
      <w:rFonts w:ascii="Calibri" w:eastAsiaTheme="majorEastAsia" w:hAnsi="Calibri" w:cstheme="majorBidi"/>
      <w:i/>
      <w:iCs/>
      <w:color w:val="44546A"/>
      <w:sz w:val="24"/>
    </w:rPr>
  </w:style>
  <w:style w:type="paragraph" w:styleId="Heading5">
    <w:name w:val="heading 5"/>
    <w:basedOn w:val="Normal"/>
    <w:next w:val="Normal"/>
    <w:link w:val="Heading5Char"/>
    <w:uiPriority w:val="9"/>
    <w:semiHidden/>
    <w:unhideWhenUsed/>
    <w:qFormat/>
    <w:rsid w:val="00B55C67"/>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B55C67"/>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B55C67"/>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B55C67"/>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B55C67"/>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918D3"/>
    <w:rPr>
      <w:color w:val="0000FF"/>
      <w:u w:val="single"/>
    </w:rPr>
  </w:style>
  <w:style w:type="character" w:customStyle="1" w:styleId="Heading1Char">
    <w:name w:val="Heading 1 Char"/>
    <w:basedOn w:val="DefaultParagraphFont"/>
    <w:link w:val="Heading1"/>
    <w:uiPriority w:val="9"/>
    <w:rsid w:val="00933882"/>
    <w:rPr>
      <w:rFonts w:ascii="Calibri" w:hAnsi="Calibri" w:cs="Calibri"/>
      <w:b/>
      <w:bCs/>
      <w:color w:val="1B4466"/>
      <w:sz w:val="40"/>
      <w:szCs w:val="40"/>
    </w:rPr>
  </w:style>
  <w:style w:type="character" w:styleId="Strong">
    <w:name w:val="Strong"/>
    <w:basedOn w:val="DefaultParagraphFont"/>
    <w:uiPriority w:val="22"/>
    <w:qFormat/>
    <w:rsid w:val="00354D67"/>
    <w:rPr>
      <w:rFonts w:ascii="Times New Roman Bold" w:hAnsi="Times New Roman Bold"/>
      <w:b/>
      <w:bCs/>
      <w:i w:val="0"/>
      <w:color w:val="00B0F0"/>
      <w:sz w:val="28"/>
    </w:rPr>
  </w:style>
  <w:style w:type="character" w:customStyle="1" w:styleId="Heading2Char">
    <w:name w:val="Heading 2 Char"/>
    <w:basedOn w:val="DefaultParagraphFont"/>
    <w:link w:val="Heading2"/>
    <w:uiPriority w:val="9"/>
    <w:rsid w:val="00E77F6C"/>
    <w:rPr>
      <w:rFonts w:ascii="Calibri" w:eastAsiaTheme="majorEastAsia" w:hAnsi="Calibri" w:cstheme="majorBidi"/>
      <w:b/>
      <w:color w:val="1B4466"/>
      <w:sz w:val="28"/>
      <w:szCs w:val="26"/>
    </w:rPr>
  </w:style>
  <w:style w:type="character" w:customStyle="1" w:styleId="Heading3Char">
    <w:name w:val="Heading 3 Char"/>
    <w:basedOn w:val="DefaultParagraphFont"/>
    <w:link w:val="Heading3"/>
    <w:uiPriority w:val="9"/>
    <w:rsid w:val="00DE1888"/>
    <w:rPr>
      <w:rFonts w:ascii="Calibri" w:eastAsiaTheme="majorEastAsia" w:hAnsi="Calibri" w:cstheme="majorBidi"/>
      <w:b/>
      <w:color w:val="1B4466"/>
      <w:sz w:val="24"/>
      <w:szCs w:val="24"/>
    </w:rPr>
  </w:style>
  <w:style w:type="character" w:styleId="IntenseEmphasis">
    <w:name w:val="Intense Emphasis"/>
    <w:basedOn w:val="Heading3Char"/>
    <w:uiPriority w:val="21"/>
    <w:qFormat/>
    <w:rsid w:val="004377A6"/>
    <w:rPr>
      <w:rFonts w:ascii="Times New Roman" w:eastAsiaTheme="majorEastAsia" w:hAnsi="Times New Roman" w:cstheme="majorBidi"/>
      <w:b/>
      <w:i/>
      <w:iCs/>
      <w:color w:val="00B0F0"/>
      <w:sz w:val="24"/>
      <w:szCs w:val="24"/>
    </w:rPr>
  </w:style>
  <w:style w:type="paragraph" w:styleId="TOCHeading">
    <w:name w:val="TOC Heading"/>
    <w:basedOn w:val="Heading1"/>
    <w:next w:val="Normal"/>
    <w:uiPriority w:val="39"/>
    <w:unhideWhenUsed/>
    <w:qFormat/>
    <w:rsid w:val="00370E65"/>
    <w:pPr>
      <w:outlineLvl w:val="9"/>
    </w:pPr>
  </w:style>
  <w:style w:type="paragraph" w:styleId="TOC1">
    <w:name w:val="toc 1"/>
    <w:basedOn w:val="Normal"/>
    <w:next w:val="Normal"/>
    <w:autoRedefine/>
    <w:uiPriority w:val="39"/>
    <w:unhideWhenUsed/>
    <w:rsid w:val="00EB03E7"/>
    <w:pPr>
      <w:spacing w:after="100"/>
    </w:pPr>
    <w:rPr>
      <w:b/>
    </w:rPr>
  </w:style>
  <w:style w:type="paragraph" w:styleId="TOC2">
    <w:name w:val="toc 2"/>
    <w:basedOn w:val="Normal"/>
    <w:next w:val="Normal"/>
    <w:autoRedefine/>
    <w:uiPriority w:val="39"/>
    <w:unhideWhenUsed/>
    <w:rsid w:val="00EB03E7"/>
    <w:pPr>
      <w:spacing w:after="100"/>
      <w:ind w:left="220"/>
    </w:pPr>
    <w:rPr>
      <w:b/>
    </w:rPr>
  </w:style>
  <w:style w:type="paragraph" w:styleId="TOC3">
    <w:name w:val="toc 3"/>
    <w:basedOn w:val="Normal"/>
    <w:next w:val="Normal"/>
    <w:autoRedefine/>
    <w:uiPriority w:val="39"/>
    <w:unhideWhenUsed/>
    <w:rsid w:val="00D0710B"/>
    <w:pPr>
      <w:spacing w:after="100"/>
      <w:ind w:left="440"/>
    </w:pPr>
  </w:style>
  <w:style w:type="paragraph" w:styleId="ListParagraph">
    <w:name w:val="List Paragraph"/>
    <w:basedOn w:val="Normal"/>
    <w:uiPriority w:val="34"/>
    <w:qFormat/>
    <w:rsid w:val="00083B13"/>
    <w:pPr>
      <w:ind w:left="720"/>
      <w:contextualSpacing/>
    </w:pPr>
  </w:style>
  <w:style w:type="table" w:styleId="TableGrid">
    <w:name w:val="Table Grid"/>
    <w:basedOn w:val="TableNormal"/>
    <w:uiPriority w:val="39"/>
    <w:rsid w:val="00083B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261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26166"/>
  </w:style>
  <w:style w:type="paragraph" w:styleId="Footer">
    <w:name w:val="footer"/>
    <w:basedOn w:val="Normal"/>
    <w:link w:val="FooterChar"/>
    <w:uiPriority w:val="99"/>
    <w:unhideWhenUsed/>
    <w:rsid w:val="00C261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26166"/>
  </w:style>
  <w:style w:type="character" w:customStyle="1" w:styleId="UnresolvedMention1">
    <w:name w:val="Unresolved Mention1"/>
    <w:basedOn w:val="DefaultParagraphFont"/>
    <w:uiPriority w:val="99"/>
    <w:semiHidden/>
    <w:unhideWhenUsed/>
    <w:rsid w:val="00084908"/>
    <w:rPr>
      <w:color w:val="605E5C"/>
      <w:shd w:val="clear" w:color="auto" w:fill="E1DFDD"/>
    </w:rPr>
  </w:style>
  <w:style w:type="paragraph" w:styleId="FootnoteText">
    <w:name w:val="footnote text"/>
    <w:basedOn w:val="Normal"/>
    <w:link w:val="FootnoteTextChar"/>
    <w:uiPriority w:val="99"/>
    <w:semiHidden/>
    <w:unhideWhenUsed/>
    <w:rsid w:val="004E3E5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E3E56"/>
    <w:rPr>
      <w:sz w:val="20"/>
      <w:szCs w:val="20"/>
    </w:rPr>
  </w:style>
  <w:style w:type="character" w:styleId="FootnoteReference">
    <w:name w:val="footnote reference"/>
    <w:basedOn w:val="DefaultParagraphFont"/>
    <w:uiPriority w:val="99"/>
    <w:semiHidden/>
    <w:unhideWhenUsed/>
    <w:rsid w:val="004E3E56"/>
    <w:rPr>
      <w:vertAlign w:val="superscript"/>
    </w:rPr>
  </w:style>
  <w:style w:type="paragraph" w:styleId="NormalWeb">
    <w:name w:val="Normal (Web)"/>
    <w:basedOn w:val="Normal"/>
    <w:uiPriority w:val="99"/>
    <w:semiHidden/>
    <w:unhideWhenUsed/>
    <w:rsid w:val="00553753"/>
    <w:pPr>
      <w:spacing w:before="100" w:beforeAutospacing="1" w:after="100" w:afterAutospacing="1" w:line="240" w:lineRule="auto"/>
    </w:pPr>
    <w:rPr>
      <w:rFonts w:ascii="Times New Roman" w:eastAsia="Times New Roman" w:hAnsi="Times New Roman" w:cs="Times New Roman"/>
      <w:sz w:val="24"/>
      <w:szCs w:val="24"/>
    </w:rPr>
  </w:style>
  <w:style w:type="paragraph" w:styleId="EndnoteText">
    <w:name w:val="endnote text"/>
    <w:basedOn w:val="Normal"/>
    <w:link w:val="EndnoteTextChar"/>
    <w:uiPriority w:val="99"/>
    <w:semiHidden/>
    <w:unhideWhenUsed/>
    <w:rsid w:val="00D4459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44598"/>
    <w:rPr>
      <w:sz w:val="20"/>
      <w:szCs w:val="20"/>
    </w:rPr>
  </w:style>
  <w:style w:type="character" w:styleId="EndnoteReference">
    <w:name w:val="endnote reference"/>
    <w:basedOn w:val="DefaultParagraphFont"/>
    <w:uiPriority w:val="99"/>
    <w:semiHidden/>
    <w:unhideWhenUsed/>
    <w:rsid w:val="00D44598"/>
    <w:rPr>
      <w:vertAlign w:val="superscript"/>
    </w:rPr>
  </w:style>
  <w:style w:type="character" w:styleId="FollowedHyperlink">
    <w:name w:val="FollowedHyperlink"/>
    <w:basedOn w:val="DefaultParagraphFont"/>
    <w:uiPriority w:val="99"/>
    <w:semiHidden/>
    <w:unhideWhenUsed/>
    <w:rsid w:val="00527DB4"/>
    <w:rPr>
      <w:color w:val="954F72" w:themeColor="followedHyperlink"/>
      <w:u w:val="single"/>
    </w:rPr>
  </w:style>
  <w:style w:type="character" w:styleId="CommentReference">
    <w:name w:val="annotation reference"/>
    <w:basedOn w:val="DefaultParagraphFont"/>
    <w:uiPriority w:val="99"/>
    <w:semiHidden/>
    <w:unhideWhenUsed/>
    <w:rsid w:val="003F1798"/>
    <w:rPr>
      <w:sz w:val="16"/>
      <w:szCs w:val="16"/>
    </w:rPr>
  </w:style>
  <w:style w:type="paragraph" w:styleId="CommentText">
    <w:name w:val="annotation text"/>
    <w:basedOn w:val="Normal"/>
    <w:link w:val="CommentTextChar"/>
    <w:uiPriority w:val="99"/>
    <w:unhideWhenUsed/>
    <w:rsid w:val="003F1798"/>
    <w:pPr>
      <w:spacing w:line="240" w:lineRule="auto"/>
    </w:pPr>
    <w:rPr>
      <w:sz w:val="20"/>
      <w:szCs w:val="20"/>
    </w:rPr>
  </w:style>
  <w:style w:type="character" w:customStyle="1" w:styleId="CommentTextChar">
    <w:name w:val="Comment Text Char"/>
    <w:basedOn w:val="DefaultParagraphFont"/>
    <w:link w:val="CommentText"/>
    <w:uiPriority w:val="99"/>
    <w:rsid w:val="003F1798"/>
    <w:rPr>
      <w:sz w:val="20"/>
      <w:szCs w:val="20"/>
    </w:rPr>
  </w:style>
  <w:style w:type="paragraph" w:styleId="CommentSubject">
    <w:name w:val="annotation subject"/>
    <w:basedOn w:val="CommentText"/>
    <w:next w:val="CommentText"/>
    <w:link w:val="CommentSubjectChar"/>
    <w:uiPriority w:val="99"/>
    <w:semiHidden/>
    <w:unhideWhenUsed/>
    <w:rsid w:val="003F1798"/>
    <w:rPr>
      <w:b/>
      <w:bCs/>
    </w:rPr>
  </w:style>
  <w:style w:type="character" w:customStyle="1" w:styleId="CommentSubjectChar">
    <w:name w:val="Comment Subject Char"/>
    <w:basedOn w:val="CommentTextChar"/>
    <w:link w:val="CommentSubject"/>
    <w:uiPriority w:val="99"/>
    <w:semiHidden/>
    <w:rsid w:val="003F1798"/>
    <w:rPr>
      <w:b/>
      <w:bCs/>
      <w:sz w:val="20"/>
      <w:szCs w:val="20"/>
    </w:rPr>
  </w:style>
  <w:style w:type="paragraph" w:styleId="BalloonText">
    <w:name w:val="Balloon Text"/>
    <w:basedOn w:val="Normal"/>
    <w:link w:val="BalloonTextChar"/>
    <w:uiPriority w:val="99"/>
    <w:semiHidden/>
    <w:unhideWhenUsed/>
    <w:rsid w:val="003F179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1798"/>
    <w:rPr>
      <w:rFonts w:ascii="Segoe UI" w:hAnsi="Segoe UI" w:cs="Segoe UI"/>
      <w:sz w:val="18"/>
      <w:szCs w:val="18"/>
    </w:rPr>
  </w:style>
  <w:style w:type="character" w:styleId="PlaceholderText">
    <w:name w:val="Placeholder Text"/>
    <w:basedOn w:val="DefaultParagraphFont"/>
    <w:uiPriority w:val="99"/>
    <w:semiHidden/>
    <w:rsid w:val="0092726B"/>
    <w:rPr>
      <w:color w:val="808080"/>
    </w:rPr>
  </w:style>
  <w:style w:type="paragraph" w:customStyle="1" w:styleId="msonormal0">
    <w:name w:val="msonormal"/>
    <w:basedOn w:val="Normal"/>
    <w:rsid w:val="00854F6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6">
    <w:name w:val="xl66"/>
    <w:basedOn w:val="Normal"/>
    <w:rsid w:val="00854F6F"/>
    <w:pPr>
      <w:pBdr>
        <w:top w:val="single" w:sz="4" w:space="0" w:color="A6A6A6"/>
        <w:left w:val="single" w:sz="4" w:space="0" w:color="A6A6A6"/>
        <w:bottom w:val="single" w:sz="4" w:space="0" w:color="A6A6A6"/>
        <w:right w:val="single" w:sz="4" w:space="0" w:color="A6A6A6"/>
      </w:pBdr>
      <w:shd w:val="clear" w:color="000000" w:fill="EAEAE8"/>
      <w:spacing w:before="100" w:beforeAutospacing="1" w:after="100" w:afterAutospacing="1" w:line="240" w:lineRule="auto"/>
      <w:textAlignment w:val="top"/>
    </w:pPr>
    <w:rPr>
      <w:rFonts w:ascii="Arial" w:eastAsia="Times New Roman" w:hAnsi="Arial" w:cs="Arial"/>
      <w:b/>
      <w:bCs/>
      <w:color w:val="333333"/>
      <w:sz w:val="24"/>
      <w:szCs w:val="24"/>
    </w:rPr>
  </w:style>
  <w:style w:type="paragraph" w:customStyle="1" w:styleId="xl67">
    <w:name w:val="xl67"/>
    <w:basedOn w:val="Normal"/>
    <w:rsid w:val="00854F6F"/>
    <w:pP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68">
    <w:name w:val="xl68"/>
    <w:basedOn w:val="Normal"/>
    <w:rsid w:val="00854F6F"/>
    <w:pPr>
      <w:pBdr>
        <w:top w:val="single" w:sz="4" w:space="0" w:color="A6A6A6"/>
        <w:left w:val="single" w:sz="4" w:space="0" w:color="A6A6A6"/>
        <w:bottom w:val="single" w:sz="4" w:space="0" w:color="A6A6A6"/>
        <w:right w:val="single" w:sz="4" w:space="0" w:color="A6A6A6"/>
      </w:pBdr>
      <w:shd w:val="clear" w:color="000000" w:fill="EAEAE8"/>
      <w:spacing w:before="100" w:beforeAutospacing="1" w:after="100" w:afterAutospacing="1" w:line="240" w:lineRule="auto"/>
      <w:textAlignment w:val="top"/>
    </w:pPr>
    <w:rPr>
      <w:rFonts w:ascii="Arial" w:eastAsia="Times New Roman" w:hAnsi="Arial" w:cs="Arial"/>
      <w:b/>
      <w:bCs/>
      <w:color w:val="333333"/>
      <w:sz w:val="24"/>
      <w:szCs w:val="24"/>
    </w:rPr>
  </w:style>
  <w:style w:type="paragraph" w:customStyle="1" w:styleId="xl69">
    <w:name w:val="xl69"/>
    <w:basedOn w:val="Normal"/>
    <w:rsid w:val="00854F6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0">
    <w:name w:val="xl70"/>
    <w:basedOn w:val="Normal"/>
    <w:rsid w:val="00854F6F"/>
    <w:pPr>
      <w:shd w:val="clear" w:color="000000" w:fill="FFFF00"/>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71">
    <w:name w:val="xl71"/>
    <w:basedOn w:val="Normal"/>
    <w:rsid w:val="00854F6F"/>
    <w:pPr>
      <w:shd w:val="clear" w:color="000000" w:fill="FFFF0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2">
    <w:name w:val="xl72"/>
    <w:basedOn w:val="Normal"/>
    <w:rsid w:val="00854F6F"/>
    <w:pPr>
      <w:shd w:val="clear" w:color="000000" w:fill="FFFF00"/>
      <w:spacing w:before="100" w:beforeAutospacing="1" w:after="100" w:afterAutospacing="1" w:line="240" w:lineRule="auto"/>
    </w:pPr>
    <w:rPr>
      <w:rFonts w:ascii="Times New Roman" w:eastAsia="Times New Roman" w:hAnsi="Times New Roman" w:cs="Times New Roman"/>
      <w:sz w:val="24"/>
      <w:szCs w:val="24"/>
    </w:rPr>
  </w:style>
  <w:style w:type="table" w:styleId="GridTable5Dark-Accent1">
    <w:name w:val="Grid Table 5 Dark Accent 1"/>
    <w:basedOn w:val="TableNormal"/>
    <w:uiPriority w:val="50"/>
    <w:rsid w:val="002A462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character" w:customStyle="1" w:styleId="apple-converted-space">
    <w:name w:val="apple-converted-space"/>
    <w:basedOn w:val="DefaultParagraphFont"/>
    <w:rsid w:val="00593BAF"/>
  </w:style>
  <w:style w:type="character" w:styleId="UnresolvedMention">
    <w:name w:val="Unresolved Mention"/>
    <w:basedOn w:val="DefaultParagraphFont"/>
    <w:uiPriority w:val="99"/>
    <w:semiHidden/>
    <w:unhideWhenUsed/>
    <w:rsid w:val="004421AE"/>
    <w:rPr>
      <w:color w:val="605E5C"/>
      <w:shd w:val="clear" w:color="auto" w:fill="E1DFDD"/>
    </w:rPr>
  </w:style>
  <w:style w:type="paragraph" w:styleId="Revision">
    <w:name w:val="Revision"/>
    <w:hidden/>
    <w:uiPriority w:val="99"/>
    <w:semiHidden/>
    <w:rsid w:val="00830C6E"/>
    <w:pPr>
      <w:spacing w:after="0" w:line="240" w:lineRule="auto"/>
    </w:pPr>
  </w:style>
  <w:style w:type="table" w:styleId="GridTable4">
    <w:name w:val="Grid Table 4"/>
    <w:basedOn w:val="TableNormal"/>
    <w:uiPriority w:val="49"/>
    <w:rsid w:val="00BC1979"/>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5Dark">
    <w:name w:val="Grid Table 5 Dark"/>
    <w:basedOn w:val="TableNormal"/>
    <w:uiPriority w:val="50"/>
    <w:rsid w:val="00BC197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2-Accent3">
    <w:name w:val="Grid Table 2 Accent 3"/>
    <w:basedOn w:val="TableNormal"/>
    <w:uiPriority w:val="47"/>
    <w:rsid w:val="00C73735"/>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3">
    <w:name w:val="Grid Table 4 Accent 3"/>
    <w:basedOn w:val="TableNormal"/>
    <w:uiPriority w:val="49"/>
    <w:rsid w:val="00C73735"/>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customStyle="1" w:styleId="Heading4Char">
    <w:name w:val="Heading 4 Char"/>
    <w:basedOn w:val="DefaultParagraphFont"/>
    <w:link w:val="Heading4"/>
    <w:uiPriority w:val="9"/>
    <w:rsid w:val="00DE1888"/>
    <w:rPr>
      <w:rFonts w:ascii="Calibri" w:eastAsiaTheme="majorEastAsia" w:hAnsi="Calibri" w:cstheme="majorBidi"/>
      <w:i/>
      <w:iCs/>
      <w:color w:val="44546A"/>
      <w:sz w:val="24"/>
    </w:rPr>
  </w:style>
  <w:style w:type="paragraph" w:styleId="TOC4">
    <w:name w:val="toc 4"/>
    <w:basedOn w:val="Normal"/>
    <w:next w:val="Normal"/>
    <w:autoRedefine/>
    <w:uiPriority w:val="39"/>
    <w:unhideWhenUsed/>
    <w:rsid w:val="00EB03E7"/>
    <w:pPr>
      <w:spacing w:after="100"/>
      <w:ind w:left="660"/>
    </w:pPr>
  </w:style>
  <w:style w:type="paragraph" w:styleId="Bibliography">
    <w:name w:val="Bibliography"/>
    <w:basedOn w:val="Normal"/>
    <w:next w:val="Normal"/>
    <w:uiPriority w:val="37"/>
    <w:semiHidden/>
    <w:unhideWhenUsed/>
    <w:rsid w:val="00B55C67"/>
  </w:style>
  <w:style w:type="paragraph" w:styleId="BlockText">
    <w:name w:val="Block Text"/>
    <w:basedOn w:val="Normal"/>
    <w:uiPriority w:val="99"/>
    <w:semiHidden/>
    <w:unhideWhenUsed/>
    <w:rsid w:val="00B55C67"/>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rFonts w:eastAsiaTheme="minorEastAsia"/>
      <w:i/>
      <w:iCs/>
      <w:color w:val="4472C4" w:themeColor="accent1"/>
    </w:rPr>
  </w:style>
  <w:style w:type="paragraph" w:styleId="BodyText">
    <w:name w:val="Body Text"/>
    <w:basedOn w:val="Normal"/>
    <w:link w:val="BodyTextChar"/>
    <w:uiPriority w:val="99"/>
    <w:semiHidden/>
    <w:unhideWhenUsed/>
    <w:rsid w:val="00B55C67"/>
    <w:pPr>
      <w:spacing w:after="120"/>
    </w:pPr>
  </w:style>
  <w:style w:type="character" w:customStyle="1" w:styleId="BodyTextChar">
    <w:name w:val="Body Text Char"/>
    <w:basedOn w:val="DefaultParagraphFont"/>
    <w:link w:val="BodyText"/>
    <w:uiPriority w:val="99"/>
    <w:semiHidden/>
    <w:rsid w:val="00B55C67"/>
  </w:style>
  <w:style w:type="paragraph" w:styleId="BodyText2">
    <w:name w:val="Body Text 2"/>
    <w:basedOn w:val="Normal"/>
    <w:link w:val="BodyText2Char"/>
    <w:uiPriority w:val="99"/>
    <w:semiHidden/>
    <w:unhideWhenUsed/>
    <w:rsid w:val="00B55C67"/>
    <w:pPr>
      <w:spacing w:after="120" w:line="480" w:lineRule="auto"/>
    </w:pPr>
  </w:style>
  <w:style w:type="character" w:customStyle="1" w:styleId="BodyText2Char">
    <w:name w:val="Body Text 2 Char"/>
    <w:basedOn w:val="DefaultParagraphFont"/>
    <w:link w:val="BodyText2"/>
    <w:uiPriority w:val="99"/>
    <w:semiHidden/>
    <w:rsid w:val="00B55C67"/>
  </w:style>
  <w:style w:type="paragraph" w:styleId="BodyText3">
    <w:name w:val="Body Text 3"/>
    <w:basedOn w:val="Normal"/>
    <w:link w:val="BodyText3Char"/>
    <w:uiPriority w:val="99"/>
    <w:semiHidden/>
    <w:unhideWhenUsed/>
    <w:rsid w:val="00B55C67"/>
    <w:pPr>
      <w:spacing w:after="120"/>
    </w:pPr>
    <w:rPr>
      <w:sz w:val="16"/>
      <w:szCs w:val="16"/>
    </w:rPr>
  </w:style>
  <w:style w:type="character" w:customStyle="1" w:styleId="BodyText3Char">
    <w:name w:val="Body Text 3 Char"/>
    <w:basedOn w:val="DefaultParagraphFont"/>
    <w:link w:val="BodyText3"/>
    <w:uiPriority w:val="99"/>
    <w:semiHidden/>
    <w:rsid w:val="00B55C67"/>
    <w:rPr>
      <w:sz w:val="16"/>
      <w:szCs w:val="16"/>
    </w:rPr>
  </w:style>
  <w:style w:type="paragraph" w:styleId="BodyTextFirstIndent">
    <w:name w:val="Body Text First Indent"/>
    <w:basedOn w:val="BodyText"/>
    <w:link w:val="BodyTextFirstIndentChar"/>
    <w:uiPriority w:val="99"/>
    <w:semiHidden/>
    <w:unhideWhenUsed/>
    <w:rsid w:val="00B55C67"/>
    <w:pPr>
      <w:spacing w:after="160"/>
      <w:ind w:firstLine="360"/>
    </w:pPr>
  </w:style>
  <w:style w:type="character" w:customStyle="1" w:styleId="BodyTextFirstIndentChar">
    <w:name w:val="Body Text First Indent Char"/>
    <w:basedOn w:val="BodyTextChar"/>
    <w:link w:val="BodyTextFirstIndent"/>
    <w:uiPriority w:val="99"/>
    <w:semiHidden/>
    <w:rsid w:val="00B55C67"/>
  </w:style>
  <w:style w:type="paragraph" w:styleId="BodyTextIndent">
    <w:name w:val="Body Text Indent"/>
    <w:basedOn w:val="Normal"/>
    <w:link w:val="BodyTextIndentChar"/>
    <w:uiPriority w:val="99"/>
    <w:semiHidden/>
    <w:unhideWhenUsed/>
    <w:rsid w:val="00B55C67"/>
    <w:pPr>
      <w:spacing w:after="120"/>
      <w:ind w:left="360"/>
    </w:pPr>
  </w:style>
  <w:style w:type="character" w:customStyle="1" w:styleId="BodyTextIndentChar">
    <w:name w:val="Body Text Indent Char"/>
    <w:basedOn w:val="DefaultParagraphFont"/>
    <w:link w:val="BodyTextIndent"/>
    <w:uiPriority w:val="99"/>
    <w:semiHidden/>
    <w:rsid w:val="00B55C67"/>
  </w:style>
  <w:style w:type="paragraph" w:styleId="BodyTextFirstIndent2">
    <w:name w:val="Body Text First Indent 2"/>
    <w:basedOn w:val="BodyTextIndent"/>
    <w:link w:val="BodyTextFirstIndent2Char"/>
    <w:uiPriority w:val="99"/>
    <w:semiHidden/>
    <w:unhideWhenUsed/>
    <w:rsid w:val="00B55C67"/>
    <w:pPr>
      <w:spacing w:after="160"/>
      <w:ind w:firstLine="360"/>
    </w:pPr>
  </w:style>
  <w:style w:type="character" w:customStyle="1" w:styleId="BodyTextFirstIndent2Char">
    <w:name w:val="Body Text First Indent 2 Char"/>
    <w:basedOn w:val="BodyTextIndentChar"/>
    <w:link w:val="BodyTextFirstIndent2"/>
    <w:uiPriority w:val="99"/>
    <w:semiHidden/>
    <w:rsid w:val="00B55C67"/>
  </w:style>
  <w:style w:type="paragraph" w:styleId="BodyTextIndent2">
    <w:name w:val="Body Text Indent 2"/>
    <w:basedOn w:val="Normal"/>
    <w:link w:val="BodyTextIndent2Char"/>
    <w:uiPriority w:val="99"/>
    <w:semiHidden/>
    <w:unhideWhenUsed/>
    <w:rsid w:val="00B55C67"/>
    <w:pPr>
      <w:spacing w:after="120" w:line="480" w:lineRule="auto"/>
      <w:ind w:left="360"/>
    </w:pPr>
  </w:style>
  <w:style w:type="character" w:customStyle="1" w:styleId="BodyTextIndent2Char">
    <w:name w:val="Body Text Indent 2 Char"/>
    <w:basedOn w:val="DefaultParagraphFont"/>
    <w:link w:val="BodyTextIndent2"/>
    <w:uiPriority w:val="99"/>
    <w:semiHidden/>
    <w:rsid w:val="00B55C67"/>
  </w:style>
  <w:style w:type="paragraph" w:styleId="BodyTextIndent3">
    <w:name w:val="Body Text Indent 3"/>
    <w:basedOn w:val="Normal"/>
    <w:link w:val="BodyTextIndent3Char"/>
    <w:uiPriority w:val="99"/>
    <w:semiHidden/>
    <w:unhideWhenUsed/>
    <w:rsid w:val="00B55C67"/>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B55C67"/>
    <w:rPr>
      <w:sz w:val="16"/>
      <w:szCs w:val="16"/>
    </w:rPr>
  </w:style>
  <w:style w:type="paragraph" w:styleId="Caption">
    <w:name w:val="caption"/>
    <w:basedOn w:val="Normal"/>
    <w:next w:val="Normal"/>
    <w:uiPriority w:val="35"/>
    <w:semiHidden/>
    <w:unhideWhenUsed/>
    <w:qFormat/>
    <w:rsid w:val="00B55C67"/>
    <w:pPr>
      <w:spacing w:after="200" w:line="240" w:lineRule="auto"/>
    </w:pPr>
    <w:rPr>
      <w:i/>
      <w:iCs/>
      <w:color w:val="44546A" w:themeColor="text2"/>
      <w:sz w:val="18"/>
      <w:szCs w:val="18"/>
    </w:rPr>
  </w:style>
  <w:style w:type="paragraph" w:styleId="Closing">
    <w:name w:val="Closing"/>
    <w:basedOn w:val="Normal"/>
    <w:link w:val="ClosingChar"/>
    <w:uiPriority w:val="99"/>
    <w:semiHidden/>
    <w:unhideWhenUsed/>
    <w:rsid w:val="00B55C67"/>
    <w:pPr>
      <w:spacing w:after="0" w:line="240" w:lineRule="auto"/>
      <w:ind w:left="4320"/>
    </w:pPr>
  </w:style>
  <w:style w:type="character" w:customStyle="1" w:styleId="ClosingChar">
    <w:name w:val="Closing Char"/>
    <w:basedOn w:val="DefaultParagraphFont"/>
    <w:link w:val="Closing"/>
    <w:uiPriority w:val="99"/>
    <w:semiHidden/>
    <w:rsid w:val="00B55C67"/>
  </w:style>
  <w:style w:type="paragraph" w:styleId="Date">
    <w:name w:val="Date"/>
    <w:basedOn w:val="Normal"/>
    <w:next w:val="Normal"/>
    <w:link w:val="DateChar"/>
    <w:uiPriority w:val="99"/>
    <w:semiHidden/>
    <w:unhideWhenUsed/>
    <w:rsid w:val="00B55C67"/>
  </w:style>
  <w:style w:type="character" w:customStyle="1" w:styleId="DateChar">
    <w:name w:val="Date Char"/>
    <w:basedOn w:val="DefaultParagraphFont"/>
    <w:link w:val="Date"/>
    <w:uiPriority w:val="99"/>
    <w:semiHidden/>
    <w:rsid w:val="00B55C67"/>
  </w:style>
  <w:style w:type="paragraph" w:styleId="DocumentMap">
    <w:name w:val="Document Map"/>
    <w:basedOn w:val="Normal"/>
    <w:link w:val="DocumentMapChar"/>
    <w:uiPriority w:val="99"/>
    <w:semiHidden/>
    <w:unhideWhenUsed/>
    <w:rsid w:val="00B55C67"/>
    <w:pPr>
      <w:spacing w:after="0" w:line="240" w:lineRule="auto"/>
    </w:pPr>
    <w:rPr>
      <w:rFonts w:ascii="Segoe UI" w:hAnsi="Segoe UI" w:cs="Segoe UI"/>
      <w:sz w:val="16"/>
      <w:szCs w:val="16"/>
    </w:rPr>
  </w:style>
  <w:style w:type="character" w:customStyle="1" w:styleId="DocumentMapChar">
    <w:name w:val="Document Map Char"/>
    <w:basedOn w:val="DefaultParagraphFont"/>
    <w:link w:val="DocumentMap"/>
    <w:uiPriority w:val="99"/>
    <w:semiHidden/>
    <w:rsid w:val="00B55C67"/>
    <w:rPr>
      <w:rFonts w:ascii="Segoe UI" w:hAnsi="Segoe UI" w:cs="Segoe UI"/>
      <w:sz w:val="16"/>
      <w:szCs w:val="16"/>
    </w:rPr>
  </w:style>
  <w:style w:type="paragraph" w:styleId="E-mailSignature">
    <w:name w:val="E-mail Signature"/>
    <w:basedOn w:val="Normal"/>
    <w:link w:val="E-mailSignatureChar"/>
    <w:uiPriority w:val="99"/>
    <w:semiHidden/>
    <w:unhideWhenUsed/>
    <w:rsid w:val="00B55C67"/>
    <w:pPr>
      <w:spacing w:after="0" w:line="240" w:lineRule="auto"/>
    </w:pPr>
  </w:style>
  <w:style w:type="character" w:customStyle="1" w:styleId="E-mailSignatureChar">
    <w:name w:val="E-mail Signature Char"/>
    <w:basedOn w:val="DefaultParagraphFont"/>
    <w:link w:val="E-mailSignature"/>
    <w:uiPriority w:val="99"/>
    <w:semiHidden/>
    <w:rsid w:val="00B55C67"/>
  </w:style>
  <w:style w:type="paragraph" w:styleId="EnvelopeAddress">
    <w:name w:val="envelope address"/>
    <w:basedOn w:val="Normal"/>
    <w:uiPriority w:val="99"/>
    <w:semiHidden/>
    <w:unhideWhenUsed/>
    <w:rsid w:val="00B55C67"/>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B55C67"/>
    <w:pPr>
      <w:spacing w:after="0" w:line="240" w:lineRule="auto"/>
    </w:pPr>
    <w:rPr>
      <w:rFonts w:asciiTheme="majorHAnsi" w:eastAsiaTheme="majorEastAsia" w:hAnsiTheme="majorHAnsi" w:cstheme="majorBidi"/>
      <w:sz w:val="20"/>
      <w:szCs w:val="20"/>
    </w:rPr>
  </w:style>
  <w:style w:type="character" w:customStyle="1" w:styleId="Heading5Char">
    <w:name w:val="Heading 5 Char"/>
    <w:basedOn w:val="DefaultParagraphFont"/>
    <w:link w:val="Heading5"/>
    <w:uiPriority w:val="9"/>
    <w:semiHidden/>
    <w:rsid w:val="00B55C67"/>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B55C67"/>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B55C67"/>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B55C67"/>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B55C67"/>
    <w:rPr>
      <w:rFonts w:asciiTheme="majorHAnsi" w:eastAsiaTheme="majorEastAsia" w:hAnsiTheme="majorHAnsi" w:cstheme="majorBidi"/>
      <w:i/>
      <w:iCs/>
      <w:color w:val="272727" w:themeColor="text1" w:themeTint="D8"/>
      <w:sz w:val="21"/>
      <w:szCs w:val="21"/>
    </w:rPr>
  </w:style>
  <w:style w:type="paragraph" w:styleId="HTMLAddress">
    <w:name w:val="HTML Address"/>
    <w:basedOn w:val="Normal"/>
    <w:link w:val="HTMLAddressChar"/>
    <w:uiPriority w:val="99"/>
    <w:semiHidden/>
    <w:unhideWhenUsed/>
    <w:rsid w:val="00B55C67"/>
    <w:pPr>
      <w:spacing w:after="0" w:line="240" w:lineRule="auto"/>
    </w:pPr>
    <w:rPr>
      <w:i/>
      <w:iCs/>
    </w:rPr>
  </w:style>
  <w:style w:type="character" w:customStyle="1" w:styleId="HTMLAddressChar">
    <w:name w:val="HTML Address Char"/>
    <w:basedOn w:val="DefaultParagraphFont"/>
    <w:link w:val="HTMLAddress"/>
    <w:uiPriority w:val="99"/>
    <w:semiHidden/>
    <w:rsid w:val="00B55C67"/>
    <w:rPr>
      <w:i/>
      <w:iCs/>
    </w:rPr>
  </w:style>
  <w:style w:type="paragraph" w:styleId="HTMLPreformatted">
    <w:name w:val="HTML Preformatted"/>
    <w:basedOn w:val="Normal"/>
    <w:link w:val="HTMLPreformattedChar"/>
    <w:uiPriority w:val="99"/>
    <w:semiHidden/>
    <w:unhideWhenUsed/>
    <w:rsid w:val="00B55C67"/>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B55C67"/>
    <w:rPr>
      <w:rFonts w:ascii="Consolas" w:hAnsi="Consolas"/>
      <w:sz w:val="20"/>
      <w:szCs w:val="20"/>
    </w:rPr>
  </w:style>
  <w:style w:type="paragraph" w:styleId="Index1">
    <w:name w:val="index 1"/>
    <w:basedOn w:val="Normal"/>
    <w:next w:val="Normal"/>
    <w:autoRedefine/>
    <w:uiPriority w:val="99"/>
    <w:semiHidden/>
    <w:unhideWhenUsed/>
    <w:rsid w:val="00B55C67"/>
    <w:pPr>
      <w:spacing w:after="0" w:line="240" w:lineRule="auto"/>
      <w:ind w:left="220" w:hanging="220"/>
    </w:pPr>
  </w:style>
  <w:style w:type="paragraph" w:styleId="Index2">
    <w:name w:val="index 2"/>
    <w:basedOn w:val="Normal"/>
    <w:next w:val="Normal"/>
    <w:autoRedefine/>
    <w:uiPriority w:val="99"/>
    <w:semiHidden/>
    <w:unhideWhenUsed/>
    <w:rsid w:val="00B55C67"/>
    <w:pPr>
      <w:spacing w:after="0" w:line="240" w:lineRule="auto"/>
      <w:ind w:left="440" w:hanging="220"/>
    </w:pPr>
  </w:style>
  <w:style w:type="paragraph" w:styleId="Index3">
    <w:name w:val="index 3"/>
    <w:basedOn w:val="Normal"/>
    <w:next w:val="Normal"/>
    <w:autoRedefine/>
    <w:uiPriority w:val="99"/>
    <w:semiHidden/>
    <w:unhideWhenUsed/>
    <w:rsid w:val="00B55C67"/>
    <w:pPr>
      <w:spacing w:after="0" w:line="240" w:lineRule="auto"/>
      <w:ind w:left="660" w:hanging="220"/>
    </w:pPr>
  </w:style>
  <w:style w:type="paragraph" w:styleId="Index4">
    <w:name w:val="index 4"/>
    <w:basedOn w:val="Normal"/>
    <w:next w:val="Normal"/>
    <w:autoRedefine/>
    <w:uiPriority w:val="99"/>
    <w:semiHidden/>
    <w:unhideWhenUsed/>
    <w:rsid w:val="00B55C67"/>
    <w:pPr>
      <w:spacing w:after="0" w:line="240" w:lineRule="auto"/>
      <w:ind w:left="880" w:hanging="220"/>
    </w:pPr>
  </w:style>
  <w:style w:type="paragraph" w:styleId="Index5">
    <w:name w:val="index 5"/>
    <w:basedOn w:val="Normal"/>
    <w:next w:val="Normal"/>
    <w:autoRedefine/>
    <w:uiPriority w:val="99"/>
    <w:semiHidden/>
    <w:unhideWhenUsed/>
    <w:rsid w:val="00B55C67"/>
    <w:pPr>
      <w:spacing w:after="0" w:line="240" w:lineRule="auto"/>
      <w:ind w:left="1100" w:hanging="220"/>
    </w:pPr>
  </w:style>
  <w:style w:type="paragraph" w:styleId="Index6">
    <w:name w:val="index 6"/>
    <w:basedOn w:val="Normal"/>
    <w:next w:val="Normal"/>
    <w:autoRedefine/>
    <w:uiPriority w:val="99"/>
    <w:semiHidden/>
    <w:unhideWhenUsed/>
    <w:rsid w:val="00B55C67"/>
    <w:pPr>
      <w:spacing w:after="0" w:line="240" w:lineRule="auto"/>
      <w:ind w:left="1320" w:hanging="220"/>
    </w:pPr>
  </w:style>
  <w:style w:type="paragraph" w:styleId="Index7">
    <w:name w:val="index 7"/>
    <w:basedOn w:val="Normal"/>
    <w:next w:val="Normal"/>
    <w:autoRedefine/>
    <w:uiPriority w:val="99"/>
    <w:semiHidden/>
    <w:unhideWhenUsed/>
    <w:rsid w:val="00B55C67"/>
    <w:pPr>
      <w:spacing w:after="0" w:line="240" w:lineRule="auto"/>
      <w:ind w:left="1540" w:hanging="220"/>
    </w:pPr>
  </w:style>
  <w:style w:type="paragraph" w:styleId="Index8">
    <w:name w:val="index 8"/>
    <w:basedOn w:val="Normal"/>
    <w:next w:val="Normal"/>
    <w:autoRedefine/>
    <w:uiPriority w:val="99"/>
    <w:semiHidden/>
    <w:unhideWhenUsed/>
    <w:rsid w:val="00B55C67"/>
    <w:pPr>
      <w:spacing w:after="0" w:line="240" w:lineRule="auto"/>
      <w:ind w:left="1760" w:hanging="220"/>
    </w:pPr>
  </w:style>
  <w:style w:type="paragraph" w:styleId="Index9">
    <w:name w:val="index 9"/>
    <w:basedOn w:val="Normal"/>
    <w:next w:val="Normal"/>
    <w:autoRedefine/>
    <w:uiPriority w:val="99"/>
    <w:semiHidden/>
    <w:unhideWhenUsed/>
    <w:rsid w:val="00B55C67"/>
    <w:pPr>
      <w:spacing w:after="0" w:line="240" w:lineRule="auto"/>
      <w:ind w:left="1980" w:hanging="220"/>
    </w:pPr>
  </w:style>
  <w:style w:type="paragraph" w:styleId="IndexHeading">
    <w:name w:val="index heading"/>
    <w:basedOn w:val="Normal"/>
    <w:next w:val="Index1"/>
    <w:uiPriority w:val="99"/>
    <w:semiHidden/>
    <w:unhideWhenUsed/>
    <w:rsid w:val="00B55C67"/>
    <w:rPr>
      <w:rFonts w:asciiTheme="majorHAnsi" w:eastAsiaTheme="majorEastAsia" w:hAnsiTheme="majorHAnsi" w:cstheme="majorBidi"/>
      <w:b/>
      <w:bCs/>
    </w:rPr>
  </w:style>
  <w:style w:type="paragraph" w:styleId="IntenseQuote">
    <w:name w:val="Intense Quote"/>
    <w:basedOn w:val="Normal"/>
    <w:next w:val="Normal"/>
    <w:link w:val="IntenseQuoteChar"/>
    <w:uiPriority w:val="30"/>
    <w:qFormat/>
    <w:rsid w:val="00B55C6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B55C67"/>
    <w:rPr>
      <w:i/>
      <w:iCs/>
      <w:color w:val="4472C4" w:themeColor="accent1"/>
    </w:rPr>
  </w:style>
  <w:style w:type="paragraph" w:styleId="List">
    <w:name w:val="List"/>
    <w:basedOn w:val="Normal"/>
    <w:uiPriority w:val="99"/>
    <w:semiHidden/>
    <w:unhideWhenUsed/>
    <w:rsid w:val="00B55C67"/>
    <w:pPr>
      <w:ind w:left="360" w:hanging="360"/>
      <w:contextualSpacing/>
    </w:pPr>
  </w:style>
  <w:style w:type="paragraph" w:styleId="List2">
    <w:name w:val="List 2"/>
    <w:basedOn w:val="Normal"/>
    <w:uiPriority w:val="99"/>
    <w:semiHidden/>
    <w:unhideWhenUsed/>
    <w:rsid w:val="00B55C67"/>
    <w:pPr>
      <w:ind w:left="720" w:hanging="360"/>
      <w:contextualSpacing/>
    </w:pPr>
  </w:style>
  <w:style w:type="paragraph" w:styleId="List3">
    <w:name w:val="List 3"/>
    <w:basedOn w:val="Normal"/>
    <w:uiPriority w:val="99"/>
    <w:semiHidden/>
    <w:unhideWhenUsed/>
    <w:rsid w:val="00B55C67"/>
    <w:pPr>
      <w:ind w:left="1080" w:hanging="360"/>
      <w:contextualSpacing/>
    </w:pPr>
  </w:style>
  <w:style w:type="paragraph" w:styleId="List4">
    <w:name w:val="List 4"/>
    <w:basedOn w:val="Normal"/>
    <w:uiPriority w:val="99"/>
    <w:semiHidden/>
    <w:unhideWhenUsed/>
    <w:rsid w:val="00B55C67"/>
    <w:pPr>
      <w:ind w:left="1440" w:hanging="360"/>
      <w:contextualSpacing/>
    </w:pPr>
  </w:style>
  <w:style w:type="paragraph" w:styleId="List5">
    <w:name w:val="List 5"/>
    <w:basedOn w:val="Normal"/>
    <w:uiPriority w:val="99"/>
    <w:semiHidden/>
    <w:unhideWhenUsed/>
    <w:rsid w:val="00B55C67"/>
    <w:pPr>
      <w:ind w:left="1800" w:hanging="360"/>
      <w:contextualSpacing/>
    </w:pPr>
  </w:style>
  <w:style w:type="paragraph" w:styleId="ListBullet">
    <w:name w:val="List Bullet"/>
    <w:basedOn w:val="Normal"/>
    <w:uiPriority w:val="99"/>
    <w:semiHidden/>
    <w:unhideWhenUsed/>
    <w:rsid w:val="00B55C67"/>
    <w:pPr>
      <w:numPr>
        <w:numId w:val="12"/>
      </w:numPr>
      <w:contextualSpacing/>
    </w:pPr>
  </w:style>
  <w:style w:type="paragraph" w:styleId="ListBullet2">
    <w:name w:val="List Bullet 2"/>
    <w:basedOn w:val="Normal"/>
    <w:uiPriority w:val="99"/>
    <w:semiHidden/>
    <w:unhideWhenUsed/>
    <w:rsid w:val="00B55C67"/>
    <w:pPr>
      <w:numPr>
        <w:numId w:val="13"/>
      </w:numPr>
      <w:contextualSpacing/>
    </w:pPr>
  </w:style>
  <w:style w:type="paragraph" w:styleId="ListBullet3">
    <w:name w:val="List Bullet 3"/>
    <w:basedOn w:val="Normal"/>
    <w:uiPriority w:val="99"/>
    <w:semiHidden/>
    <w:unhideWhenUsed/>
    <w:rsid w:val="00B55C67"/>
    <w:pPr>
      <w:numPr>
        <w:numId w:val="14"/>
      </w:numPr>
      <w:contextualSpacing/>
    </w:pPr>
  </w:style>
  <w:style w:type="paragraph" w:styleId="ListBullet4">
    <w:name w:val="List Bullet 4"/>
    <w:basedOn w:val="Normal"/>
    <w:uiPriority w:val="99"/>
    <w:semiHidden/>
    <w:unhideWhenUsed/>
    <w:rsid w:val="00B55C67"/>
    <w:pPr>
      <w:numPr>
        <w:numId w:val="15"/>
      </w:numPr>
      <w:contextualSpacing/>
    </w:pPr>
  </w:style>
  <w:style w:type="paragraph" w:styleId="ListBullet5">
    <w:name w:val="List Bullet 5"/>
    <w:basedOn w:val="Normal"/>
    <w:uiPriority w:val="99"/>
    <w:semiHidden/>
    <w:unhideWhenUsed/>
    <w:rsid w:val="00B55C67"/>
    <w:pPr>
      <w:numPr>
        <w:numId w:val="16"/>
      </w:numPr>
      <w:contextualSpacing/>
    </w:pPr>
  </w:style>
  <w:style w:type="paragraph" w:styleId="ListContinue">
    <w:name w:val="List Continue"/>
    <w:basedOn w:val="Normal"/>
    <w:uiPriority w:val="99"/>
    <w:semiHidden/>
    <w:unhideWhenUsed/>
    <w:rsid w:val="00B55C67"/>
    <w:pPr>
      <w:spacing w:after="120"/>
      <w:ind w:left="360"/>
      <w:contextualSpacing/>
    </w:pPr>
  </w:style>
  <w:style w:type="paragraph" w:styleId="ListContinue2">
    <w:name w:val="List Continue 2"/>
    <w:basedOn w:val="Normal"/>
    <w:uiPriority w:val="99"/>
    <w:semiHidden/>
    <w:unhideWhenUsed/>
    <w:rsid w:val="00B55C67"/>
    <w:pPr>
      <w:spacing w:after="120"/>
      <w:ind w:left="720"/>
      <w:contextualSpacing/>
    </w:pPr>
  </w:style>
  <w:style w:type="paragraph" w:styleId="ListContinue3">
    <w:name w:val="List Continue 3"/>
    <w:basedOn w:val="Normal"/>
    <w:uiPriority w:val="99"/>
    <w:semiHidden/>
    <w:unhideWhenUsed/>
    <w:rsid w:val="00B55C67"/>
    <w:pPr>
      <w:spacing w:after="120"/>
      <w:ind w:left="1080"/>
      <w:contextualSpacing/>
    </w:pPr>
  </w:style>
  <w:style w:type="paragraph" w:styleId="ListContinue4">
    <w:name w:val="List Continue 4"/>
    <w:basedOn w:val="Normal"/>
    <w:uiPriority w:val="99"/>
    <w:semiHidden/>
    <w:unhideWhenUsed/>
    <w:rsid w:val="00B55C67"/>
    <w:pPr>
      <w:spacing w:after="120"/>
      <w:ind w:left="1440"/>
      <w:contextualSpacing/>
    </w:pPr>
  </w:style>
  <w:style w:type="paragraph" w:styleId="ListContinue5">
    <w:name w:val="List Continue 5"/>
    <w:basedOn w:val="Normal"/>
    <w:uiPriority w:val="99"/>
    <w:semiHidden/>
    <w:unhideWhenUsed/>
    <w:rsid w:val="00B55C67"/>
    <w:pPr>
      <w:spacing w:after="120"/>
      <w:ind w:left="1800"/>
      <w:contextualSpacing/>
    </w:pPr>
  </w:style>
  <w:style w:type="paragraph" w:styleId="ListNumber">
    <w:name w:val="List Number"/>
    <w:basedOn w:val="Normal"/>
    <w:uiPriority w:val="99"/>
    <w:semiHidden/>
    <w:unhideWhenUsed/>
    <w:rsid w:val="00B55C67"/>
    <w:pPr>
      <w:numPr>
        <w:numId w:val="17"/>
      </w:numPr>
      <w:contextualSpacing/>
    </w:pPr>
  </w:style>
  <w:style w:type="paragraph" w:styleId="ListNumber2">
    <w:name w:val="List Number 2"/>
    <w:basedOn w:val="Normal"/>
    <w:uiPriority w:val="99"/>
    <w:semiHidden/>
    <w:unhideWhenUsed/>
    <w:rsid w:val="00B55C67"/>
    <w:pPr>
      <w:numPr>
        <w:numId w:val="18"/>
      </w:numPr>
      <w:contextualSpacing/>
    </w:pPr>
  </w:style>
  <w:style w:type="paragraph" w:styleId="ListNumber3">
    <w:name w:val="List Number 3"/>
    <w:basedOn w:val="Normal"/>
    <w:uiPriority w:val="99"/>
    <w:semiHidden/>
    <w:unhideWhenUsed/>
    <w:rsid w:val="00B55C67"/>
    <w:pPr>
      <w:numPr>
        <w:numId w:val="19"/>
      </w:numPr>
      <w:contextualSpacing/>
    </w:pPr>
  </w:style>
  <w:style w:type="paragraph" w:styleId="ListNumber4">
    <w:name w:val="List Number 4"/>
    <w:basedOn w:val="Normal"/>
    <w:uiPriority w:val="99"/>
    <w:semiHidden/>
    <w:unhideWhenUsed/>
    <w:rsid w:val="00B55C67"/>
    <w:pPr>
      <w:numPr>
        <w:numId w:val="20"/>
      </w:numPr>
      <w:contextualSpacing/>
    </w:pPr>
  </w:style>
  <w:style w:type="paragraph" w:styleId="ListNumber5">
    <w:name w:val="List Number 5"/>
    <w:basedOn w:val="Normal"/>
    <w:uiPriority w:val="99"/>
    <w:semiHidden/>
    <w:unhideWhenUsed/>
    <w:rsid w:val="00B55C67"/>
    <w:pPr>
      <w:numPr>
        <w:numId w:val="21"/>
      </w:numPr>
      <w:contextualSpacing/>
    </w:pPr>
  </w:style>
  <w:style w:type="paragraph" w:styleId="MacroText">
    <w:name w:val="macro"/>
    <w:link w:val="MacroTextChar"/>
    <w:uiPriority w:val="99"/>
    <w:semiHidden/>
    <w:unhideWhenUsed/>
    <w:rsid w:val="00B55C67"/>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0"/>
      <w:szCs w:val="20"/>
    </w:rPr>
  </w:style>
  <w:style w:type="character" w:customStyle="1" w:styleId="MacroTextChar">
    <w:name w:val="Macro Text Char"/>
    <w:basedOn w:val="DefaultParagraphFont"/>
    <w:link w:val="MacroText"/>
    <w:uiPriority w:val="99"/>
    <w:semiHidden/>
    <w:rsid w:val="00B55C67"/>
    <w:rPr>
      <w:rFonts w:ascii="Consolas" w:hAnsi="Consolas"/>
      <w:sz w:val="20"/>
      <w:szCs w:val="20"/>
    </w:rPr>
  </w:style>
  <w:style w:type="paragraph" w:styleId="MessageHeader">
    <w:name w:val="Message Header"/>
    <w:basedOn w:val="Normal"/>
    <w:link w:val="MessageHeaderChar"/>
    <w:uiPriority w:val="99"/>
    <w:semiHidden/>
    <w:unhideWhenUsed/>
    <w:rsid w:val="00B55C67"/>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B55C67"/>
    <w:rPr>
      <w:rFonts w:asciiTheme="majorHAnsi" w:eastAsiaTheme="majorEastAsia" w:hAnsiTheme="majorHAnsi" w:cstheme="majorBidi"/>
      <w:sz w:val="24"/>
      <w:szCs w:val="24"/>
      <w:shd w:val="pct20" w:color="auto" w:fill="auto"/>
    </w:rPr>
  </w:style>
  <w:style w:type="paragraph" w:styleId="NoSpacing">
    <w:name w:val="No Spacing"/>
    <w:uiPriority w:val="1"/>
    <w:qFormat/>
    <w:rsid w:val="00B55C67"/>
    <w:pPr>
      <w:spacing w:after="0" w:line="240" w:lineRule="auto"/>
    </w:pPr>
  </w:style>
  <w:style w:type="paragraph" w:styleId="NormalIndent">
    <w:name w:val="Normal Indent"/>
    <w:basedOn w:val="Normal"/>
    <w:uiPriority w:val="99"/>
    <w:semiHidden/>
    <w:unhideWhenUsed/>
    <w:rsid w:val="00B55C67"/>
    <w:pPr>
      <w:ind w:left="720"/>
    </w:pPr>
  </w:style>
  <w:style w:type="paragraph" w:styleId="NoteHeading">
    <w:name w:val="Note Heading"/>
    <w:basedOn w:val="Normal"/>
    <w:next w:val="Normal"/>
    <w:link w:val="NoteHeadingChar"/>
    <w:uiPriority w:val="99"/>
    <w:semiHidden/>
    <w:unhideWhenUsed/>
    <w:rsid w:val="00B55C67"/>
    <w:pPr>
      <w:spacing w:after="0" w:line="240" w:lineRule="auto"/>
    </w:pPr>
  </w:style>
  <w:style w:type="character" w:customStyle="1" w:styleId="NoteHeadingChar">
    <w:name w:val="Note Heading Char"/>
    <w:basedOn w:val="DefaultParagraphFont"/>
    <w:link w:val="NoteHeading"/>
    <w:uiPriority w:val="99"/>
    <w:semiHidden/>
    <w:rsid w:val="00B55C67"/>
  </w:style>
  <w:style w:type="paragraph" w:styleId="PlainText">
    <w:name w:val="Plain Text"/>
    <w:basedOn w:val="Normal"/>
    <w:link w:val="PlainTextChar"/>
    <w:uiPriority w:val="99"/>
    <w:semiHidden/>
    <w:unhideWhenUsed/>
    <w:rsid w:val="00B55C67"/>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B55C67"/>
    <w:rPr>
      <w:rFonts w:ascii="Consolas" w:hAnsi="Consolas"/>
      <w:sz w:val="21"/>
      <w:szCs w:val="21"/>
    </w:rPr>
  </w:style>
  <w:style w:type="paragraph" w:styleId="Quote">
    <w:name w:val="Quote"/>
    <w:basedOn w:val="Normal"/>
    <w:next w:val="Normal"/>
    <w:link w:val="QuoteChar"/>
    <w:uiPriority w:val="29"/>
    <w:qFormat/>
    <w:rsid w:val="00B55C67"/>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B55C67"/>
    <w:rPr>
      <w:i/>
      <w:iCs/>
      <w:color w:val="404040" w:themeColor="text1" w:themeTint="BF"/>
    </w:rPr>
  </w:style>
  <w:style w:type="paragraph" w:styleId="Salutation">
    <w:name w:val="Salutation"/>
    <w:basedOn w:val="Normal"/>
    <w:next w:val="Normal"/>
    <w:link w:val="SalutationChar"/>
    <w:uiPriority w:val="99"/>
    <w:semiHidden/>
    <w:unhideWhenUsed/>
    <w:rsid w:val="00B55C67"/>
  </w:style>
  <w:style w:type="character" w:customStyle="1" w:styleId="SalutationChar">
    <w:name w:val="Salutation Char"/>
    <w:basedOn w:val="DefaultParagraphFont"/>
    <w:link w:val="Salutation"/>
    <w:uiPriority w:val="99"/>
    <w:semiHidden/>
    <w:rsid w:val="00B55C67"/>
  </w:style>
  <w:style w:type="paragraph" w:styleId="Signature">
    <w:name w:val="Signature"/>
    <w:basedOn w:val="Normal"/>
    <w:link w:val="SignatureChar"/>
    <w:uiPriority w:val="99"/>
    <w:semiHidden/>
    <w:unhideWhenUsed/>
    <w:rsid w:val="00B55C67"/>
    <w:pPr>
      <w:spacing w:after="0" w:line="240" w:lineRule="auto"/>
      <w:ind w:left="4320"/>
    </w:pPr>
  </w:style>
  <w:style w:type="character" w:customStyle="1" w:styleId="SignatureChar">
    <w:name w:val="Signature Char"/>
    <w:basedOn w:val="DefaultParagraphFont"/>
    <w:link w:val="Signature"/>
    <w:uiPriority w:val="99"/>
    <w:semiHidden/>
    <w:rsid w:val="00B55C67"/>
  </w:style>
  <w:style w:type="paragraph" w:styleId="Subtitle">
    <w:name w:val="Subtitle"/>
    <w:basedOn w:val="Normal"/>
    <w:next w:val="Normal"/>
    <w:link w:val="SubtitleChar"/>
    <w:uiPriority w:val="11"/>
    <w:qFormat/>
    <w:rsid w:val="00B55C67"/>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B55C67"/>
    <w:rPr>
      <w:rFonts w:eastAsiaTheme="minorEastAsia"/>
      <w:color w:val="5A5A5A" w:themeColor="text1" w:themeTint="A5"/>
      <w:spacing w:val="15"/>
    </w:rPr>
  </w:style>
  <w:style w:type="paragraph" w:styleId="TableofAuthorities">
    <w:name w:val="table of authorities"/>
    <w:basedOn w:val="Normal"/>
    <w:next w:val="Normal"/>
    <w:uiPriority w:val="99"/>
    <w:semiHidden/>
    <w:unhideWhenUsed/>
    <w:rsid w:val="00B55C67"/>
    <w:pPr>
      <w:spacing w:after="0"/>
      <w:ind w:left="220" w:hanging="220"/>
    </w:pPr>
  </w:style>
  <w:style w:type="paragraph" w:styleId="TableofFigures">
    <w:name w:val="table of figures"/>
    <w:basedOn w:val="Normal"/>
    <w:next w:val="Normal"/>
    <w:uiPriority w:val="99"/>
    <w:semiHidden/>
    <w:unhideWhenUsed/>
    <w:rsid w:val="00B55C67"/>
    <w:pPr>
      <w:spacing w:after="0"/>
    </w:pPr>
  </w:style>
  <w:style w:type="paragraph" w:styleId="Title">
    <w:name w:val="Title"/>
    <w:basedOn w:val="Normal"/>
    <w:next w:val="Normal"/>
    <w:link w:val="TitleChar"/>
    <w:uiPriority w:val="10"/>
    <w:qFormat/>
    <w:rsid w:val="00B55C6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5C67"/>
    <w:rPr>
      <w:rFonts w:asciiTheme="majorHAnsi" w:eastAsiaTheme="majorEastAsia" w:hAnsiTheme="majorHAnsi" w:cstheme="majorBidi"/>
      <w:spacing w:val="-10"/>
      <w:kern w:val="28"/>
      <w:sz w:val="56"/>
      <w:szCs w:val="56"/>
    </w:rPr>
  </w:style>
  <w:style w:type="paragraph" w:styleId="TOAHeading">
    <w:name w:val="toa heading"/>
    <w:basedOn w:val="Normal"/>
    <w:next w:val="Normal"/>
    <w:uiPriority w:val="99"/>
    <w:semiHidden/>
    <w:unhideWhenUsed/>
    <w:rsid w:val="00B55C67"/>
    <w:pPr>
      <w:spacing w:before="120"/>
    </w:pPr>
    <w:rPr>
      <w:rFonts w:asciiTheme="majorHAnsi" w:eastAsiaTheme="majorEastAsia" w:hAnsiTheme="majorHAnsi" w:cstheme="majorBidi"/>
      <w:b/>
      <w:bCs/>
      <w:sz w:val="24"/>
      <w:szCs w:val="24"/>
    </w:rPr>
  </w:style>
  <w:style w:type="paragraph" w:styleId="TOC5">
    <w:name w:val="toc 5"/>
    <w:basedOn w:val="Normal"/>
    <w:next w:val="Normal"/>
    <w:autoRedefine/>
    <w:uiPriority w:val="39"/>
    <w:semiHidden/>
    <w:unhideWhenUsed/>
    <w:rsid w:val="00B55C67"/>
    <w:pPr>
      <w:spacing w:after="100"/>
      <w:ind w:left="880"/>
    </w:pPr>
  </w:style>
  <w:style w:type="paragraph" w:styleId="TOC6">
    <w:name w:val="toc 6"/>
    <w:basedOn w:val="Normal"/>
    <w:next w:val="Normal"/>
    <w:autoRedefine/>
    <w:uiPriority w:val="39"/>
    <w:semiHidden/>
    <w:unhideWhenUsed/>
    <w:rsid w:val="00B55C67"/>
    <w:pPr>
      <w:spacing w:after="100"/>
      <w:ind w:left="1100"/>
    </w:pPr>
  </w:style>
  <w:style w:type="paragraph" w:styleId="TOC7">
    <w:name w:val="toc 7"/>
    <w:basedOn w:val="Normal"/>
    <w:next w:val="Normal"/>
    <w:autoRedefine/>
    <w:uiPriority w:val="39"/>
    <w:semiHidden/>
    <w:unhideWhenUsed/>
    <w:rsid w:val="00B55C67"/>
    <w:pPr>
      <w:spacing w:after="100"/>
      <w:ind w:left="1320"/>
    </w:pPr>
  </w:style>
  <w:style w:type="paragraph" w:styleId="TOC8">
    <w:name w:val="toc 8"/>
    <w:basedOn w:val="Normal"/>
    <w:next w:val="Normal"/>
    <w:autoRedefine/>
    <w:uiPriority w:val="39"/>
    <w:semiHidden/>
    <w:unhideWhenUsed/>
    <w:rsid w:val="00B55C67"/>
    <w:pPr>
      <w:spacing w:after="100"/>
      <w:ind w:left="1540"/>
    </w:pPr>
  </w:style>
  <w:style w:type="paragraph" w:styleId="TOC9">
    <w:name w:val="toc 9"/>
    <w:basedOn w:val="Normal"/>
    <w:next w:val="Normal"/>
    <w:autoRedefine/>
    <w:uiPriority w:val="39"/>
    <w:semiHidden/>
    <w:unhideWhenUsed/>
    <w:rsid w:val="00B55C67"/>
    <w:pPr>
      <w:spacing w:after="100"/>
      <w:ind w:left="17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811974">
      <w:bodyDiv w:val="1"/>
      <w:marLeft w:val="0"/>
      <w:marRight w:val="0"/>
      <w:marTop w:val="0"/>
      <w:marBottom w:val="0"/>
      <w:divBdr>
        <w:top w:val="none" w:sz="0" w:space="0" w:color="auto"/>
        <w:left w:val="none" w:sz="0" w:space="0" w:color="auto"/>
        <w:bottom w:val="none" w:sz="0" w:space="0" w:color="auto"/>
        <w:right w:val="none" w:sz="0" w:space="0" w:color="auto"/>
      </w:divBdr>
    </w:div>
    <w:div w:id="394475853">
      <w:bodyDiv w:val="1"/>
      <w:marLeft w:val="0"/>
      <w:marRight w:val="0"/>
      <w:marTop w:val="0"/>
      <w:marBottom w:val="0"/>
      <w:divBdr>
        <w:top w:val="none" w:sz="0" w:space="0" w:color="auto"/>
        <w:left w:val="none" w:sz="0" w:space="0" w:color="auto"/>
        <w:bottom w:val="none" w:sz="0" w:space="0" w:color="auto"/>
        <w:right w:val="none" w:sz="0" w:space="0" w:color="auto"/>
      </w:divBdr>
    </w:div>
    <w:div w:id="457602870">
      <w:bodyDiv w:val="1"/>
      <w:marLeft w:val="0"/>
      <w:marRight w:val="0"/>
      <w:marTop w:val="0"/>
      <w:marBottom w:val="0"/>
      <w:divBdr>
        <w:top w:val="none" w:sz="0" w:space="0" w:color="auto"/>
        <w:left w:val="none" w:sz="0" w:space="0" w:color="auto"/>
        <w:bottom w:val="none" w:sz="0" w:space="0" w:color="auto"/>
        <w:right w:val="none" w:sz="0" w:space="0" w:color="auto"/>
      </w:divBdr>
    </w:div>
    <w:div w:id="854346288">
      <w:bodyDiv w:val="1"/>
      <w:marLeft w:val="0"/>
      <w:marRight w:val="0"/>
      <w:marTop w:val="0"/>
      <w:marBottom w:val="0"/>
      <w:divBdr>
        <w:top w:val="none" w:sz="0" w:space="0" w:color="auto"/>
        <w:left w:val="none" w:sz="0" w:space="0" w:color="auto"/>
        <w:bottom w:val="none" w:sz="0" w:space="0" w:color="auto"/>
        <w:right w:val="none" w:sz="0" w:space="0" w:color="auto"/>
      </w:divBdr>
    </w:div>
    <w:div w:id="869879603">
      <w:bodyDiv w:val="1"/>
      <w:marLeft w:val="0"/>
      <w:marRight w:val="0"/>
      <w:marTop w:val="0"/>
      <w:marBottom w:val="0"/>
      <w:divBdr>
        <w:top w:val="none" w:sz="0" w:space="0" w:color="auto"/>
        <w:left w:val="none" w:sz="0" w:space="0" w:color="auto"/>
        <w:bottom w:val="none" w:sz="0" w:space="0" w:color="auto"/>
        <w:right w:val="none" w:sz="0" w:space="0" w:color="auto"/>
      </w:divBdr>
      <w:divsChild>
        <w:div w:id="164130955">
          <w:marLeft w:val="547"/>
          <w:marRight w:val="0"/>
          <w:marTop w:val="0"/>
          <w:marBottom w:val="0"/>
          <w:divBdr>
            <w:top w:val="none" w:sz="0" w:space="0" w:color="auto"/>
            <w:left w:val="none" w:sz="0" w:space="0" w:color="auto"/>
            <w:bottom w:val="none" w:sz="0" w:space="0" w:color="auto"/>
            <w:right w:val="none" w:sz="0" w:space="0" w:color="auto"/>
          </w:divBdr>
        </w:div>
      </w:divsChild>
    </w:div>
    <w:div w:id="911500264">
      <w:bodyDiv w:val="1"/>
      <w:marLeft w:val="0"/>
      <w:marRight w:val="0"/>
      <w:marTop w:val="0"/>
      <w:marBottom w:val="0"/>
      <w:divBdr>
        <w:top w:val="none" w:sz="0" w:space="0" w:color="auto"/>
        <w:left w:val="none" w:sz="0" w:space="0" w:color="auto"/>
        <w:bottom w:val="none" w:sz="0" w:space="0" w:color="auto"/>
        <w:right w:val="none" w:sz="0" w:space="0" w:color="auto"/>
      </w:divBdr>
    </w:div>
    <w:div w:id="927156400">
      <w:bodyDiv w:val="1"/>
      <w:marLeft w:val="0"/>
      <w:marRight w:val="0"/>
      <w:marTop w:val="0"/>
      <w:marBottom w:val="0"/>
      <w:divBdr>
        <w:top w:val="none" w:sz="0" w:space="0" w:color="auto"/>
        <w:left w:val="none" w:sz="0" w:space="0" w:color="auto"/>
        <w:bottom w:val="none" w:sz="0" w:space="0" w:color="auto"/>
        <w:right w:val="none" w:sz="0" w:space="0" w:color="auto"/>
      </w:divBdr>
    </w:div>
    <w:div w:id="1206984885">
      <w:bodyDiv w:val="1"/>
      <w:marLeft w:val="0"/>
      <w:marRight w:val="0"/>
      <w:marTop w:val="0"/>
      <w:marBottom w:val="0"/>
      <w:divBdr>
        <w:top w:val="none" w:sz="0" w:space="0" w:color="auto"/>
        <w:left w:val="none" w:sz="0" w:space="0" w:color="auto"/>
        <w:bottom w:val="none" w:sz="0" w:space="0" w:color="auto"/>
        <w:right w:val="none" w:sz="0" w:space="0" w:color="auto"/>
      </w:divBdr>
    </w:div>
    <w:div w:id="1276904203">
      <w:bodyDiv w:val="1"/>
      <w:marLeft w:val="0"/>
      <w:marRight w:val="0"/>
      <w:marTop w:val="0"/>
      <w:marBottom w:val="0"/>
      <w:divBdr>
        <w:top w:val="none" w:sz="0" w:space="0" w:color="auto"/>
        <w:left w:val="none" w:sz="0" w:space="0" w:color="auto"/>
        <w:bottom w:val="none" w:sz="0" w:space="0" w:color="auto"/>
        <w:right w:val="none" w:sz="0" w:space="0" w:color="auto"/>
      </w:divBdr>
    </w:div>
    <w:div w:id="1293630009">
      <w:bodyDiv w:val="1"/>
      <w:marLeft w:val="0"/>
      <w:marRight w:val="0"/>
      <w:marTop w:val="0"/>
      <w:marBottom w:val="0"/>
      <w:divBdr>
        <w:top w:val="none" w:sz="0" w:space="0" w:color="auto"/>
        <w:left w:val="none" w:sz="0" w:space="0" w:color="auto"/>
        <w:bottom w:val="none" w:sz="0" w:space="0" w:color="auto"/>
        <w:right w:val="none" w:sz="0" w:space="0" w:color="auto"/>
      </w:divBdr>
    </w:div>
    <w:div w:id="1520074496">
      <w:bodyDiv w:val="1"/>
      <w:marLeft w:val="0"/>
      <w:marRight w:val="0"/>
      <w:marTop w:val="0"/>
      <w:marBottom w:val="0"/>
      <w:divBdr>
        <w:top w:val="none" w:sz="0" w:space="0" w:color="auto"/>
        <w:left w:val="none" w:sz="0" w:space="0" w:color="auto"/>
        <w:bottom w:val="none" w:sz="0" w:space="0" w:color="auto"/>
        <w:right w:val="none" w:sz="0" w:space="0" w:color="auto"/>
      </w:divBdr>
    </w:div>
    <w:div w:id="1526865208">
      <w:bodyDiv w:val="1"/>
      <w:marLeft w:val="0"/>
      <w:marRight w:val="0"/>
      <w:marTop w:val="0"/>
      <w:marBottom w:val="0"/>
      <w:divBdr>
        <w:top w:val="none" w:sz="0" w:space="0" w:color="auto"/>
        <w:left w:val="none" w:sz="0" w:space="0" w:color="auto"/>
        <w:bottom w:val="none" w:sz="0" w:space="0" w:color="auto"/>
        <w:right w:val="none" w:sz="0" w:space="0" w:color="auto"/>
      </w:divBdr>
      <w:divsChild>
        <w:div w:id="1128551801">
          <w:marLeft w:val="0"/>
          <w:marRight w:val="0"/>
          <w:marTop w:val="120"/>
          <w:marBottom w:val="120"/>
          <w:divBdr>
            <w:top w:val="none" w:sz="0" w:space="0" w:color="auto"/>
            <w:left w:val="none" w:sz="0" w:space="0" w:color="auto"/>
            <w:bottom w:val="none" w:sz="0" w:space="0" w:color="auto"/>
            <w:right w:val="none" w:sz="0" w:space="0" w:color="auto"/>
          </w:divBdr>
        </w:div>
        <w:div w:id="1533223993">
          <w:marLeft w:val="0"/>
          <w:marRight w:val="0"/>
          <w:marTop w:val="0"/>
          <w:marBottom w:val="270"/>
          <w:divBdr>
            <w:top w:val="single" w:sz="6" w:space="5" w:color="EBE7DE"/>
            <w:left w:val="none" w:sz="0" w:space="3" w:color="auto"/>
            <w:bottom w:val="single" w:sz="6" w:space="5" w:color="EBE7DE"/>
            <w:right w:val="none" w:sz="0" w:space="3" w:color="auto"/>
          </w:divBdr>
          <w:divsChild>
            <w:div w:id="607737577">
              <w:marLeft w:val="0"/>
              <w:marRight w:val="0"/>
              <w:marTop w:val="0"/>
              <w:marBottom w:val="0"/>
              <w:divBdr>
                <w:top w:val="none" w:sz="0" w:space="0" w:color="auto"/>
                <w:left w:val="none" w:sz="0" w:space="0" w:color="auto"/>
                <w:bottom w:val="none" w:sz="0" w:space="0" w:color="auto"/>
                <w:right w:val="none" w:sz="0" w:space="0" w:color="auto"/>
              </w:divBdr>
            </w:div>
          </w:divsChild>
        </w:div>
        <w:div w:id="1640921069">
          <w:marLeft w:val="0"/>
          <w:marRight w:val="0"/>
          <w:marTop w:val="0"/>
          <w:marBottom w:val="0"/>
          <w:divBdr>
            <w:top w:val="none" w:sz="0" w:space="0" w:color="auto"/>
            <w:left w:val="none" w:sz="0" w:space="0" w:color="auto"/>
            <w:bottom w:val="single" w:sz="6" w:space="0" w:color="EBE7DE"/>
            <w:right w:val="none" w:sz="0" w:space="0" w:color="auto"/>
          </w:divBdr>
          <w:divsChild>
            <w:div w:id="1271159567">
              <w:marLeft w:val="0"/>
              <w:marRight w:val="0"/>
              <w:marTop w:val="330"/>
              <w:marBottom w:val="420"/>
              <w:divBdr>
                <w:top w:val="none" w:sz="0" w:space="0" w:color="auto"/>
                <w:left w:val="none" w:sz="0" w:space="0" w:color="auto"/>
                <w:bottom w:val="none" w:sz="0" w:space="0" w:color="auto"/>
                <w:right w:val="none" w:sz="0" w:space="0" w:color="auto"/>
              </w:divBdr>
              <w:divsChild>
                <w:div w:id="1631281528">
                  <w:marLeft w:val="0"/>
                  <w:marRight w:val="0"/>
                  <w:marTop w:val="0"/>
                  <w:marBottom w:val="0"/>
                  <w:divBdr>
                    <w:top w:val="none" w:sz="0" w:space="0" w:color="auto"/>
                    <w:left w:val="none" w:sz="0" w:space="0" w:color="auto"/>
                    <w:bottom w:val="none" w:sz="0" w:space="0" w:color="auto"/>
                    <w:right w:val="none" w:sz="0" w:space="0" w:color="auto"/>
                  </w:divBdr>
                  <w:divsChild>
                    <w:div w:id="935091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9323384">
      <w:bodyDiv w:val="1"/>
      <w:marLeft w:val="0"/>
      <w:marRight w:val="0"/>
      <w:marTop w:val="0"/>
      <w:marBottom w:val="0"/>
      <w:divBdr>
        <w:top w:val="none" w:sz="0" w:space="0" w:color="auto"/>
        <w:left w:val="none" w:sz="0" w:space="0" w:color="auto"/>
        <w:bottom w:val="none" w:sz="0" w:space="0" w:color="auto"/>
        <w:right w:val="none" w:sz="0" w:space="0" w:color="auto"/>
      </w:divBdr>
    </w:div>
    <w:div w:id="1902058683">
      <w:bodyDiv w:val="1"/>
      <w:marLeft w:val="0"/>
      <w:marRight w:val="0"/>
      <w:marTop w:val="0"/>
      <w:marBottom w:val="0"/>
      <w:divBdr>
        <w:top w:val="none" w:sz="0" w:space="0" w:color="auto"/>
        <w:left w:val="none" w:sz="0" w:space="0" w:color="auto"/>
        <w:bottom w:val="none" w:sz="0" w:space="0" w:color="auto"/>
        <w:right w:val="none" w:sz="0" w:space="0" w:color="auto"/>
      </w:divBdr>
    </w:div>
    <w:div w:id="1918440864">
      <w:bodyDiv w:val="1"/>
      <w:marLeft w:val="0"/>
      <w:marRight w:val="0"/>
      <w:marTop w:val="0"/>
      <w:marBottom w:val="0"/>
      <w:divBdr>
        <w:top w:val="none" w:sz="0" w:space="0" w:color="auto"/>
        <w:left w:val="none" w:sz="0" w:space="0" w:color="auto"/>
        <w:bottom w:val="none" w:sz="0" w:space="0" w:color="auto"/>
        <w:right w:val="none" w:sz="0" w:space="0" w:color="auto"/>
      </w:divBdr>
    </w:div>
    <w:div w:id="1927616542">
      <w:bodyDiv w:val="1"/>
      <w:marLeft w:val="0"/>
      <w:marRight w:val="0"/>
      <w:marTop w:val="0"/>
      <w:marBottom w:val="0"/>
      <w:divBdr>
        <w:top w:val="none" w:sz="0" w:space="0" w:color="auto"/>
        <w:left w:val="none" w:sz="0" w:space="0" w:color="auto"/>
        <w:bottom w:val="none" w:sz="0" w:space="0" w:color="auto"/>
        <w:right w:val="none" w:sz="0" w:space="0" w:color="auto"/>
      </w:divBdr>
    </w:div>
    <w:div w:id="1943798116">
      <w:bodyDiv w:val="1"/>
      <w:marLeft w:val="0"/>
      <w:marRight w:val="0"/>
      <w:marTop w:val="0"/>
      <w:marBottom w:val="0"/>
      <w:divBdr>
        <w:top w:val="none" w:sz="0" w:space="0" w:color="auto"/>
        <w:left w:val="none" w:sz="0" w:space="0" w:color="auto"/>
        <w:bottom w:val="none" w:sz="0" w:space="0" w:color="auto"/>
        <w:right w:val="none" w:sz="0" w:space="0" w:color="auto"/>
      </w:divBdr>
    </w:div>
    <w:div w:id="1995405676">
      <w:bodyDiv w:val="1"/>
      <w:marLeft w:val="0"/>
      <w:marRight w:val="0"/>
      <w:marTop w:val="0"/>
      <w:marBottom w:val="0"/>
      <w:divBdr>
        <w:top w:val="none" w:sz="0" w:space="0" w:color="auto"/>
        <w:left w:val="none" w:sz="0" w:space="0" w:color="auto"/>
        <w:bottom w:val="none" w:sz="0" w:space="0" w:color="auto"/>
        <w:right w:val="none" w:sz="0" w:space="0" w:color="auto"/>
      </w:divBdr>
    </w:div>
    <w:div w:id="2028410575">
      <w:bodyDiv w:val="1"/>
      <w:marLeft w:val="0"/>
      <w:marRight w:val="0"/>
      <w:marTop w:val="0"/>
      <w:marBottom w:val="0"/>
      <w:divBdr>
        <w:top w:val="none" w:sz="0" w:space="0" w:color="auto"/>
        <w:left w:val="none" w:sz="0" w:space="0" w:color="auto"/>
        <w:bottom w:val="none" w:sz="0" w:space="0" w:color="auto"/>
        <w:right w:val="none" w:sz="0" w:space="0" w:color="auto"/>
      </w:divBdr>
    </w:div>
    <w:div w:id="212534216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chart" Target="charts/chart1.xml"/><Relationship Id="rId18" Type="http://schemas.openxmlformats.org/officeDocument/2006/relationships/chart" Target="charts/chart6.xml"/><Relationship Id="rId26" Type="http://schemas.openxmlformats.org/officeDocument/2006/relationships/chart" Target="charts/chart14.xml"/><Relationship Id="rId39" Type="http://schemas.openxmlformats.org/officeDocument/2006/relationships/chart" Target="charts/chart27.xml"/><Relationship Id="rId21" Type="http://schemas.openxmlformats.org/officeDocument/2006/relationships/chart" Target="charts/chart9.xml"/><Relationship Id="rId34" Type="http://schemas.openxmlformats.org/officeDocument/2006/relationships/chart" Target="charts/chart22.xml"/><Relationship Id="rId42" Type="http://schemas.openxmlformats.org/officeDocument/2006/relationships/chart" Target="charts/chart30.xml"/><Relationship Id="rId47" Type="http://schemas.openxmlformats.org/officeDocument/2006/relationships/chart" Target="charts/chart35.xml"/><Relationship Id="rId50" Type="http://schemas.openxmlformats.org/officeDocument/2006/relationships/chart" Target="charts/chart37.xml"/><Relationship Id="rId55" Type="http://schemas.openxmlformats.org/officeDocument/2006/relationships/chart" Target="charts/chart4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chart" Target="charts/chart4.xml"/><Relationship Id="rId29" Type="http://schemas.openxmlformats.org/officeDocument/2006/relationships/chart" Target="charts/chart17.xml"/><Relationship Id="rId11" Type="http://schemas.microsoft.com/office/2014/relationships/chartEx" Target="charts/chartEx1.xml"/><Relationship Id="rId24" Type="http://schemas.openxmlformats.org/officeDocument/2006/relationships/chart" Target="charts/chart12.xml"/><Relationship Id="rId32" Type="http://schemas.openxmlformats.org/officeDocument/2006/relationships/chart" Target="charts/chart20.xml"/><Relationship Id="rId37" Type="http://schemas.openxmlformats.org/officeDocument/2006/relationships/chart" Target="charts/chart25.xml"/><Relationship Id="rId40" Type="http://schemas.openxmlformats.org/officeDocument/2006/relationships/chart" Target="charts/chart28.xml"/><Relationship Id="rId45" Type="http://schemas.openxmlformats.org/officeDocument/2006/relationships/chart" Target="charts/chart33.xml"/><Relationship Id="rId53" Type="http://schemas.openxmlformats.org/officeDocument/2006/relationships/chart" Target="charts/chart39.xml"/><Relationship Id="rId58"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chart" Target="charts/chart7.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chart" Target="charts/chart2.xml"/><Relationship Id="rId22" Type="http://schemas.openxmlformats.org/officeDocument/2006/relationships/chart" Target="charts/chart10.xml"/><Relationship Id="rId27" Type="http://schemas.openxmlformats.org/officeDocument/2006/relationships/chart" Target="charts/chart15.xml"/><Relationship Id="rId30" Type="http://schemas.openxmlformats.org/officeDocument/2006/relationships/chart" Target="charts/chart18.xml"/><Relationship Id="rId35" Type="http://schemas.openxmlformats.org/officeDocument/2006/relationships/chart" Target="charts/chart23.xml"/><Relationship Id="rId43" Type="http://schemas.openxmlformats.org/officeDocument/2006/relationships/chart" Target="charts/chart31.xml"/><Relationship Id="rId48" Type="http://schemas.openxmlformats.org/officeDocument/2006/relationships/footer" Target="footer1.xml"/><Relationship Id="rId56" Type="http://schemas.openxmlformats.org/officeDocument/2006/relationships/chart" Target="charts/chart42.xml"/><Relationship Id="rId8" Type="http://schemas.openxmlformats.org/officeDocument/2006/relationships/image" Target="media/image1.png"/><Relationship Id="rId51" Type="http://schemas.openxmlformats.org/officeDocument/2006/relationships/hyperlink" Target="mailto:info@truenorthevaluation.com" TargetMode="Externa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chart" Target="charts/chart5.xml"/><Relationship Id="rId25" Type="http://schemas.openxmlformats.org/officeDocument/2006/relationships/chart" Target="charts/chart13.xml"/><Relationship Id="rId33" Type="http://schemas.openxmlformats.org/officeDocument/2006/relationships/chart" Target="charts/chart21.xml"/><Relationship Id="rId38" Type="http://schemas.openxmlformats.org/officeDocument/2006/relationships/chart" Target="charts/chart26.xml"/><Relationship Id="rId46" Type="http://schemas.openxmlformats.org/officeDocument/2006/relationships/chart" Target="charts/chart34.xml"/><Relationship Id="rId59" Type="http://schemas.openxmlformats.org/officeDocument/2006/relationships/theme" Target="theme/theme1.xml"/><Relationship Id="rId20" Type="http://schemas.openxmlformats.org/officeDocument/2006/relationships/chart" Target="charts/chart8.xml"/><Relationship Id="rId41" Type="http://schemas.openxmlformats.org/officeDocument/2006/relationships/chart" Target="charts/chart29.xml"/><Relationship Id="rId54" Type="http://schemas.openxmlformats.org/officeDocument/2006/relationships/chart" Target="charts/chart4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chart" Target="charts/chart3.xml"/><Relationship Id="rId23" Type="http://schemas.openxmlformats.org/officeDocument/2006/relationships/chart" Target="charts/chart11.xml"/><Relationship Id="rId28" Type="http://schemas.openxmlformats.org/officeDocument/2006/relationships/chart" Target="charts/chart16.xml"/><Relationship Id="rId36" Type="http://schemas.openxmlformats.org/officeDocument/2006/relationships/chart" Target="charts/chart24.xml"/><Relationship Id="rId49" Type="http://schemas.openxmlformats.org/officeDocument/2006/relationships/chart" Target="charts/chart36.xml"/><Relationship Id="rId57" Type="http://schemas.openxmlformats.org/officeDocument/2006/relationships/chart" Target="charts/chart43.xml"/><Relationship Id="rId10" Type="http://schemas.openxmlformats.org/officeDocument/2006/relationships/image" Target="media/image3.png"/><Relationship Id="rId31" Type="http://schemas.openxmlformats.org/officeDocument/2006/relationships/chart" Target="charts/chart19.xml"/><Relationship Id="rId44" Type="http://schemas.openxmlformats.org/officeDocument/2006/relationships/chart" Target="charts/chart32.xml"/><Relationship Id="rId52" Type="http://schemas.openxmlformats.org/officeDocument/2006/relationships/chart" Target="charts/chart38.xml"/></Relationships>
</file>

<file path=word/_rels/footer1.xml.rels><?xml version="1.0" encoding="UTF-8" standalone="yes"?>
<Relationships xmlns="http://schemas.openxmlformats.org/package/2006/relationships"><Relationship Id="rId1" Type="http://schemas.openxmlformats.org/officeDocument/2006/relationships/image" Target="media/image5.jpe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5.xml"/><Relationship Id="rId2" Type="http://schemas.microsoft.com/office/2011/relationships/chartColorStyle" Target="colors6.xml"/><Relationship Id="rId1" Type="http://schemas.microsoft.com/office/2011/relationships/chartStyle" Target="style6.xml"/><Relationship Id="rId4" Type="http://schemas.openxmlformats.org/officeDocument/2006/relationships/package" Target="../embeddings/Microsoft_Excel_Worksheet5.xlsx"/></Relationships>
</file>

<file path=word/charts/_rels/chart6.xml.rels><?xml version="1.0" encoding="UTF-8" standalone="yes"?>
<Relationships xmlns="http://schemas.openxmlformats.org/package/2006/relationships"><Relationship Id="rId3" Type="http://schemas.openxmlformats.org/officeDocument/2006/relationships/themeOverride" Target="../theme/themeOverride6.xml"/><Relationship Id="rId2" Type="http://schemas.microsoft.com/office/2011/relationships/chartColorStyle" Target="colors7.xml"/><Relationship Id="rId1" Type="http://schemas.microsoft.com/office/2011/relationships/chartStyle" Target="style7.xml"/><Relationship Id="rId4" Type="http://schemas.openxmlformats.org/officeDocument/2006/relationships/package" Target="../embeddings/Microsoft_Excel_Worksheet6.xlsx"/></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7.xml"/><Relationship Id="rId2" Type="http://schemas.microsoft.com/office/2011/relationships/chartColorStyle" Target="colors8.xml"/><Relationship Id="rId1" Type="http://schemas.microsoft.com/office/2011/relationships/chartStyle" Target="style8.xml"/><Relationship Id="rId4" Type="http://schemas.openxmlformats.org/officeDocument/2006/relationships/package" Target="../embeddings/Microsoft_Excel_Worksheet7.xlsx"/></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8.xml"/><Relationship Id="rId2" Type="http://schemas.microsoft.com/office/2011/relationships/chartColorStyle" Target="colors9.xml"/><Relationship Id="rId1" Type="http://schemas.microsoft.com/office/2011/relationships/chartStyle" Target="style9.xml"/><Relationship Id="rId4" Type="http://schemas.openxmlformats.org/officeDocument/2006/relationships/package" Target="../embeddings/Microsoft_Excel_Worksheet8.xlsx"/></Relationships>
</file>

<file path=word/charts/_rels/chart9.xml.rels><?xml version="1.0" encoding="UTF-8" standalone="yes"?>
<Relationships xmlns="http://schemas.openxmlformats.org/package/2006/relationships"><Relationship Id="rId3" Type="http://schemas.openxmlformats.org/officeDocument/2006/relationships/package" Target="../embeddings/Microsoft_Excel_Worksheet9.xlsx"/><Relationship Id="rId2" Type="http://schemas.microsoft.com/office/2011/relationships/chartColorStyle" Target="colors10.xml"/><Relationship Id="rId1" Type="http://schemas.microsoft.com/office/2011/relationships/chartStyle" Target="style10.xml"/></Relationships>
</file>

<file path=word/charts/_rels/chart10.xml.rels><?xml version="1.0" encoding="UTF-8" standalone="yes"?>
<Relationships xmlns="http://schemas.openxmlformats.org/package/2006/relationships"><Relationship Id="rId3" Type="http://schemas.openxmlformats.org/officeDocument/2006/relationships/themeOverride" Target="../theme/themeOverride9.xml"/><Relationship Id="rId2" Type="http://schemas.microsoft.com/office/2011/relationships/chartColorStyle" Target="colors11.xml"/><Relationship Id="rId1" Type="http://schemas.microsoft.com/office/2011/relationships/chartStyle" Target="style11.xml"/><Relationship Id="rId4" Type="http://schemas.openxmlformats.org/officeDocument/2006/relationships/package" Target="../embeddings/Microsoft_Excel_Worksheet10.xlsx"/></Relationships>
</file>

<file path=word/charts/_rels/chart11.xml.rels><?xml version="1.0" encoding="UTF-8" standalone="yes"?>
<Relationships xmlns="http://schemas.openxmlformats.org/package/2006/relationships"><Relationship Id="rId3" Type="http://schemas.openxmlformats.org/officeDocument/2006/relationships/package" Target="../embeddings/Microsoft_Excel_Worksheet11.xlsx"/><Relationship Id="rId2" Type="http://schemas.microsoft.com/office/2011/relationships/chartColorStyle" Target="colors12.xml"/><Relationship Id="rId1" Type="http://schemas.microsoft.com/office/2011/relationships/chartStyle" Target="style12.xml"/></Relationships>
</file>

<file path=word/charts/_rels/chart12.xml.rels><?xml version="1.0" encoding="UTF-8" standalone="yes"?>
<Relationships xmlns="http://schemas.openxmlformats.org/package/2006/relationships"><Relationship Id="rId3" Type="http://schemas.openxmlformats.org/officeDocument/2006/relationships/themeOverride" Target="../theme/themeOverride10.xml"/><Relationship Id="rId2" Type="http://schemas.microsoft.com/office/2011/relationships/chartColorStyle" Target="colors13.xml"/><Relationship Id="rId1" Type="http://schemas.microsoft.com/office/2011/relationships/chartStyle" Target="style13.xml"/><Relationship Id="rId4" Type="http://schemas.openxmlformats.org/officeDocument/2006/relationships/package" Target="../embeddings/Microsoft_Excel_Worksheet12.xlsx"/></Relationships>
</file>

<file path=word/charts/_rels/chart13.xml.rels><?xml version="1.0" encoding="UTF-8" standalone="yes"?>
<Relationships xmlns="http://schemas.openxmlformats.org/package/2006/relationships"><Relationship Id="rId3" Type="http://schemas.openxmlformats.org/officeDocument/2006/relationships/themeOverride" Target="../theme/themeOverride11.xml"/><Relationship Id="rId2" Type="http://schemas.microsoft.com/office/2011/relationships/chartColorStyle" Target="colors14.xml"/><Relationship Id="rId1" Type="http://schemas.microsoft.com/office/2011/relationships/chartStyle" Target="style14.xml"/><Relationship Id="rId4" Type="http://schemas.openxmlformats.org/officeDocument/2006/relationships/package" Target="../embeddings/Microsoft_Excel_Worksheet13.xlsx"/></Relationships>
</file>

<file path=word/charts/_rels/chart14.xml.rels><?xml version="1.0" encoding="UTF-8" standalone="yes"?>
<Relationships xmlns="http://schemas.openxmlformats.org/package/2006/relationships"><Relationship Id="rId3" Type="http://schemas.openxmlformats.org/officeDocument/2006/relationships/package" Target="../embeddings/Microsoft_Excel_Worksheet14.xlsx"/><Relationship Id="rId2" Type="http://schemas.microsoft.com/office/2011/relationships/chartColorStyle" Target="colors15.xml"/><Relationship Id="rId1" Type="http://schemas.microsoft.com/office/2011/relationships/chartStyle" Target="style15.xml"/></Relationships>
</file>

<file path=word/charts/_rels/chart15.xml.rels><?xml version="1.0" encoding="UTF-8" standalone="yes"?>
<Relationships xmlns="http://schemas.openxmlformats.org/package/2006/relationships"><Relationship Id="rId3" Type="http://schemas.openxmlformats.org/officeDocument/2006/relationships/themeOverride" Target="../theme/themeOverride12.xml"/><Relationship Id="rId2" Type="http://schemas.microsoft.com/office/2011/relationships/chartColorStyle" Target="colors16.xml"/><Relationship Id="rId1" Type="http://schemas.microsoft.com/office/2011/relationships/chartStyle" Target="style16.xml"/><Relationship Id="rId4" Type="http://schemas.openxmlformats.org/officeDocument/2006/relationships/package" Target="../embeddings/Microsoft_Excel_Worksheet15.xlsx"/></Relationships>
</file>

<file path=word/charts/_rels/chart16.xml.rels><?xml version="1.0" encoding="UTF-8" standalone="yes"?>
<Relationships xmlns="http://schemas.openxmlformats.org/package/2006/relationships"><Relationship Id="rId3" Type="http://schemas.openxmlformats.org/officeDocument/2006/relationships/package" Target="../embeddings/Microsoft_Excel_Worksheet16.xlsx"/><Relationship Id="rId2" Type="http://schemas.microsoft.com/office/2011/relationships/chartColorStyle" Target="colors17.xml"/><Relationship Id="rId1" Type="http://schemas.microsoft.com/office/2011/relationships/chartStyle" Target="style17.xml"/></Relationships>
</file>

<file path=word/charts/_rels/chart17.xml.rels><?xml version="1.0" encoding="UTF-8" standalone="yes"?>
<Relationships xmlns="http://schemas.openxmlformats.org/package/2006/relationships"><Relationship Id="rId3" Type="http://schemas.openxmlformats.org/officeDocument/2006/relationships/themeOverride" Target="../theme/themeOverride13.xml"/><Relationship Id="rId2" Type="http://schemas.microsoft.com/office/2011/relationships/chartColorStyle" Target="colors18.xml"/><Relationship Id="rId1" Type="http://schemas.microsoft.com/office/2011/relationships/chartStyle" Target="style18.xml"/><Relationship Id="rId4" Type="http://schemas.openxmlformats.org/officeDocument/2006/relationships/package" Target="../embeddings/Microsoft_Excel_Worksheet17.xlsx"/></Relationships>
</file>

<file path=word/charts/_rels/chart18.xml.rels><?xml version="1.0" encoding="UTF-8" standalone="yes"?>
<Relationships xmlns="http://schemas.openxmlformats.org/package/2006/relationships"><Relationship Id="rId3" Type="http://schemas.openxmlformats.org/officeDocument/2006/relationships/themeOverride" Target="../theme/themeOverride14.xml"/><Relationship Id="rId2" Type="http://schemas.microsoft.com/office/2011/relationships/chartColorStyle" Target="colors19.xml"/><Relationship Id="rId1" Type="http://schemas.microsoft.com/office/2011/relationships/chartStyle" Target="style19.xml"/><Relationship Id="rId4" Type="http://schemas.openxmlformats.org/officeDocument/2006/relationships/package" Target="../embeddings/Microsoft_Excel_Worksheet18.xlsx"/></Relationships>
</file>

<file path=word/charts/_rels/chart19.xml.rels><?xml version="1.0" encoding="UTF-8" standalone="yes"?>
<Relationships xmlns="http://schemas.openxmlformats.org/package/2006/relationships"><Relationship Id="rId3" Type="http://schemas.openxmlformats.org/officeDocument/2006/relationships/package" Target="../embeddings/Microsoft_Excel_Worksheet19.xlsx"/><Relationship Id="rId2" Type="http://schemas.microsoft.com/office/2011/relationships/chartColorStyle" Target="colors20.xml"/><Relationship Id="rId1" Type="http://schemas.microsoft.com/office/2011/relationships/chartStyle" Target="style20.xml"/></Relationships>
</file>

<file path=word/charts/_rels/chart20.xml.rels><?xml version="1.0" encoding="UTF-8" standalone="yes"?>
<Relationships xmlns="http://schemas.openxmlformats.org/package/2006/relationships"><Relationship Id="rId3" Type="http://schemas.openxmlformats.org/officeDocument/2006/relationships/themeOverride" Target="../theme/themeOverride15.xml"/><Relationship Id="rId2" Type="http://schemas.microsoft.com/office/2011/relationships/chartColorStyle" Target="colors21.xml"/><Relationship Id="rId1" Type="http://schemas.microsoft.com/office/2011/relationships/chartStyle" Target="style21.xml"/><Relationship Id="rId4" Type="http://schemas.openxmlformats.org/officeDocument/2006/relationships/package" Target="../embeddings/Microsoft_Excel_Worksheet20.xlsx"/></Relationships>
</file>

<file path=word/charts/_rels/chart21.xml.rels><?xml version="1.0" encoding="UTF-8" standalone="yes"?>
<Relationships xmlns="http://schemas.openxmlformats.org/package/2006/relationships"><Relationship Id="rId3" Type="http://schemas.openxmlformats.org/officeDocument/2006/relationships/package" Target="../embeddings/Microsoft_Excel_Worksheet21.xlsx"/><Relationship Id="rId2" Type="http://schemas.microsoft.com/office/2011/relationships/chartColorStyle" Target="colors22.xml"/><Relationship Id="rId1" Type="http://schemas.microsoft.com/office/2011/relationships/chartStyle" Target="style22.xml"/></Relationships>
</file>

<file path=word/charts/_rels/chart22.xml.rels><?xml version="1.0" encoding="UTF-8" standalone="yes"?>
<Relationships xmlns="http://schemas.openxmlformats.org/package/2006/relationships"><Relationship Id="rId3" Type="http://schemas.openxmlformats.org/officeDocument/2006/relationships/package" Target="../embeddings/Microsoft_Excel_Worksheet22.xlsx"/><Relationship Id="rId2" Type="http://schemas.microsoft.com/office/2011/relationships/chartColorStyle" Target="colors23.xml"/><Relationship Id="rId1" Type="http://schemas.microsoft.com/office/2011/relationships/chartStyle" Target="style23.xml"/></Relationships>
</file>

<file path=word/charts/_rels/chart23.xml.rels><?xml version="1.0" encoding="UTF-8" standalone="yes"?>
<Relationships xmlns="http://schemas.openxmlformats.org/package/2006/relationships"><Relationship Id="rId3" Type="http://schemas.openxmlformats.org/officeDocument/2006/relationships/themeOverride" Target="../theme/themeOverride16.xml"/><Relationship Id="rId2" Type="http://schemas.microsoft.com/office/2011/relationships/chartColorStyle" Target="colors24.xml"/><Relationship Id="rId1" Type="http://schemas.microsoft.com/office/2011/relationships/chartStyle" Target="style24.xml"/><Relationship Id="rId4" Type="http://schemas.openxmlformats.org/officeDocument/2006/relationships/package" Target="../embeddings/Microsoft_Excel_Worksheet23.xlsx"/></Relationships>
</file>

<file path=word/charts/_rels/chart24.xml.rels><?xml version="1.0" encoding="UTF-8" standalone="yes"?>
<Relationships xmlns="http://schemas.openxmlformats.org/package/2006/relationships"><Relationship Id="rId3" Type="http://schemas.openxmlformats.org/officeDocument/2006/relationships/themeOverride" Target="../theme/themeOverride17.xml"/><Relationship Id="rId2" Type="http://schemas.microsoft.com/office/2011/relationships/chartColorStyle" Target="colors25.xml"/><Relationship Id="rId1" Type="http://schemas.microsoft.com/office/2011/relationships/chartStyle" Target="style25.xml"/><Relationship Id="rId4" Type="http://schemas.openxmlformats.org/officeDocument/2006/relationships/package" Target="../embeddings/Microsoft_Excel_Worksheet24.xlsx"/></Relationships>
</file>

<file path=word/charts/_rels/chart25.xml.rels><?xml version="1.0" encoding="UTF-8" standalone="yes"?>
<Relationships xmlns="http://schemas.openxmlformats.org/package/2006/relationships"><Relationship Id="rId3" Type="http://schemas.openxmlformats.org/officeDocument/2006/relationships/package" Target="../embeddings/Microsoft_Excel_Worksheet25.xlsx"/><Relationship Id="rId2" Type="http://schemas.microsoft.com/office/2011/relationships/chartColorStyle" Target="colors26.xml"/><Relationship Id="rId1" Type="http://schemas.microsoft.com/office/2011/relationships/chartStyle" Target="style26.xml"/></Relationships>
</file>

<file path=word/charts/_rels/chart26.xml.rels><?xml version="1.0" encoding="UTF-8" standalone="yes"?>
<Relationships xmlns="http://schemas.openxmlformats.org/package/2006/relationships"><Relationship Id="rId3" Type="http://schemas.openxmlformats.org/officeDocument/2006/relationships/themeOverride" Target="../theme/themeOverride18.xml"/><Relationship Id="rId2" Type="http://schemas.microsoft.com/office/2011/relationships/chartColorStyle" Target="colors27.xml"/><Relationship Id="rId1" Type="http://schemas.microsoft.com/office/2011/relationships/chartStyle" Target="style27.xml"/><Relationship Id="rId4" Type="http://schemas.openxmlformats.org/officeDocument/2006/relationships/package" Target="../embeddings/Microsoft_Excel_Worksheet26.xlsx"/></Relationships>
</file>

<file path=word/charts/_rels/chart27.xml.rels><?xml version="1.0" encoding="UTF-8" standalone="yes"?>
<Relationships xmlns="http://schemas.openxmlformats.org/package/2006/relationships"><Relationship Id="rId3" Type="http://schemas.openxmlformats.org/officeDocument/2006/relationships/package" Target="../embeddings/Microsoft_Excel_Worksheet27.xlsx"/><Relationship Id="rId2" Type="http://schemas.microsoft.com/office/2011/relationships/chartColorStyle" Target="colors28.xml"/><Relationship Id="rId1" Type="http://schemas.microsoft.com/office/2011/relationships/chartStyle" Target="style28.xml"/></Relationships>
</file>

<file path=word/charts/_rels/chart28.xml.rels><?xml version="1.0" encoding="UTF-8" standalone="yes"?>
<Relationships xmlns="http://schemas.openxmlformats.org/package/2006/relationships"><Relationship Id="rId3" Type="http://schemas.openxmlformats.org/officeDocument/2006/relationships/themeOverride" Target="../theme/themeOverride19.xml"/><Relationship Id="rId2" Type="http://schemas.microsoft.com/office/2011/relationships/chartColorStyle" Target="colors29.xml"/><Relationship Id="rId1" Type="http://schemas.microsoft.com/office/2011/relationships/chartStyle" Target="style29.xml"/><Relationship Id="rId4" Type="http://schemas.openxmlformats.org/officeDocument/2006/relationships/package" Target="../embeddings/Microsoft_Excel_Worksheet28.xlsx"/></Relationships>
</file>

<file path=word/charts/_rels/chart29.xml.rels><?xml version="1.0" encoding="UTF-8" standalone="yes"?>
<Relationships xmlns="http://schemas.openxmlformats.org/package/2006/relationships"><Relationship Id="rId3" Type="http://schemas.openxmlformats.org/officeDocument/2006/relationships/themeOverride" Target="../theme/themeOverride20.xml"/><Relationship Id="rId2" Type="http://schemas.microsoft.com/office/2011/relationships/chartColorStyle" Target="colors30.xml"/><Relationship Id="rId1" Type="http://schemas.microsoft.com/office/2011/relationships/chartStyle" Target="style30.xml"/><Relationship Id="rId4" Type="http://schemas.openxmlformats.org/officeDocument/2006/relationships/package" Target="../embeddings/Microsoft_Excel_Worksheet29.xlsx"/></Relationships>
</file>

<file path=word/charts/_rels/chart30.xml.rels><?xml version="1.0" encoding="UTF-8" standalone="yes"?>
<Relationships xmlns="http://schemas.openxmlformats.org/package/2006/relationships"><Relationship Id="rId3" Type="http://schemas.openxmlformats.org/officeDocument/2006/relationships/themeOverride" Target="../theme/themeOverride21.xml"/><Relationship Id="rId2" Type="http://schemas.microsoft.com/office/2011/relationships/chartColorStyle" Target="colors31.xml"/><Relationship Id="rId1" Type="http://schemas.microsoft.com/office/2011/relationships/chartStyle" Target="style31.xml"/><Relationship Id="rId4" Type="http://schemas.openxmlformats.org/officeDocument/2006/relationships/package" Target="../embeddings/Microsoft_Excel_Worksheet30.xlsx"/></Relationships>
</file>

<file path=word/charts/_rels/chart31.xml.rels><?xml version="1.0" encoding="UTF-8" standalone="yes"?>
<Relationships xmlns="http://schemas.openxmlformats.org/package/2006/relationships"><Relationship Id="rId3" Type="http://schemas.openxmlformats.org/officeDocument/2006/relationships/themeOverride" Target="../theme/themeOverride22.xml"/><Relationship Id="rId2" Type="http://schemas.microsoft.com/office/2011/relationships/chartColorStyle" Target="colors32.xml"/><Relationship Id="rId1" Type="http://schemas.microsoft.com/office/2011/relationships/chartStyle" Target="style32.xml"/><Relationship Id="rId4" Type="http://schemas.openxmlformats.org/officeDocument/2006/relationships/package" Target="../embeddings/Microsoft_Excel_Worksheet31.xlsx"/></Relationships>
</file>

<file path=word/charts/_rels/chart32.xml.rels><?xml version="1.0" encoding="UTF-8" standalone="yes"?>
<Relationships xmlns="http://schemas.openxmlformats.org/package/2006/relationships"><Relationship Id="rId3" Type="http://schemas.openxmlformats.org/officeDocument/2006/relationships/themeOverride" Target="../theme/themeOverride23.xml"/><Relationship Id="rId2" Type="http://schemas.microsoft.com/office/2011/relationships/chartColorStyle" Target="colors33.xml"/><Relationship Id="rId1" Type="http://schemas.microsoft.com/office/2011/relationships/chartStyle" Target="style33.xml"/><Relationship Id="rId4" Type="http://schemas.openxmlformats.org/officeDocument/2006/relationships/package" Target="../embeddings/Microsoft_Excel_Worksheet32.xlsx"/></Relationships>
</file>

<file path=word/charts/_rels/chart33.xml.rels><?xml version="1.0" encoding="UTF-8" standalone="yes"?>
<Relationships xmlns="http://schemas.openxmlformats.org/package/2006/relationships"><Relationship Id="rId3" Type="http://schemas.openxmlformats.org/officeDocument/2006/relationships/themeOverride" Target="../theme/themeOverride24.xml"/><Relationship Id="rId2" Type="http://schemas.microsoft.com/office/2011/relationships/chartColorStyle" Target="colors34.xml"/><Relationship Id="rId1" Type="http://schemas.microsoft.com/office/2011/relationships/chartStyle" Target="style34.xml"/><Relationship Id="rId4" Type="http://schemas.openxmlformats.org/officeDocument/2006/relationships/package" Target="../embeddings/Microsoft_Excel_Worksheet33.xlsx"/></Relationships>
</file>

<file path=word/charts/_rels/chart34.xml.rels><?xml version="1.0" encoding="UTF-8" standalone="yes"?>
<Relationships xmlns="http://schemas.openxmlformats.org/package/2006/relationships"><Relationship Id="rId3" Type="http://schemas.openxmlformats.org/officeDocument/2006/relationships/themeOverride" Target="../theme/themeOverride25.xml"/><Relationship Id="rId2" Type="http://schemas.microsoft.com/office/2011/relationships/chartColorStyle" Target="colors35.xml"/><Relationship Id="rId1" Type="http://schemas.microsoft.com/office/2011/relationships/chartStyle" Target="style35.xml"/><Relationship Id="rId4" Type="http://schemas.openxmlformats.org/officeDocument/2006/relationships/package" Target="../embeddings/Microsoft_Excel_Worksheet34.xlsx"/></Relationships>
</file>

<file path=word/charts/_rels/chart35.xml.rels><?xml version="1.0" encoding="UTF-8" standalone="yes"?>
<Relationships xmlns="http://schemas.openxmlformats.org/package/2006/relationships"><Relationship Id="rId3" Type="http://schemas.openxmlformats.org/officeDocument/2006/relationships/package" Target="../embeddings/Microsoft_Excel_Worksheet35.xlsx"/><Relationship Id="rId2" Type="http://schemas.microsoft.com/office/2011/relationships/chartColorStyle" Target="colors36.xml"/><Relationship Id="rId1" Type="http://schemas.microsoft.com/office/2011/relationships/chartStyle" Target="style36.xml"/></Relationships>
</file>

<file path=word/charts/_rels/chart36.xml.rels><?xml version="1.0" encoding="UTF-8" standalone="yes"?>
<Relationships xmlns="http://schemas.openxmlformats.org/package/2006/relationships"><Relationship Id="rId3" Type="http://schemas.openxmlformats.org/officeDocument/2006/relationships/themeOverride" Target="../theme/themeOverride26.xml"/><Relationship Id="rId2" Type="http://schemas.microsoft.com/office/2011/relationships/chartColorStyle" Target="colors37.xml"/><Relationship Id="rId1" Type="http://schemas.microsoft.com/office/2011/relationships/chartStyle" Target="style37.xml"/><Relationship Id="rId4" Type="http://schemas.openxmlformats.org/officeDocument/2006/relationships/package" Target="../embeddings/Microsoft_Excel_Worksheet36.xlsx"/></Relationships>
</file>

<file path=word/charts/_rels/chart37.xml.rels><?xml version="1.0" encoding="UTF-8" standalone="yes"?>
<Relationships xmlns="http://schemas.openxmlformats.org/package/2006/relationships"><Relationship Id="rId3" Type="http://schemas.openxmlformats.org/officeDocument/2006/relationships/themeOverride" Target="../theme/themeOverride27.xml"/><Relationship Id="rId2" Type="http://schemas.microsoft.com/office/2011/relationships/chartColorStyle" Target="colors38.xml"/><Relationship Id="rId1" Type="http://schemas.microsoft.com/office/2011/relationships/chartStyle" Target="style38.xml"/><Relationship Id="rId4" Type="http://schemas.openxmlformats.org/officeDocument/2006/relationships/package" Target="../embeddings/Microsoft_Excel_Worksheet37.xlsx"/></Relationships>
</file>

<file path=word/charts/_rels/chart38.xml.rels><?xml version="1.0" encoding="UTF-8" standalone="yes"?>
<Relationships xmlns="http://schemas.openxmlformats.org/package/2006/relationships"><Relationship Id="rId3" Type="http://schemas.openxmlformats.org/officeDocument/2006/relationships/themeOverride" Target="../theme/themeOverride28.xml"/><Relationship Id="rId2" Type="http://schemas.microsoft.com/office/2011/relationships/chartColorStyle" Target="colors39.xml"/><Relationship Id="rId1" Type="http://schemas.microsoft.com/office/2011/relationships/chartStyle" Target="style39.xml"/><Relationship Id="rId4" Type="http://schemas.openxmlformats.org/officeDocument/2006/relationships/package" Target="../embeddings/Microsoft_Excel_Worksheet38.xlsx"/></Relationships>
</file>

<file path=word/charts/_rels/chart39.xml.rels><?xml version="1.0" encoding="UTF-8" standalone="yes"?>
<Relationships xmlns="http://schemas.openxmlformats.org/package/2006/relationships"><Relationship Id="rId3" Type="http://schemas.openxmlformats.org/officeDocument/2006/relationships/themeOverride" Target="../theme/themeOverride29.xml"/><Relationship Id="rId2" Type="http://schemas.microsoft.com/office/2011/relationships/chartColorStyle" Target="colors40.xml"/><Relationship Id="rId1" Type="http://schemas.microsoft.com/office/2011/relationships/chartStyle" Target="style40.xml"/><Relationship Id="rId4" Type="http://schemas.openxmlformats.org/officeDocument/2006/relationships/package" Target="../embeddings/Microsoft_Excel_Worksheet39.xlsx"/></Relationships>
</file>

<file path=word/charts/_rels/chart40.xml.rels><?xml version="1.0" encoding="UTF-8" standalone="yes"?>
<Relationships xmlns="http://schemas.openxmlformats.org/package/2006/relationships"><Relationship Id="rId3" Type="http://schemas.openxmlformats.org/officeDocument/2006/relationships/themeOverride" Target="../theme/themeOverride30.xml"/><Relationship Id="rId2" Type="http://schemas.microsoft.com/office/2011/relationships/chartColorStyle" Target="colors41.xml"/><Relationship Id="rId1" Type="http://schemas.microsoft.com/office/2011/relationships/chartStyle" Target="style41.xml"/><Relationship Id="rId4" Type="http://schemas.openxmlformats.org/officeDocument/2006/relationships/package" Target="../embeddings/Microsoft_Excel_Worksheet40.xlsx"/></Relationships>
</file>

<file path=word/charts/_rels/chart41.xml.rels><?xml version="1.0" encoding="UTF-8" standalone="yes"?>
<Relationships xmlns="http://schemas.openxmlformats.org/package/2006/relationships"><Relationship Id="rId3" Type="http://schemas.openxmlformats.org/officeDocument/2006/relationships/themeOverride" Target="../theme/themeOverride31.xml"/><Relationship Id="rId2" Type="http://schemas.microsoft.com/office/2011/relationships/chartColorStyle" Target="colors42.xml"/><Relationship Id="rId1" Type="http://schemas.microsoft.com/office/2011/relationships/chartStyle" Target="style42.xml"/><Relationship Id="rId4" Type="http://schemas.openxmlformats.org/officeDocument/2006/relationships/package" Target="../embeddings/Microsoft_Excel_Worksheet41.xlsx"/></Relationships>
</file>

<file path=word/charts/_rels/chart42.xml.rels><?xml version="1.0" encoding="UTF-8" standalone="yes"?>
<Relationships xmlns="http://schemas.openxmlformats.org/package/2006/relationships"><Relationship Id="rId3" Type="http://schemas.openxmlformats.org/officeDocument/2006/relationships/themeOverride" Target="../theme/themeOverride32.xml"/><Relationship Id="rId2" Type="http://schemas.microsoft.com/office/2011/relationships/chartColorStyle" Target="colors43.xml"/><Relationship Id="rId1" Type="http://schemas.microsoft.com/office/2011/relationships/chartStyle" Target="style43.xml"/><Relationship Id="rId4" Type="http://schemas.openxmlformats.org/officeDocument/2006/relationships/package" Target="../embeddings/Microsoft_Excel_Worksheet42.xlsx"/></Relationships>
</file>

<file path=word/charts/_rels/chart43.xml.rels><?xml version="1.0" encoding="UTF-8" standalone="yes"?>
<Relationships xmlns="http://schemas.openxmlformats.org/package/2006/relationships"><Relationship Id="rId3" Type="http://schemas.openxmlformats.org/officeDocument/2006/relationships/themeOverride" Target="../theme/themeOverride33.xml"/><Relationship Id="rId2" Type="http://schemas.microsoft.com/office/2011/relationships/chartColorStyle" Target="colors44.xml"/><Relationship Id="rId1" Type="http://schemas.microsoft.com/office/2011/relationships/chartStyle" Target="style44.xml"/><Relationship Id="rId4" Type="http://schemas.openxmlformats.org/officeDocument/2006/relationships/package" Target="../embeddings/Microsoft_Excel_Worksheet43.xlsx"/></Relationships>
</file>

<file path=word/charts/_rels/chartEx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Microsoft_Excel_Worksheet.xlsx"/><Relationship Id="rId4"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6683417177019537"/>
          <c:y val="1.7044804975204782E-2"/>
          <c:w val="0.50682883846539006"/>
          <c:h val="0.94030921448387939"/>
        </c:manualLayout>
      </c:layout>
      <c:barChart>
        <c:barDir val="bar"/>
        <c:grouping val="clustered"/>
        <c:varyColors val="0"/>
        <c:ser>
          <c:idx val="0"/>
          <c:order val="0"/>
          <c:tx>
            <c:strRef>
              <c:f>Sheet1!$B$1</c:f>
              <c:strCache>
                <c:ptCount val="1"/>
                <c:pt idx="0">
                  <c:v>Series 1</c:v>
                </c:pt>
              </c:strCache>
            </c:strRef>
          </c:tx>
          <c:spPr>
            <a:solidFill>
              <a:srgbClr val="2263A0"/>
            </a:solidFill>
            <a:ln>
              <a:noFill/>
            </a:ln>
            <a:effectLst/>
          </c:spPr>
          <c:invertIfNegative val="0"/>
          <c:dPt>
            <c:idx val="10"/>
            <c:invertIfNegative val="0"/>
            <c:bubble3D val="0"/>
            <c:spPr>
              <a:solidFill>
                <a:srgbClr val="2263A0"/>
              </a:solidFill>
              <a:ln>
                <a:noFill/>
              </a:ln>
              <a:effectLst/>
            </c:spPr>
            <c:extLst>
              <c:ext xmlns:c16="http://schemas.microsoft.com/office/drawing/2014/chart" uri="{C3380CC4-5D6E-409C-BE32-E72D297353CC}">
                <c16:uniqueId val="{00000001-0ECB-46B2-AFEA-15FE601A4E88}"/>
              </c:ext>
            </c:extLst>
          </c:dPt>
          <c:dPt>
            <c:idx val="11"/>
            <c:invertIfNegative val="0"/>
            <c:bubble3D val="0"/>
            <c:spPr>
              <a:solidFill>
                <a:srgbClr val="2263A0"/>
              </a:solidFill>
              <a:ln>
                <a:noFill/>
              </a:ln>
              <a:effectLst/>
            </c:spPr>
            <c:extLst>
              <c:ext xmlns:c16="http://schemas.microsoft.com/office/drawing/2014/chart" uri="{C3380CC4-5D6E-409C-BE32-E72D297353CC}">
                <c16:uniqueId val="{00000003-0ECB-46B2-AFEA-15FE601A4E88}"/>
              </c:ext>
            </c:extLst>
          </c:dPt>
          <c:dLbls>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Sheet1!$A$2:$A$10</c:f>
              <c:strCache>
                <c:ptCount val="9"/>
                <c:pt idx="0">
                  <c:v>Other</c:v>
                </c:pt>
                <c:pt idx="1">
                  <c:v>Supports positive relationships among students with print disabilities and their peers</c:v>
                </c:pt>
                <c:pt idx="2">
                  <c:v>Reduces stigma associated with print disabilities</c:v>
                </c:pt>
                <c:pt idx="3">
                  <c:v>Facilitates ownership of learning among students with print disabilities</c:v>
                </c:pt>
                <c:pt idx="4">
                  <c:v>Facilitates academic achievement among students with print disabilities</c:v>
                </c:pt>
                <c:pt idx="5">
                  <c:v>Supports the psychological well-being of students with print disabilities</c:v>
                </c:pt>
                <c:pt idx="6">
                  <c:v>Promotes active learning among students with print disabilities</c:v>
                </c:pt>
                <c:pt idx="7">
                  <c:v>Promotes independence among students with print disabilities</c:v>
                </c:pt>
                <c:pt idx="8">
                  <c:v>Promotes equitable access to instructional materials</c:v>
                </c:pt>
              </c:strCache>
            </c:strRef>
          </c:cat>
          <c:val>
            <c:numRef>
              <c:f>Sheet1!$B$2:$B$10</c:f>
              <c:numCache>
                <c:formatCode>0%</c:formatCode>
                <c:ptCount val="9"/>
                <c:pt idx="0">
                  <c:v>4.4699999999999997E-2</c:v>
                </c:pt>
                <c:pt idx="1">
                  <c:v>0.67</c:v>
                </c:pt>
                <c:pt idx="2">
                  <c:v>0.68689999999999996</c:v>
                </c:pt>
                <c:pt idx="3">
                  <c:v>0.75080000000000002</c:v>
                </c:pt>
                <c:pt idx="4">
                  <c:v>0.85</c:v>
                </c:pt>
                <c:pt idx="5">
                  <c:v>0.85</c:v>
                </c:pt>
                <c:pt idx="6">
                  <c:v>0.91</c:v>
                </c:pt>
                <c:pt idx="7">
                  <c:v>0.91</c:v>
                </c:pt>
                <c:pt idx="8">
                  <c:v>0.92969999999999997</c:v>
                </c:pt>
              </c:numCache>
            </c:numRef>
          </c:val>
          <c:extLst>
            <c:ext xmlns:c16="http://schemas.microsoft.com/office/drawing/2014/chart" uri="{C3380CC4-5D6E-409C-BE32-E72D297353CC}">
              <c16:uniqueId val="{00000004-0ECB-46B2-AFEA-15FE601A4E88}"/>
            </c:ext>
          </c:extLst>
        </c:ser>
        <c:dLbls>
          <c:dLblPos val="outEnd"/>
          <c:showLegendKey val="0"/>
          <c:showVal val="1"/>
          <c:showCatName val="0"/>
          <c:showSerName val="0"/>
          <c:showPercent val="0"/>
          <c:showBubbleSize val="0"/>
        </c:dLbls>
        <c:gapWidth val="100"/>
        <c:axId val="1268204576"/>
        <c:axId val="1268204992"/>
      </c:barChart>
      <c:catAx>
        <c:axId val="126820457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268204992"/>
        <c:crosses val="autoZero"/>
        <c:auto val="1"/>
        <c:lblAlgn val="ctr"/>
        <c:lblOffset val="100"/>
        <c:noMultiLvlLbl val="0"/>
      </c:catAx>
      <c:valAx>
        <c:axId val="1268204992"/>
        <c:scaling>
          <c:orientation val="minMax"/>
        </c:scaling>
        <c:delete val="1"/>
        <c:axPos val="b"/>
        <c:numFmt formatCode="0%" sourceLinked="1"/>
        <c:majorTickMark val="none"/>
        <c:minorTickMark val="none"/>
        <c:tickLblPos val="nextTo"/>
        <c:crossAx val="1268204576"/>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3.6087901793998504E-2"/>
          <c:y val="2.7131154060287918E-2"/>
          <c:w val="0.96391209820600154"/>
          <c:h val="0.66247711763302319"/>
        </c:manualLayout>
      </c:layout>
      <c:barChart>
        <c:barDir val="col"/>
        <c:grouping val="clustered"/>
        <c:varyColors val="0"/>
        <c:ser>
          <c:idx val="2"/>
          <c:order val="0"/>
          <c:tx>
            <c:strRef>
              <c:f>Sheet1!$B$1</c:f>
              <c:strCache>
                <c:ptCount val="1"/>
                <c:pt idx="0">
                  <c:v>National Survey
(n = 117)</c:v>
                </c:pt>
              </c:strCache>
            </c:strRef>
          </c:tx>
          <c:spPr>
            <a:solidFill>
              <a:srgbClr val="1A1A1A"/>
            </a:solidFill>
            <a:ln>
              <a:solidFill>
                <a:schemeClr val="tx2">
                  <a:lumMod val="90000"/>
                  <a:lumOff val="10000"/>
                </a:schemeClr>
              </a:solidFill>
            </a:ln>
            <a:effectLst/>
          </c:spPr>
          <c:invertIfNegative val="0"/>
          <c:dPt>
            <c:idx val="0"/>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1-631E-41C0-9A13-E9C31B6C6F73}"/>
              </c:ext>
            </c:extLst>
          </c:dPt>
          <c:dPt>
            <c:idx val="1"/>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3-631E-41C0-9A13-E9C31B6C6F73}"/>
              </c:ext>
            </c:extLst>
          </c:dPt>
          <c:dPt>
            <c:idx val="2"/>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5-631E-41C0-9A13-E9C31B6C6F73}"/>
              </c:ext>
            </c:extLst>
          </c:dPt>
          <c:dLbls>
            <c:dLbl>
              <c:idx val="0"/>
              <c:tx>
                <c:rich>
                  <a:bodyPr/>
                  <a:lstStyle/>
                  <a:p>
                    <a:fld id="{CFD23BEA-0B1F-44AA-B543-4D112F05C815}" type="VALUE">
                      <a:rPr lang="en-US"/>
                      <a:pPr/>
                      <a:t>[VALUE]</a:t>
                    </a:fld>
                    <a:endParaRPr lang="en-US"/>
                  </a:p>
                  <a:p>
                    <a:r>
                      <a:rPr lang="en-US"/>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631E-41C0-9A13-E9C31B6C6F73}"/>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Supports the psychological well-being of students with print disabilities</c:v>
                </c:pt>
              </c:strCache>
            </c:strRef>
          </c:cat>
          <c:val>
            <c:numRef>
              <c:f>Sheet1!$B$2</c:f>
              <c:numCache>
                <c:formatCode>0%</c:formatCode>
                <c:ptCount val="1"/>
                <c:pt idx="0">
                  <c:v>0.78</c:v>
                </c:pt>
              </c:numCache>
            </c:numRef>
          </c:val>
          <c:extLst>
            <c:ext xmlns:c16="http://schemas.microsoft.com/office/drawing/2014/chart" uri="{C3380CC4-5D6E-409C-BE32-E72D297353CC}">
              <c16:uniqueId val="{00000006-631E-41C0-9A13-E9C31B6C6F73}"/>
            </c:ext>
          </c:extLst>
        </c:ser>
        <c:ser>
          <c:idx val="0"/>
          <c:order val="1"/>
          <c:tx>
            <c:strRef>
              <c:f>Sheet1!$C$1</c:f>
              <c:strCache>
                <c:ptCount val="1"/>
                <c:pt idx="0">
                  <c:v>OH 
(n = 99)</c:v>
                </c:pt>
              </c:strCache>
            </c:strRef>
          </c:tx>
          <c:spPr>
            <a:solidFill>
              <a:srgbClr val="B05227"/>
            </a:solidFill>
            <a:ln w="9525">
              <a:solidFill>
                <a:sysClr val="window" lastClr="FFFFFF"/>
              </a:solidFill>
            </a:ln>
            <a:effectLst/>
          </c:spPr>
          <c:invertIfNegative val="0"/>
          <c:dPt>
            <c:idx val="0"/>
            <c:invertIfNegative val="0"/>
            <c:bubble3D val="0"/>
            <c:spPr>
              <a:solidFill>
                <a:srgbClr val="B05227"/>
              </a:solidFill>
              <a:ln w="9525">
                <a:solidFill>
                  <a:sysClr val="window" lastClr="FFFFFF"/>
                </a:solidFill>
              </a:ln>
              <a:effectLst/>
            </c:spPr>
            <c:extLst>
              <c:ext xmlns:c16="http://schemas.microsoft.com/office/drawing/2014/chart" uri="{C3380CC4-5D6E-409C-BE32-E72D297353CC}">
                <c16:uniqueId val="{0000000B-631E-41C0-9A13-E9C31B6C6F73}"/>
              </c:ext>
            </c:extLst>
          </c:dPt>
          <c:dLbls>
            <c:dLbl>
              <c:idx val="0"/>
              <c:tx>
                <c:rich>
                  <a:bodyPr/>
                  <a:lstStyle/>
                  <a:p>
                    <a:fld id="{2BBB892D-0651-4925-9568-2749FA6BCE38}" type="VALUE">
                      <a:rPr lang="en-US"/>
                      <a:pPr/>
                      <a:t>[VALUE]</a:t>
                    </a:fld>
                    <a:endParaRPr lang="en-US"/>
                  </a:p>
                  <a:p>
                    <a:r>
                      <a:rPr lang="en-US"/>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B-631E-41C0-9A13-E9C31B6C6F73}"/>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Supports the psychological well-being of students with print disabilities</c:v>
                </c:pt>
              </c:strCache>
            </c:strRef>
          </c:cat>
          <c:val>
            <c:numRef>
              <c:f>Sheet1!$C$2</c:f>
              <c:numCache>
                <c:formatCode>0%</c:formatCode>
                <c:ptCount val="1"/>
                <c:pt idx="0">
                  <c:v>0.94</c:v>
                </c:pt>
              </c:numCache>
            </c:numRef>
          </c:val>
          <c:extLst>
            <c:ext xmlns:c16="http://schemas.microsoft.com/office/drawing/2014/chart" uri="{C3380CC4-5D6E-409C-BE32-E72D297353CC}">
              <c16:uniqueId val="{00000007-631E-41C0-9A13-E9C31B6C6F73}"/>
            </c:ext>
          </c:extLst>
        </c:ser>
        <c:ser>
          <c:idx val="3"/>
          <c:order val="2"/>
          <c:tx>
            <c:strRef>
              <c:f>Sheet1!$D$1</c:f>
              <c:strCache>
                <c:ptCount val="1"/>
                <c:pt idx="0">
                  <c:v>OR
(n = 49)</c:v>
                </c:pt>
              </c:strCache>
            </c:strRef>
          </c:tx>
          <c:spPr>
            <a:solidFill>
              <a:srgbClr val="1F5A92"/>
            </a:solidFill>
            <a:ln>
              <a:noFill/>
            </a:ln>
            <a:effectLst/>
          </c:spPr>
          <c:invertIfNegative val="0"/>
          <c:dLbls>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Supports the psychological well-being of students with print disabilities</c:v>
                </c:pt>
              </c:strCache>
            </c:strRef>
          </c:cat>
          <c:val>
            <c:numRef>
              <c:f>Sheet1!$D$2</c:f>
              <c:numCache>
                <c:formatCode>0%</c:formatCode>
                <c:ptCount val="1"/>
                <c:pt idx="0">
                  <c:v>0.86</c:v>
                </c:pt>
              </c:numCache>
            </c:numRef>
          </c:val>
          <c:extLst>
            <c:ext xmlns:c16="http://schemas.microsoft.com/office/drawing/2014/chart" uri="{C3380CC4-5D6E-409C-BE32-E72D297353CC}">
              <c16:uniqueId val="{00000008-631E-41C0-9A13-E9C31B6C6F73}"/>
            </c:ext>
          </c:extLst>
        </c:ser>
        <c:ser>
          <c:idx val="1"/>
          <c:order val="3"/>
          <c:tx>
            <c:strRef>
              <c:f>Sheet1!$E$1</c:f>
              <c:strCache>
                <c:ptCount val="1"/>
                <c:pt idx="0">
                  <c:v>UT
(n= 47)</c:v>
                </c:pt>
              </c:strCache>
            </c:strRef>
          </c:tx>
          <c:spPr>
            <a:solidFill>
              <a:srgbClr val="4B2E83"/>
            </a:solidFill>
            <a:ln>
              <a:noFill/>
            </a:ln>
            <a:effectLst/>
          </c:spPr>
          <c:invertIfNegative val="0"/>
          <c:dPt>
            <c:idx val="0"/>
            <c:invertIfNegative val="0"/>
            <c:bubble3D val="0"/>
            <c:spPr>
              <a:solidFill>
                <a:srgbClr val="6A1B9A"/>
              </a:solidFill>
              <a:ln>
                <a:noFill/>
              </a:ln>
              <a:effectLst/>
            </c:spPr>
            <c:extLst>
              <c:ext xmlns:c16="http://schemas.microsoft.com/office/drawing/2014/chart" uri="{C3380CC4-5D6E-409C-BE32-E72D297353CC}">
                <c16:uniqueId val="{00000008-37DD-4B42-BE67-CDE7927F50D7}"/>
              </c:ext>
            </c:extLst>
          </c:dPt>
          <c:dLbls>
            <c:dLbl>
              <c:idx val="0"/>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extLst>
                <c:ext xmlns:c16="http://schemas.microsoft.com/office/drawing/2014/chart" uri="{C3380CC4-5D6E-409C-BE32-E72D297353CC}">
                  <c16:uniqueId val="{00000008-37DD-4B42-BE67-CDE7927F50D7}"/>
                </c:ext>
              </c:extLst>
            </c:dLbl>
            <c:spPr>
              <a:noFill/>
              <a:ln>
                <a:noFill/>
              </a:ln>
              <a:effectLst/>
            </c:spPr>
            <c:txPr>
              <a:bodyPr rot="0" spcFirstLastPara="1" vertOverflow="ellipsis" vert="horz" wrap="square" anchor="ctr" anchorCtr="1"/>
              <a:lstStyle/>
              <a:p>
                <a:pPr>
                  <a:defRPr sz="1100" b="1" i="0" u="none" strike="noStrike" kern="1200" baseline="0">
                    <a:solidFill>
                      <a:schemeClr val="tx1">
                        <a:lumMod val="75000"/>
                        <a:lumOff val="25000"/>
                      </a:schemeClr>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Supports the psychological well-being of students with print disabilities</c:v>
                </c:pt>
              </c:strCache>
            </c:strRef>
          </c:cat>
          <c:val>
            <c:numRef>
              <c:f>Sheet1!$E$2</c:f>
              <c:numCache>
                <c:formatCode>0%</c:formatCode>
                <c:ptCount val="1"/>
                <c:pt idx="0">
                  <c:v>0.83</c:v>
                </c:pt>
              </c:numCache>
            </c:numRef>
          </c:val>
          <c:extLst>
            <c:ext xmlns:c16="http://schemas.microsoft.com/office/drawing/2014/chart" uri="{C3380CC4-5D6E-409C-BE32-E72D297353CC}">
              <c16:uniqueId val="{00000009-631E-41C0-9A13-E9C31B6C6F73}"/>
            </c:ext>
          </c:extLst>
        </c:ser>
        <c:dLbls>
          <c:showLegendKey val="0"/>
          <c:showVal val="0"/>
          <c:showCatName val="0"/>
          <c:showSerName val="0"/>
          <c:showPercent val="0"/>
          <c:showBubbleSize val="0"/>
        </c:dLbls>
        <c:gapWidth val="100"/>
        <c:overlap val="-69"/>
        <c:axId val="1677196128"/>
        <c:axId val="1677185088"/>
      </c:barChart>
      <c:catAx>
        <c:axId val="1677196128"/>
        <c:scaling>
          <c:orientation val="minMax"/>
        </c:scaling>
        <c:delete val="0"/>
        <c:axPos val="b"/>
        <c:numFmt formatCode="General" sourceLinked="1"/>
        <c:majorTickMark val="none"/>
        <c:minorTickMark val="none"/>
        <c:tickLblPos val="nextTo"/>
        <c:spPr>
          <a:noFill/>
          <a:ln w="9525" cap="flat" cmpd="sng" algn="ctr">
            <a:solidFill>
              <a:schemeClr val="bg2"/>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677185088"/>
        <c:crosses val="autoZero"/>
        <c:auto val="1"/>
        <c:lblAlgn val="ctr"/>
        <c:lblOffset val="100"/>
        <c:noMultiLvlLbl val="0"/>
      </c:catAx>
      <c:valAx>
        <c:axId val="1677185088"/>
        <c:scaling>
          <c:orientation val="minMax"/>
          <c:max val="1"/>
          <c:min val="0"/>
        </c:scaling>
        <c:delete val="0"/>
        <c:axPos val="l"/>
        <c:numFmt formatCode="0%" sourceLinked="0"/>
        <c:majorTickMark val="none"/>
        <c:minorTickMark val="none"/>
        <c:tickLblPos val="nextTo"/>
        <c:spPr>
          <a:noFill/>
          <a:ln>
            <a:solidFill>
              <a:schemeClr val="bg2"/>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677196128"/>
        <c:crosses val="autoZero"/>
        <c:crossBetween val="between"/>
        <c:majorUnit val="0.25"/>
      </c:valAx>
      <c:spPr>
        <a:noFill/>
        <a:ln w="25400">
          <a:noFill/>
        </a:ln>
        <a:effectLst/>
      </c:spPr>
    </c:plotArea>
    <c:legend>
      <c:legendPos val="b"/>
      <c:layout>
        <c:manualLayout>
          <c:xMode val="edge"/>
          <c:yMode val="edge"/>
          <c:x val="9.7497812773403331E-2"/>
          <c:y val="0.83807287892694382"/>
          <c:w val="0.89999986642891017"/>
          <c:h val="0.13329726422234031"/>
        </c:manualLayout>
      </c:layout>
      <c:overlay val="1"/>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1100"/>
      </a:pPr>
      <a:endParaRPr lang="en-US"/>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3.6087901793998504E-2"/>
          <c:y val="2.7131154060287918E-2"/>
          <c:w val="0.96391209820600154"/>
          <c:h val="0.66247711763302319"/>
        </c:manualLayout>
      </c:layout>
      <c:barChart>
        <c:barDir val="col"/>
        <c:grouping val="clustered"/>
        <c:varyColors val="0"/>
        <c:ser>
          <c:idx val="2"/>
          <c:order val="0"/>
          <c:tx>
            <c:strRef>
              <c:f>Sheet1!$B$1</c:f>
              <c:strCache>
                <c:ptCount val="1"/>
                <c:pt idx="0">
                  <c:v>LEA/ESD, Regional, 
&amp; Cooperative Staff
(n = 134)</c:v>
                </c:pt>
              </c:strCache>
            </c:strRef>
          </c:tx>
          <c:spPr>
            <a:solidFill>
              <a:sysClr val="windowText" lastClr="000000">
                <a:lumMod val="65000"/>
                <a:lumOff val="35000"/>
              </a:sysClr>
            </a:solidFill>
            <a:ln>
              <a:solidFill>
                <a:schemeClr val="tx2">
                  <a:lumMod val="90000"/>
                  <a:lumOff val="10000"/>
                </a:schemeClr>
              </a:solidFill>
            </a:ln>
            <a:effectLst/>
          </c:spPr>
          <c:invertIfNegative val="0"/>
          <c:dPt>
            <c:idx val="0"/>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1-455F-43C3-BB22-4AA87A042D95}"/>
              </c:ext>
            </c:extLst>
          </c:dPt>
          <c:dPt>
            <c:idx val="1"/>
            <c:invertIfNegative val="0"/>
            <c:bubble3D val="0"/>
            <c:spPr>
              <a:solidFill>
                <a:sysClr val="windowText" lastClr="000000">
                  <a:lumMod val="65000"/>
                  <a:lumOff val="35000"/>
                </a:sysClr>
              </a:solidFill>
              <a:ln>
                <a:solidFill>
                  <a:schemeClr val="tx2">
                    <a:lumMod val="90000"/>
                    <a:lumOff val="10000"/>
                  </a:schemeClr>
                </a:solidFill>
              </a:ln>
              <a:effectLst/>
            </c:spPr>
            <c:extLst>
              <c:ext xmlns:c16="http://schemas.microsoft.com/office/drawing/2014/chart" uri="{C3380CC4-5D6E-409C-BE32-E72D297353CC}">
                <c16:uniqueId val="{00000003-455F-43C3-BB22-4AA87A042D95}"/>
              </c:ext>
            </c:extLst>
          </c:dPt>
          <c:dPt>
            <c:idx val="2"/>
            <c:invertIfNegative val="0"/>
            <c:bubble3D val="0"/>
            <c:spPr>
              <a:solidFill>
                <a:sysClr val="windowText" lastClr="000000">
                  <a:lumMod val="65000"/>
                  <a:lumOff val="35000"/>
                </a:sysClr>
              </a:solidFill>
              <a:ln>
                <a:solidFill>
                  <a:schemeClr val="tx2">
                    <a:lumMod val="90000"/>
                    <a:lumOff val="10000"/>
                  </a:schemeClr>
                </a:solidFill>
              </a:ln>
              <a:effectLst/>
            </c:spPr>
            <c:extLst>
              <c:ext xmlns:c16="http://schemas.microsoft.com/office/drawing/2014/chart" uri="{C3380CC4-5D6E-409C-BE32-E72D297353CC}">
                <c16:uniqueId val="{00000005-455F-43C3-BB22-4AA87A042D95}"/>
              </c:ext>
            </c:extLst>
          </c:dPt>
          <c:dLbls>
            <c:dLbl>
              <c:idx val="0"/>
              <c:tx>
                <c:rich>
                  <a:bodyPr/>
                  <a:lstStyle/>
                  <a:p>
                    <a:fld id="{CFD23BEA-0B1F-44AA-B543-4D112F05C815}" type="VALUE">
                      <a:rPr lang="en-US"/>
                      <a:pPr/>
                      <a:t>[VALUE]</a:t>
                    </a:fld>
                    <a:endParaRPr lang="en-US"/>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455F-43C3-BB22-4AA87A042D95}"/>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Promotes active learning among students with print disabilities</c:v>
                </c:pt>
              </c:strCache>
            </c:strRef>
          </c:cat>
          <c:val>
            <c:numRef>
              <c:f>Sheet1!$B$2</c:f>
              <c:numCache>
                <c:formatCode>0%</c:formatCode>
                <c:ptCount val="1"/>
                <c:pt idx="0">
                  <c:v>0.95</c:v>
                </c:pt>
              </c:numCache>
            </c:numRef>
          </c:val>
          <c:extLst>
            <c:ext xmlns:c16="http://schemas.microsoft.com/office/drawing/2014/chart" uri="{C3380CC4-5D6E-409C-BE32-E72D297353CC}">
              <c16:uniqueId val="{00000006-455F-43C3-BB22-4AA87A042D95}"/>
            </c:ext>
          </c:extLst>
        </c:ser>
        <c:ser>
          <c:idx val="0"/>
          <c:order val="1"/>
          <c:tx>
            <c:strRef>
              <c:f>Sheet1!$C$1</c:f>
              <c:strCache>
                <c:ptCount val="1"/>
                <c:pt idx="0">
                  <c:v>School 
Staff 
(n = 79)</c:v>
                </c:pt>
              </c:strCache>
            </c:strRef>
          </c:tx>
          <c:spPr>
            <a:solidFill>
              <a:srgbClr val="B05227"/>
            </a:solidFill>
            <a:ln w="9525">
              <a:solidFill>
                <a:sysClr val="window" lastClr="FFFFFF"/>
              </a:solidFill>
            </a:ln>
            <a:effectLst/>
          </c:spPr>
          <c:invertIfNegative val="0"/>
          <c:dPt>
            <c:idx val="0"/>
            <c:invertIfNegative val="0"/>
            <c:bubble3D val="0"/>
            <c:spPr>
              <a:solidFill>
                <a:srgbClr val="B05227"/>
              </a:solidFill>
              <a:ln w="9525">
                <a:solidFill>
                  <a:sysClr val="window" lastClr="FFFFFF"/>
                </a:solidFill>
              </a:ln>
              <a:effectLst/>
            </c:spPr>
            <c:extLst>
              <c:ext xmlns:c16="http://schemas.microsoft.com/office/drawing/2014/chart" uri="{C3380CC4-5D6E-409C-BE32-E72D297353CC}">
                <c16:uniqueId val="{00000008-455F-43C3-BB22-4AA87A042D95}"/>
              </c:ext>
            </c:extLst>
          </c:dPt>
          <c:dLbls>
            <c:dLbl>
              <c:idx val="0"/>
              <c:tx>
                <c:rich>
                  <a:bodyPr/>
                  <a:lstStyle/>
                  <a:p>
                    <a:fld id="{2BBB892D-0651-4925-9568-2749FA6BCE38}" type="VALUE">
                      <a:rPr lang="en-US"/>
                      <a:pPr/>
                      <a:t>[VALUE]</a:t>
                    </a:fld>
                    <a:endParaRPr lang="en-US"/>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8-455F-43C3-BB22-4AA87A042D95}"/>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Promotes active learning among students with print disabilities</c:v>
                </c:pt>
              </c:strCache>
            </c:strRef>
          </c:cat>
          <c:val>
            <c:numRef>
              <c:f>Sheet1!$C$2</c:f>
              <c:numCache>
                <c:formatCode>0%</c:formatCode>
                <c:ptCount val="1"/>
                <c:pt idx="0">
                  <c:v>0.92</c:v>
                </c:pt>
              </c:numCache>
            </c:numRef>
          </c:val>
          <c:extLst>
            <c:ext xmlns:c16="http://schemas.microsoft.com/office/drawing/2014/chart" uri="{C3380CC4-5D6E-409C-BE32-E72D297353CC}">
              <c16:uniqueId val="{00000009-455F-43C3-BB22-4AA87A042D95}"/>
            </c:ext>
          </c:extLst>
        </c:ser>
        <c:ser>
          <c:idx val="3"/>
          <c:order val="2"/>
          <c:tx>
            <c:strRef>
              <c:f>Sheet1!$D$1</c:f>
              <c:strCache>
                <c:ptCount val="1"/>
                <c:pt idx="0">
                  <c:v>IMR/IRC 
Staff
(n = 42)</c:v>
                </c:pt>
              </c:strCache>
            </c:strRef>
          </c:tx>
          <c:spPr>
            <a:solidFill>
              <a:srgbClr val="1F5A92"/>
            </a:solidFill>
            <a:ln>
              <a:noFill/>
            </a:ln>
            <a:effectLst/>
          </c:spPr>
          <c:invertIfNegative val="0"/>
          <c:dLbls>
            <c:dLbl>
              <c:idx val="0"/>
              <c:tx>
                <c:rich>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fld id="{A64C0563-0742-4573-A56A-3A927C1CAACA}" type="VALUE">
                      <a:rPr lang="en-US">
                        <a:solidFill>
                          <a:schemeClr val="bg1"/>
                        </a:solidFill>
                      </a:rPr>
                      <a:pPr>
                        <a:defRPr b="1">
                          <a:solidFill>
                            <a:schemeClr val="bg1"/>
                          </a:solidFill>
                        </a:defRPr>
                      </a:pPr>
                      <a:t>[VALUE]</a:t>
                    </a:fld>
                    <a:endParaRPr lang="en-US">
                      <a:solidFill>
                        <a:schemeClr val="bg1"/>
                      </a:solidFill>
                    </a:endParaRPr>
                  </a:p>
                  <a:p>
                    <a:pPr>
                      <a:defRPr b="1">
                        <a:solidFill>
                          <a:schemeClr val="bg1"/>
                        </a:solidFill>
                      </a:defRPr>
                    </a:pPr>
                    <a:r>
                      <a:rPr lang="en-US">
                        <a:solidFill>
                          <a:schemeClr val="bg1"/>
                        </a:solidFill>
                      </a:rPr>
                      <a:t>*</a:t>
                    </a:r>
                  </a:p>
                </c:rich>
              </c:tx>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F-455F-43C3-BB22-4AA87A042D95}"/>
                </c:ext>
              </c:extLst>
            </c:dLbl>
            <c:spPr>
              <a:noFill/>
              <a:ln>
                <a:noFill/>
              </a:ln>
              <a:effectLst/>
            </c:spPr>
            <c:txPr>
              <a:bodyPr rot="0" spcFirstLastPara="1" vertOverflow="ellipsis" vert="horz" wrap="square" anchor="ctr" anchorCtr="1"/>
              <a:lstStyle/>
              <a:p>
                <a:pPr>
                  <a:defRPr sz="1100" b="1" i="0" u="none" strike="noStrike" kern="1200" baseline="0">
                    <a:solidFill>
                      <a:srgbClr val="2B2B2B"/>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Promotes active learning among students with print disabilities</c:v>
                </c:pt>
              </c:strCache>
            </c:strRef>
          </c:cat>
          <c:val>
            <c:numRef>
              <c:f>Sheet1!$D$2</c:f>
              <c:numCache>
                <c:formatCode>0%</c:formatCode>
                <c:ptCount val="1"/>
                <c:pt idx="0">
                  <c:v>0.76</c:v>
                </c:pt>
              </c:numCache>
            </c:numRef>
          </c:val>
          <c:extLst>
            <c:ext xmlns:c16="http://schemas.microsoft.com/office/drawing/2014/chart" uri="{C3380CC4-5D6E-409C-BE32-E72D297353CC}">
              <c16:uniqueId val="{0000000A-455F-43C3-BB22-4AA87A042D95}"/>
            </c:ext>
          </c:extLst>
        </c:ser>
        <c:ser>
          <c:idx val="1"/>
          <c:order val="3"/>
          <c:tx>
            <c:strRef>
              <c:f>Sheet1!$E$1</c:f>
              <c:strCache>
                <c:ptCount val="1"/>
                <c:pt idx="0">
                  <c:v>SEA 
Staff
(n = 33)</c:v>
                </c:pt>
              </c:strCache>
            </c:strRef>
          </c:tx>
          <c:spPr>
            <a:solidFill>
              <a:srgbClr val="6A1B9A"/>
            </a:solidFill>
            <a:ln>
              <a:noFill/>
            </a:ln>
            <a:effectLst/>
          </c:spPr>
          <c:invertIfNegative val="0"/>
          <c:dLbls>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Promotes active learning among students with print disabilities</c:v>
                </c:pt>
              </c:strCache>
            </c:strRef>
          </c:cat>
          <c:val>
            <c:numRef>
              <c:f>Sheet1!$E$2</c:f>
              <c:numCache>
                <c:formatCode>0%</c:formatCode>
                <c:ptCount val="1"/>
                <c:pt idx="0">
                  <c:v>0.94</c:v>
                </c:pt>
              </c:numCache>
            </c:numRef>
          </c:val>
          <c:extLst>
            <c:ext xmlns:c16="http://schemas.microsoft.com/office/drawing/2014/chart" uri="{C3380CC4-5D6E-409C-BE32-E72D297353CC}">
              <c16:uniqueId val="{0000000B-455F-43C3-BB22-4AA87A042D95}"/>
            </c:ext>
          </c:extLst>
        </c:ser>
        <c:ser>
          <c:idx val="4"/>
          <c:order val="4"/>
          <c:tx>
            <c:strRef>
              <c:f>Sheet1!$F$1</c:f>
              <c:strCache>
                <c:ptCount val="1"/>
                <c:pt idx="0">
                  <c:v>AMPS, Publishers, 
&amp; Vendors
(n = 24)</c:v>
                </c:pt>
              </c:strCache>
            </c:strRef>
          </c:tx>
          <c:spPr>
            <a:solidFill>
              <a:srgbClr val="2E7D6B"/>
            </a:solidFill>
            <a:ln>
              <a:noFill/>
            </a:ln>
            <a:effectLst/>
          </c:spPr>
          <c:invertIfNegative val="0"/>
          <c:dPt>
            <c:idx val="0"/>
            <c:invertIfNegative val="0"/>
            <c:bubble3D val="0"/>
            <c:spPr>
              <a:solidFill>
                <a:srgbClr val="2E7D6B"/>
              </a:solidFill>
              <a:ln>
                <a:noFill/>
              </a:ln>
              <a:effectLst/>
            </c:spPr>
            <c:extLst>
              <c:ext xmlns:c16="http://schemas.microsoft.com/office/drawing/2014/chart" uri="{C3380CC4-5D6E-409C-BE32-E72D297353CC}">
                <c16:uniqueId val="{0000000D-455F-43C3-BB22-4AA87A042D95}"/>
              </c:ext>
            </c:extLst>
          </c:dPt>
          <c:dLbls>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Promotes active learning among students with print disabilities</c:v>
                </c:pt>
              </c:strCache>
            </c:strRef>
          </c:cat>
          <c:val>
            <c:numRef>
              <c:f>Sheet1!$F$2</c:f>
              <c:numCache>
                <c:formatCode>0%</c:formatCode>
                <c:ptCount val="1"/>
                <c:pt idx="0">
                  <c:v>0.92</c:v>
                </c:pt>
              </c:numCache>
            </c:numRef>
          </c:val>
          <c:extLst>
            <c:ext xmlns:c16="http://schemas.microsoft.com/office/drawing/2014/chart" uri="{C3380CC4-5D6E-409C-BE32-E72D297353CC}">
              <c16:uniqueId val="{0000000E-455F-43C3-BB22-4AA87A042D95}"/>
            </c:ext>
          </c:extLst>
        </c:ser>
        <c:dLbls>
          <c:showLegendKey val="0"/>
          <c:showVal val="0"/>
          <c:showCatName val="0"/>
          <c:showSerName val="0"/>
          <c:showPercent val="0"/>
          <c:showBubbleSize val="0"/>
        </c:dLbls>
        <c:gapWidth val="316"/>
        <c:overlap val="-100"/>
        <c:axId val="1677196128"/>
        <c:axId val="1677185088"/>
      </c:barChart>
      <c:catAx>
        <c:axId val="1677196128"/>
        <c:scaling>
          <c:orientation val="minMax"/>
        </c:scaling>
        <c:delete val="0"/>
        <c:axPos val="b"/>
        <c:numFmt formatCode="General" sourceLinked="1"/>
        <c:majorTickMark val="none"/>
        <c:minorTickMark val="none"/>
        <c:tickLblPos val="nextTo"/>
        <c:spPr>
          <a:noFill/>
          <a:ln w="9525" cap="flat" cmpd="sng" algn="ctr">
            <a:solidFill>
              <a:schemeClr val="bg2"/>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677185088"/>
        <c:crosses val="autoZero"/>
        <c:auto val="1"/>
        <c:lblAlgn val="ctr"/>
        <c:lblOffset val="100"/>
        <c:noMultiLvlLbl val="0"/>
      </c:catAx>
      <c:valAx>
        <c:axId val="1677185088"/>
        <c:scaling>
          <c:orientation val="minMax"/>
          <c:max val="1"/>
          <c:min val="0"/>
        </c:scaling>
        <c:delete val="0"/>
        <c:axPos val="l"/>
        <c:numFmt formatCode="0%" sourceLinked="0"/>
        <c:majorTickMark val="none"/>
        <c:minorTickMark val="none"/>
        <c:tickLblPos val="nextTo"/>
        <c:spPr>
          <a:noFill/>
          <a:ln>
            <a:solidFill>
              <a:schemeClr val="bg2"/>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677196128"/>
        <c:crosses val="autoZero"/>
        <c:crossBetween val="between"/>
        <c:majorUnit val="0.25"/>
      </c:valAx>
      <c:spPr>
        <a:noFill/>
        <a:ln w="25400">
          <a:noFill/>
        </a:ln>
        <a:effectLst/>
      </c:spPr>
    </c:plotArea>
    <c:legend>
      <c:legendPos val="b"/>
      <c:layout>
        <c:manualLayout>
          <c:xMode val="edge"/>
          <c:yMode val="edge"/>
          <c:x val="7.7403510712691276E-2"/>
          <c:y val="0.79857095630221797"/>
          <c:w val="0.92039856031543477"/>
          <c:h val="0.20142904369778206"/>
        </c:manualLayout>
      </c:layout>
      <c:overlay val="1"/>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1100"/>
      </a:pPr>
      <a:endParaRPr lang="en-US"/>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31725594688054803"/>
          <c:y val="2.7188539682968402E-2"/>
          <c:w val="0.38503827355800052"/>
          <c:h val="0.86947321979263748"/>
        </c:manualLayout>
      </c:layout>
      <c:pieChart>
        <c:varyColors val="1"/>
        <c:ser>
          <c:idx val="0"/>
          <c:order val="0"/>
          <c:tx>
            <c:strRef>
              <c:f>Sheet1!$B$1</c:f>
              <c:strCache>
                <c:ptCount val="1"/>
                <c:pt idx="0">
                  <c:v>Agreement</c:v>
                </c:pt>
              </c:strCache>
            </c:strRef>
          </c:tx>
          <c:dPt>
            <c:idx val="0"/>
            <c:bubble3D val="0"/>
            <c:spPr>
              <a:solidFill>
                <a:srgbClr val="DCEAF7">
                  <a:alpha val="84706"/>
                </a:srgbClr>
              </a:solidFill>
              <a:ln w="19050">
                <a:solidFill>
                  <a:schemeClr val="lt1"/>
                </a:solidFill>
              </a:ln>
              <a:effectLst/>
            </c:spPr>
            <c:extLst>
              <c:ext xmlns:c16="http://schemas.microsoft.com/office/drawing/2014/chart" uri="{C3380CC4-5D6E-409C-BE32-E72D297353CC}">
                <c16:uniqueId val="{00000001-9772-44D7-BF3E-AB4F7ED6C32E}"/>
              </c:ext>
            </c:extLst>
          </c:dPt>
          <c:dPt>
            <c:idx val="1"/>
            <c:bubble3D val="0"/>
            <c:spPr>
              <a:solidFill>
                <a:srgbClr val="4E95D9"/>
              </a:solidFill>
              <a:ln w="19050">
                <a:solidFill>
                  <a:schemeClr val="lt1"/>
                </a:solidFill>
              </a:ln>
              <a:effectLst/>
            </c:spPr>
            <c:extLst>
              <c:ext xmlns:c16="http://schemas.microsoft.com/office/drawing/2014/chart" uri="{C3380CC4-5D6E-409C-BE32-E72D297353CC}">
                <c16:uniqueId val="{00000003-9772-44D7-BF3E-AB4F7ED6C32E}"/>
              </c:ext>
            </c:extLst>
          </c:dPt>
          <c:dPt>
            <c:idx val="2"/>
            <c:bubble3D val="0"/>
            <c:spPr>
              <a:solidFill>
                <a:srgbClr val="215F9A"/>
              </a:solidFill>
              <a:ln w="19050">
                <a:solidFill>
                  <a:schemeClr val="lt1"/>
                </a:solidFill>
              </a:ln>
              <a:effectLst/>
            </c:spPr>
            <c:extLst>
              <c:ext xmlns:c16="http://schemas.microsoft.com/office/drawing/2014/chart" uri="{C3380CC4-5D6E-409C-BE32-E72D297353CC}">
                <c16:uniqueId val="{00000005-9772-44D7-BF3E-AB4F7ED6C32E}"/>
              </c:ext>
            </c:extLst>
          </c:dPt>
          <c:dPt>
            <c:idx val="3"/>
            <c:bubble3D val="0"/>
            <c:spPr>
              <a:solidFill>
                <a:srgbClr val="163E64"/>
              </a:solidFill>
              <a:ln w="19050">
                <a:solidFill>
                  <a:schemeClr val="lt1"/>
                </a:solidFill>
              </a:ln>
              <a:effectLst/>
            </c:spPr>
            <c:extLst>
              <c:ext xmlns:c16="http://schemas.microsoft.com/office/drawing/2014/chart" uri="{C3380CC4-5D6E-409C-BE32-E72D297353CC}">
                <c16:uniqueId val="{00000007-9772-44D7-BF3E-AB4F7ED6C32E}"/>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9772-44D7-BF3E-AB4F7ED6C32E}"/>
              </c:ext>
            </c:extLst>
          </c:dPt>
          <c:dLbls>
            <c:dLbl>
              <c:idx val="0"/>
              <c:layout>
                <c:manualLayout>
                  <c:x val="5.230623232483321E-2"/>
                  <c:y val="2.2510050737654364E-7"/>
                </c:manualLayout>
              </c:layout>
              <c:tx>
                <c:rich>
                  <a:bodyPr rot="0" spcFirstLastPara="1" vertOverflow="ellipsis" vert="horz" wrap="square" lIns="38100" tIns="19050" rIns="38100" bIns="19050" anchor="ctr" anchorCtr="1">
                    <a:noAutofit/>
                  </a:bodyPr>
                  <a:lstStyle/>
                  <a:p>
                    <a:pPr>
                      <a:defRPr sz="1100" b="1" i="0" u="none" strike="noStrike" kern="1200" baseline="0">
                        <a:solidFill>
                          <a:schemeClr val="tx1"/>
                        </a:solidFill>
                        <a:latin typeface="+mn-lt"/>
                        <a:ea typeface="+mn-ea"/>
                        <a:cs typeface="Calibri" panose="020F0502020204030204" pitchFamily="34" charset="0"/>
                      </a:defRPr>
                    </a:pPr>
                    <a:fld id="{60EC07AE-CCB1-450C-84EF-381BDBA41743}" type="CATEGORYNAME">
                      <a:rPr lang="en-US" sz="1100">
                        <a:solidFill>
                          <a:schemeClr val="tx1"/>
                        </a:solidFill>
                        <a:latin typeface="+mn-lt"/>
                      </a:rPr>
                      <a:pPr>
                        <a:defRPr sz="1100" b="1">
                          <a:solidFill>
                            <a:schemeClr val="tx1"/>
                          </a:solidFill>
                          <a:cs typeface="Calibri" panose="020F0502020204030204" pitchFamily="34" charset="0"/>
                        </a:defRPr>
                      </a:pPr>
                      <a:t>[CATEGORY NAME]</a:t>
                    </a:fld>
                    <a:r>
                      <a:rPr lang="en-US" sz="1100" baseline="0">
                        <a:solidFill>
                          <a:schemeClr val="tx1"/>
                        </a:solidFill>
                        <a:latin typeface="+mn-lt"/>
                      </a:rPr>
                      <a:t>
</a:t>
                    </a:r>
                    <a:fld id="{9FCC1CCD-F5BD-4D65-A1F5-94E5EC6F2E2A}" type="PERCENTAGE">
                      <a:rPr lang="en-US" sz="1100" baseline="0">
                        <a:solidFill>
                          <a:schemeClr val="tx1"/>
                        </a:solidFill>
                        <a:latin typeface="+mn-lt"/>
                      </a:rPr>
                      <a:pPr>
                        <a:defRPr sz="1100" b="1">
                          <a:solidFill>
                            <a:schemeClr val="tx1"/>
                          </a:solidFill>
                          <a:cs typeface="Calibri" panose="020F0502020204030204" pitchFamily="34" charset="0"/>
                        </a:defRPr>
                      </a:pPr>
                      <a:t>[PERCENTAGE]</a:t>
                    </a:fld>
                    <a:endParaRPr lang="en-US" sz="1100" baseline="0">
                      <a:solidFill>
                        <a:schemeClr val="tx1"/>
                      </a:solidFill>
                      <a:latin typeface="+mn-lt"/>
                    </a:endParaRPr>
                  </a:p>
                </c:rich>
              </c:tx>
              <c:spPr>
                <a:noFill/>
                <a:ln>
                  <a:noFill/>
                </a:ln>
                <a:effectLst/>
              </c:spPr>
              <c:txPr>
                <a:bodyPr rot="0" spcFirstLastPara="1" vertOverflow="ellipsis" vert="horz" wrap="square" lIns="38100" tIns="19050" rIns="38100" bIns="19050" anchor="ctr" anchorCtr="1">
                  <a:noAutofit/>
                </a:bodyPr>
                <a:lstStyle/>
                <a:p>
                  <a:pPr>
                    <a:defRPr sz="1100" b="1" i="0" u="none" strike="noStrike" kern="1200" baseline="0">
                      <a:solidFill>
                        <a:schemeClr val="tx1"/>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layout>
                    <c:manualLayout>
                      <c:w val="0.16291287743988325"/>
                      <c:h val="0.22149439724837136"/>
                    </c:manualLayout>
                  </c15:layout>
                  <c15:dlblFieldTable/>
                  <c15:showDataLabelsRange val="0"/>
                </c:ext>
                <c:ext xmlns:c16="http://schemas.microsoft.com/office/drawing/2014/chart" uri="{C3380CC4-5D6E-409C-BE32-E72D297353CC}">
                  <c16:uniqueId val="{00000001-9772-44D7-BF3E-AB4F7ED6C32E}"/>
                </c:ext>
              </c:extLst>
            </c:dLbl>
            <c:dLbl>
              <c:idx val="1"/>
              <c:layout>
                <c:manualLayout>
                  <c:x val="-0.13611580455215611"/>
                  <c:y val="-4.0022870211549454E-2"/>
                </c:manualLayout>
              </c:layout>
              <c:tx>
                <c:rich>
                  <a:bodyPr rot="0" spcFirstLastPara="1" vertOverflow="ellipsis" vert="horz" wrap="square" lIns="38100" tIns="19050" rIns="38100" bIns="19050" anchor="ctr" anchorCtr="1">
                    <a:noAutofit/>
                  </a:bodyPr>
                  <a:lstStyle/>
                  <a:p>
                    <a:pPr>
                      <a:defRPr sz="1100" b="1" i="0" u="none" strike="noStrike" kern="1200" baseline="0">
                        <a:solidFill>
                          <a:sysClr val="windowText" lastClr="000000"/>
                        </a:solidFill>
                        <a:latin typeface="+mn-lt"/>
                        <a:ea typeface="+mn-ea"/>
                        <a:cs typeface="Calibri" panose="020F0502020204030204" pitchFamily="34" charset="0"/>
                      </a:defRPr>
                    </a:pPr>
                    <a:fld id="{9C704956-3D66-479E-A771-CB88A5C2A4C6}" type="CATEGORYNAME">
                      <a:rPr lang="en-US" sz="1100">
                        <a:solidFill>
                          <a:sysClr val="windowText" lastClr="000000"/>
                        </a:solidFill>
                        <a:latin typeface="+mn-lt"/>
                      </a:rPr>
                      <a:pPr>
                        <a:defRPr sz="1100" b="1">
                          <a:solidFill>
                            <a:sysClr val="windowText" lastClr="000000"/>
                          </a:solidFill>
                          <a:cs typeface="Calibri" panose="020F0502020204030204" pitchFamily="34" charset="0"/>
                        </a:defRPr>
                      </a:pPr>
                      <a:t>[CATEGORY NAME]</a:t>
                    </a:fld>
                    <a:r>
                      <a:rPr lang="en-US" sz="1100" baseline="0">
                        <a:solidFill>
                          <a:sysClr val="windowText" lastClr="000000"/>
                        </a:solidFill>
                        <a:latin typeface="+mn-lt"/>
                      </a:rPr>
                      <a:t>
</a:t>
                    </a:r>
                    <a:fld id="{7B132DC3-E187-49A1-A4FD-E27180FB3CB4}" type="PERCENTAGE">
                      <a:rPr lang="en-US" sz="1100" baseline="0">
                        <a:solidFill>
                          <a:sysClr val="windowText" lastClr="000000"/>
                        </a:solidFill>
                        <a:latin typeface="+mn-lt"/>
                      </a:rPr>
                      <a:pPr>
                        <a:defRPr sz="1100" b="1">
                          <a:solidFill>
                            <a:sysClr val="windowText" lastClr="000000"/>
                          </a:solidFill>
                          <a:cs typeface="Calibri" panose="020F0502020204030204" pitchFamily="34" charset="0"/>
                        </a:defRPr>
                      </a:pPr>
                      <a:t>[PERCENTAGE]</a:t>
                    </a:fld>
                    <a:endParaRPr lang="en-US" sz="1100" baseline="0">
                      <a:solidFill>
                        <a:sysClr val="windowText" lastClr="000000"/>
                      </a:solidFill>
                      <a:latin typeface="+mn-lt"/>
                    </a:endParaRPr>
                  </a:p>
                </c:rich>
              </c:tx>
              <c:spPr>
                <a:noFill/>
                <a:ln>
                  <a:noFill/>
                </a:ln>
                <a:effectLst/>
              </c:spPr>
              <c:txPr>
                <a:bodyPr rot="0" spcFirstLastPara="1" vertOverflow="ellipsis" vert="horz" wrap="square" lIns="38100" tIns="19050" rIns="38100" bIns="19050" anchor="ctr" anchorCtr="1">
                  <a:noAutofit/>
                </a:bodyPr>
                <a:lstStyle/>
                <a:p>
                  <a:pPr>
                    <a:defRPr sz="1100" b="1" i="0" u="none" strike="noStrike" kern="1200" baseline="0">
                      <a:solidFill>
                        <a:sysClr val="windowText" lastClr="000000"/>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layout>
                    <c:manualLayout>
                      <c:w val="0.13331073446327685"/>
                      <c:h val="0.30794739851343628"/>
                    </c:manualLayout>
                  </c15:layout>
                  <c15:dlblFieldTable/>
                  <c15:showDataLabelsRange val="0"/>
                </c:ext>
                <c:ext xmlns:c16="http://schemas.microsoft.com/office/drawing/2014/chart" uri="{C3380CC4-5D6E-409C-BE32-E72D297353CC}">
                  <c16:uniqueId val="{00000003-9772-44D7-BF3E-AB4F7ED6C32E}"/>
                </c:ext>
              </c:extLst>
            </c:dLbl>
            <c:dLbl>
              <c:idx val="2"/>
              <c:layout>
                <c:manualLayout>
                  <c:x val="6.32379459973504E-2"/>
                  <c:y val="-0.12906945910111764"/>
                </c:manualLayout>
              </c:layout>
              <c:tx>
                <c:rich>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mn-lt"/>
                        <a:ea typeface="+mn-ea"/>
                        <a:cs typeface="Calibri" panose="020F0502020204030204" pitchFamily="34" charset="0"/>
                      </a:defRPr>
                    </a:pPr>
                    <a:fld id="{DE812037-EBE3-4F2A-8ED1-1024D81F0AF4}" type="CATEGORYNAME">
                      <a:rPr lang="en-US" sz="1100">
                        <a:solidFill>
                          <a:schemeClr val="bg1"/>
                        </a:solidFill>
                        <a:latin typeface="+mn-lt"/>
                      </a:rPr>
                      <a:pPr>
                        <a:defRPr sz="1100" b="1">
                          <a:solidFill>
                            <a:schemeClr val="bg1"/>
                          </a:solidFill>
                          <a:cs typeface="Calibri" panose="020F0502020204030204" pitchFamily="34" charset="0"/>
                        </a:defRPr>
                      </a:pPr>
                      <a:t>[CATEGORY NAME]</a:t>
                    </a:fld>
                    <a:r>
                      <a:rPr lang="en-US" sz="1100" baseline="0">
                        <a:solidFill>
                          <a:schemeClr val="bg1"/>
                        </a:solidFill>
                        <a:latin typeface="+mn-lt"/>
                      </a:rPr>
                      <a:t>
</a:t>
                    </a:r>
                    <a:fld id="{B8553DCE-ABFA-48C4-83AC-E11F6F9F3A97}" type="PERCENTAGE">
                      <a:rPr lang="en-US" sz="1100" baseline="0">
                        <a:solidFill>
                          <a:schemeClr val="bg1"/>
                        </a:solidFill>
                        <a:latin typeface="+mn-lt"/>
                      </a:rPr>
                      <a:pPr>
                        <a:defRPr sz="1100" b="1">
                          <a:solidFill>
                            <a:schemeClr val="bg1"/>
                          </a:solidFill>
                          <a:cs typeface="Calibri" panose="020F0502020204030204" pitchFamily="34" charset="0"/>
                        </a:defRPr>
                      </a:pPr>
                      <a:t>[PERCENTAGE]</a:t>
                    </a:fld>
                    <a:endParaRPr lang="en-US" sz="1100" baseline="0">
                      <a:solidFill>
                        <a:schemeClr val="bg1"/>
                      </a:solidFill>
                      <a:latin typeface="+mn-lt"/>
                    </a:endParaRPr>
                  </a:p>
                </c:rich>
              </c:tx>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9772-44D7-BF3E-AB4F7ED6C32E}"/>
                </c:ext>
              </c:extLst>
            </c:dLbl>
            <c:dLbl>
              <c:idx val="3"/>
              <c:layout>
                <c:manualLayout>
                  <c:x val="0.13190307155395928"/>
                  <c:y val="0.16580903373356204"/>
                </c:manualLayout>
              </c:layout>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9772-44D7-BF3E-AB4F7ED6C32E}"/>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solidFill>
                    <a:latin typeface="+mn-lt"/>
                    <a:ea typeface="+mn-ea"/>
                    <a:cs typeface="Calibri" panose="020F0502020204030204" pitchFamily="34" charset="0"/>
                  </a:defRPr>
                </a:pPr>
                <a:endParaRPr lang="en-US"/>
              </a:p>
            </c:txPr>
            <c:dLblPos val="ctr"/>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Sheet1!$A$2:$A$5</c:f>
              <c:strCache>
                <c:ptCount val="4"/>
                <c:pt idx="0">
                  <c:v>Not Familiar</c:v>
                </c:pt>
                <c:pt idx="1">
                  <c:v>Slightly Familiar</c:v>
                </c:pt>
                <c:pt idx="2">
                  <c:v>Moderately Familiar</c:v>
                </c:pt>
                <c:pt idx="3">
                  <c:v>Very 
Familiar</c:v>
                </c:pt>
              </c:strCache>
            </c:strRef>
          </c:cat>
          <c:val>
            <c:numRef>
              <c:f>Sheet1!$B$2:$B$5</c:f>
              <c:numCache>
                <c:formatCode>0%</c:formatCode>
                <c:ptCount val="4"/>
                <c:pt idx="0">
                  <c:v>0.15</c:v>
                </c:pt>
                <c:pt idx="1">
                  <c:v>0.24</c:v>
                </c:pt>
                <c:pt idx="2">
                  <c:v>0.28999999999999998</c:v>
                </c:pt>
                <c:pt idx="3">
                  <c:v>0.32</c:v>
                </c:pt>
              </c:numCache>
            </c:numRef>
          </c:val>
          <c:extLst>
            <c:ext xmlns:c16="http://schemas.microsoft.com/office/drawing/2014/chart" uri="{C3380CC4-5D6E-409C-BE32-E72D297353CC}">
              <c16:uniqueId val="{0000000A-9772-44D7-BF3E-AB4F7ED6C32E}"/>
            </c:ext>
          </c:extLst>
        </c:ser>
        <c:dLbls>
          <c:showLegendKey val="0"/>
          <c:showVal val="0"/>
          <c:showCatName val="1"/>
          <c:showSerName val="0"/>
          <c:showPercent val="1"/>
          <c:showBubbleSize val="0"/>
          <c:showLeaderLines val="1"/>
        </c:dLbls>
        <c:firstSliceAng val="360"/>
      </c:pieChart>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3.6087901793998504E-2"/>
          <c:y val="2.7131154060287918E-2"/>
          <c:w val="0.96391209820600154"/>
          <c:h val="0.64554092691835574"/>
        </c:manualLayout>
      </c:layout>
      <c:barChart>
        <c:barDir val="col"/>
        <c:grouping val="clustered"/>
        <c:varyColors val="0"/>
        <c:ser>
          <c:idx val="2"/>
          <c:order val="0"/>
          <c:tx>
            <c:strRef>
              <c:f>Sheet1!$B$1</c:f>
              <c:strCache>
                <c:ptCount val="1"/>
                <c:pt idx="0">
                  <c:v>Column1</c:v>
                </c:pt>
              </c:strCache>
            </c:strRef>
          </c:tx>
          <c:spPr>
            <a:solidFill>
              <a:schemeClr val="tx2">
                <a:lumMod val="90000"/>
                <a:lumOff val="10000"/>
              </a:schemeClr>
            </a:solidFill>
            <a:ln>
              <a:solidFill>
                <a:schemeClr val="tx2">
                  <a:lumMod val="90000"/>
                  <a:lumOff val="10000"/>
                </a:schemeClr>
              </a:solidFill>
            </a:ln>
            <a:effectLst/>
          </c:spPr>
          <c:invertIfNegative val="0"/>
          <c:dPt>
            <c:idx val="0"/>
            <c:invertIfNegative val="0"/>
            <c:bubble3D val="0"/>
            <c:spPr>
              <a:solidFill>
                <a:schemeClr val="tx2">
                  <a:lumMod val="90000"/>
                  <a:lumOff val="10000"/>
                </a:schemeClr>
              </a:solidFill>
              <a:ln>
                <a:solidFill>
                  <a:schemeClr val="tx2">
                    <a:lumMod val="90000"/>
                    <a:lumOff val="10000"/>
                  </a:schemeClr>
                </a:solidFill>
              </a:ln>
              <a:effectLst/>
            </c:spPr>
            <c:extLst>
              <c:ext xmlns:c16="http://schemas.microsoft.com/office/drawing/2014/chart" uri="{C3380CC4-5D6E-409C-BE32-E72D297353CC}">
                <c16:uniqueId val="{00000001-839D-47F9-82CD-6EF51A5F2C38}"/>
              </c:ext>
            </c:extLst>
          </c:dPt>
          <c:dPt>
            <c:idx val="1"/>
            <c:invertIfNegative val="0"/>
            <c:bubble3D val="0"/>
            <c:spPr>
              <a:solidFill>
                <a:schemeClr val="tx2">
                  <a:lumMod val="90000"/>
                  <a:lumOff val="10000"/>
                </a:schemeClr>
              </a:solidFill>
              <a:ln>
                <a:solidFill>
                  <a:schemeClr val="tx2">
                    <a:lumMod val="90000"/>
                    <a:lumOff val="10000"/>
                  </a:schemeClr>
                </a:solidFill>
              </a:ln>
              <a:effectLst/>
            </c:spPr>
            <c:extLst>
              <c:ext xmlns:c16="http://schemas.microsoft.com/office/drawing/2014/chart" uri="{C3380CC4-5D6E-409C-BE32-E72D297353CC}">
                <c16:uniqueId val="{00000003-839D-47F9-82CD-6EF51A5F2C38}"/>
              </c:ext>
            </c:extLst>
          </c:dPt>
          <c:dPt>
            <c:idx val="2"/>
            <c:invertIfNegative val="0"/>
            <c:bubble3D val="0"/>
            <c:spPr>
              <a:solidFill>
                <a:schemeClr val="tx2">
                  <a:lumMod val="90000"/>
                  <a:lumOff val="10000"/>
                </a:schemeClr>
              </a:solidFill>
              <a:ln>
                <a:solidFill>
                  <a:schemeClr val="tx2">
                    <a:lumMod val="90000"/>
                    <a:lumOff val="10000"/>
                  </a:schemeClr>
                </a:solidFill>
              </a:ln>
              <a:effectLst/>
            </c:spPr>
            <c:extLst>
              <c:ext xmlns:c16="http://schemas.microsoft.com/office/drawing/2014/chart" uri="{C3380CC4-5D6E-409C-BE32-E72D297353CC}">
                <c16:uniqueId val="{00000005-839D-47F9-82CD-6EF51A5F2C38}"/>
              </c:ext>
            </c:extLst>
          </c:dPt>
          <c:dLbls>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When NIMAS file is already in the NIMAC system 
(n = 45)</c:v>
                </c:pt>
                <c:pt idx="1">
                  <c:v>When NIMAS file is not in the NIMAC system and is added to the NIMAC Watchlist 
(n = 37)</c:v>
                </c:pt>
                <c:pt idx="2">
                  <c:v>When accessible formats are not within scope for NIMAS 
(n = 49)</c:v>
                </c:pt>
              </c:strCache>
            </c:strRef>
          </c:cat>
          <c:val>
            <c:numRef>
              <c:f>Sheet1!$B$2:$B$4</c:f>
              <c:numCache>
                <c:formatCode>0.0</c:formatCode>
                <c:ptCount val="3"/>
                <c:pt idx="0">
                  <c:v>3.0666666666666602</c:v>
                </c:pt>
                <c:pt idx="1">
                  <c:v>2.7297297297297201</c:v>
                </c:pt>
                <c:pt idx="2">
                  <c:v>2.3673469387755102</c:v>
                </c:pt>
              </c:numCache>
            </c:numRef>
          </c:val>
          <c:extLst>
            <c:ext xmlns:c16="http://schemas.microsoft.com/office/drawing/2014/chart" uri="{C3380CC4-5D6E-409C-BE32-E72D297353CC}">
              <c16:uniqueId val="{00000006-839D-47F9-82CD-6EF51A5F2C38}"/>
            </c:ext>
          </c:extLst>
        </c:ser>
        <c:dLbls>
          <c:showLegendKey val="0"/>
          <c:showVal val="0"/>
          <c:showCatName val="0"/>
          <c:showSerName val="0"/>
          <c:showPercent val="0"/>
          <c:showBubbleSize val="0"/>
        </c:dLbls>
        <c:gapWidth val="270"/>
        <c:overlap val="-10"/>
        <c:axId val="1677196128"/>
        <c:axId val="1677185088"/>
      </c:barChart>
      <c:catAx>
        <c:axId val="1677196128"/>
        <c:scaling>
          <c:orientation val="minMax"/>
        </c:scaling>
        <c:delete val="0"/>
        <c:axPos val="b"/>
        <c:numFmt formatCode="General" sourceLinked="1"/>
        <c:majorTickMark val="none"/>
        <c:minorTickMark val="none"/>
        <c:tickLblPos val="nextTo"/>
        <c:spPr>
          <a:noFill/>
          <a:ln w="9525" cap="flat" cmpd="sng" algn="ctr">
            <a:solidFill>
              <a:schemeClr val="bg2"/>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677185088"/>
        <c:crosses val="autoZero"/>
        <c:auto val="1"/>
        <c:lblAlgn val="ctr"/>
        <c:lblOffset val="100"/>
        <c:noMultiLvlLbl val="0"/>
      </c:catAx>
      <c:valAx>
        <c:axId val="1677185088"/>
        <c:scaling>
          <c:orientation val="minMax"/>
          <c:max val="4"/>
          <c:min val="1"/>
        </c:scaling>
        <c:delete val="0"/>
        <c:axPos val="l"/>
        <c:numFmt formatCode="0" sourceLinked="0"/>
        <c:majorTickMark val="none"/>
        <c:minorTickMark val="none"/>
        <c:tickLblPos val="nextTo"/>
        <c:spPr>
          <a:noFill/>
          <a:ln>
            <a:solidFill>
              <a:schemeClr val="bg2"/>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677196128"/>
        <c:crosses val="autoZero"/>
        <c:crossBetween val="between"/>
        <c:majorUnit val="1"/>
      </c:valAx>
      <c:spPr>
        <a:noFill/>
        <a:ln w="25400">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1100"/>
      </a:pPr>
      <a:endParaRPr lang="en-US"/>
    </a:p>
  </c:txPr>
  <c:externalData r:id="rId4">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34763953974040368"/>
          <c:y val="2.7188539682968402E-2"/>
          <c:w val="0.33186698605325299"/>
          <c:h val="0.7494046091579889"/>
        </c:manualLayout>
      </c:layout>
      <c:pieChart>
        <c:varyColors val="1"/>
        <c:ser>
          <c:idx val="0"/>
          <c:order val="0"/>
          <c:tx>
            <c:strRef>
              <c:f>Sheet1!$B$1</c:f>
              <c:strCache>
                <c:ptCount val="1"/>
                <c:pt idx="0">
                  <c:v>Agreement</c:v>
                </c:pt>
              </c:strCache>
            </c:strRef>
          </c:tx>
          <c:dPt>
            <c:idx val="0"/>
            <c:bubble3D val="0"/>
            <c:spPr>
              <a:solidFill>
                <a:srgbClr val="DCEAF7">
                  <a:alpha val="84706"/>
                </a:srgbClr>
              </a:solidFill>
              <a:ln w="19050">
                <a:solidFill>
                  <a:schemeClr val="lt1"/>
                </a:solidFill>
              </a:ln>
              <a:effectLst/>
            </c:spPr>
            <c:extLst>
              <c:ext xmlns:c16="http://schemas.microsoft.com/office/drawing/2014/chart" uri="{C3380CC4-5D6E-409C-BE32-E72D297353CC}">
                <c16:uniqueId val="{00000001-4AF7-46B1-B088-F7E1E96A4D7F}"/>
              </c:ext>
            </c:extLst>
          </c:dPt>
          <c:dPt>
            <c:idx val="1"/>
            <c:bubble3D val="0"/>
            <c:spPr>
              <a:solidFill>
                <a:srgbClr val="4E95D9"/>
              </a:solidFill>
              <a:ln w="19050">
                <a:solidFill>
                  <a:schemeClr val="lt1"/>
                </a:solidFill>
              </a:ln>
              <a:effectLst/>
            </c:spPr>
            <c:extLst>
              <c:ext xmlns:c16="http://schemas.microsoft.com/office/drawing/2014/chart" uri="{C3380CC4-5D6E-409C-BE32-E72D297353CC}">
                <c16:uniqueId val="{00000003-4AF7-46B1-B088-F7E1E96A4D7F}"/>
              </c:ext>
            </c:extLst>
          </c:dPt>
          <c:dPt>
            <c:idx val="2"/>
            <c:bubble3D val="0"/>
            <c:spPr>
              <a:solidFill>
                <a:srgbClr val="215F9A"/>
              </a:solidFill>
              <a:ln w="19050">
                <a:solidFill>
                  <a:schemeClr val="lt1"/>
                </a:solidFill>
              </a:ln>
              <a:effectLst/>
            </c:spPr>
            <c:extLst>
              <c:ext xmlns:c16="http://schemas.microsoft.com/office/drawing/2014/chart" uri="{C3380CC4-5D6E-409C-BE32-E72D297353CC}">
                <c16:uniqueId val="{00000005-4AF7-46B1-B088-F7E1E96A4D7F}"/>
              </c:ext>
            </c:extLst>
          </c:dPt>
          <c:dPt>
            <c:idx val="3"/>
            <c:bubble3D val="0"/>
            <c:spPr>
              <a:solidFill>
                <a:srgbClr val="163E64"/>
              </a:solidFill>
              <a:ln w="19050">
                <a:solidFill>
                  <a:schemeClr val="lt1"/>
                </a:solidFill>
              </a:ln>
              <a:effectLst/>
            </c:spPr>
            <c:extLst>
              <c:ext xmlns:c16="http://schemas.microsoft.com/office/drawing/2014/chart" uri="{C3380CC4-5D6E-409C-BE32-E72D297353CC}">
                <c16:uniqueId val="{00000007-4AF7-46B1-B088-F7E1E96A4D7F}"/>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4AF7-46B1-B088-F7E1E96A4D7F}"/>
              </c:ext>
            </c:extLst>
          </c:dPt>
          <c:dLbls>
            <c:dLbl>
              <c:idx val="0"/>
              <c:layout>
                <c:manualLayout>
                  <c:x val="5.4838198396487944E-2"/>
                  <c:y val="-2.286998644894956E-2"/>
                </c:manualLayout>
              </c:layout>
              <c:tx>
                <c:rich>
                  <a:bodyPr rot="0" spcFirstLastPara="1" vertOverflow="ellipsis" vert="horz" wrap="square" lIns="38100" tIns="19050" rIns="38100" bIns="19050" anchor="ctr" anchorCtr="1">
                    <a:noAutofit/>
                  </a:bodyPr>
                  <a:lstStyle/>
                  <a:p>
                    <a:pPr>
                      <a:defRPr sz="1100" b="1" i="0" u="none" strike="noStrike" kern="1200" baseline="0">
                        <a:solidFill>
                          <a:schemeClr val="tx1"/>
                        </a:solidFill>
                        <a:latin typeface="+mn-lt"/>
                        <a:ea typeface="+mn-ea"/>
                        <a:cs typeface="Calibri" panose="020F0502020204030204" pitchFamily="34" charset="0"/>
                      </a:defRPr>
                    </a:pPr>
                    <a:fld id="{60EC07AE-CCB1-450C-84EF-381BDBA41743}" type="CATEGORYNAME">
                      <a:rPr lang="en-US" sz="1100">
                        <a:solidFill>
                          <a:schemeClr val="tx1"/>
                        </a:solidFill>
                        <a:latin typeface="+mn-lt"/>
                      </a:rPr>
                      <a:pPr>
                        <a:defRPr sz="1100" b="1">
                          <a:solidFill>
                            <a:schemeClr val="tx1"/>
                          </a:solidFill>
                          <a:cs typeface="Calibri" panose="020F0502020204030204" pitchFamily="34" charset="0"/>
                        </a:defRPr>
                      </a:pPr>
                      <a:t>[CATEGORY NAME]</a:t>
                    </a:fld>
                    <a:r>
                      <a:rPr lang="en-US" sz="1100" baseline="0">
                        <a:solidFill>
                          <a:schemeClr val="tx1"/>
                        </a:solidFill>
                        <a:latin typeface="+mn-lt"/>
                      </a:rPr>
                      <a:t>
</a:t>
                    </a:r>
                    <a:fld id="{9FCC1CCD-F5BD-4D65-A1F5-94E5EC6F2E2A}" type="PERCENTAGE">
                      <a:rPr lang="en-US" sz="1100" baseline="0">
                        <a:solidFill>
                          <a:schemeClr val="tx1"/>
                        </a:solidFill>
                        <a:latin typeface="+mn-lt"/>
                      </a:rPr>
                      <a:pPr>
                        <a:defRPr sz="1100" b="1">
                          <a:solidFill>
                            <a:schemeClr val="tx1"/>
                          </a:solidFill>
                          <a:cs typeface="Calibri" panose="020F0502020204030204" pitchFamily="34" charset="0"/>
                        </a:defRPr>
                      </a:pPr>
                      <a:t>[PERCENTAGE]</a:t>
                    </a:fld>
                    <a:endParaRPr lang="en-US" sz="1100" baseline="0">
                      <a:solidFill>
                        <a:schemeClr val="tx1"/>
                      </a:solidFill>
                      <a:latin typeface="+mn-lt"/>
                    </a:endParaRPr>
                  </a:p>
                </c:rich>
              </c:tx>
              <c:spPr>
                <a:noFill/>
                <a:ln>
                  <a:noFill/>
                </a:ln>
                <a:effectLst/>
              </c:spPr>
              <c:txPr>
                <a:bodyPr rot="0" spcFirstLastPara="1" vertOverflow="ellipsis" vert="horz" wrap="square" lIns="38100" tIns="19050" rIns="38100" bIns="19050" anchor="ctr" anchorCtr="1">
                  <a:noAutofit/>
                </a:bodyPr>
                <a:lstStyle/>
                <a:p>
                  <a:pPr>
                    <a:defRPr sz="1100" b="1" i="0" u="none" strike="noStrike" kern="1200" baseline="0">
                      <a:solidFill>
                        <a:schemeClr val="tx1"/>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layout>
                    <c:manualLayout>
                      <c:w val="0.26419152030606885"/>
                      <c:h val="0.22149439724837136"/>
                    </c:manualLayout>
                  </c15:layout>
                  <c15:dlblFieldTable/>
                  <c15:showDataLabelsRange val="0"/>
                </c:ext>
                <c:ext xmlns:c16="http://schemas.microsoft.com/office/drawing/2014/chart" uri="{C3380CC4-5D6E-409C-BE32-E72D297353CC}">
                  <c16:uniqueId val="{00000001-4AF7-46B1-B088-F7E1E96A4D7F}"/>
                </c:ext>
              </c:extLst>
            </c:dLbl>
            <c:dLbl>
              <c:idx val="1"/>
              <c:layout>
                <c:manualLayout>
                  <c:x val="7.7835428186364658E-2"/>
                  <c:y val="5.7175528873642079E-2"/>
                </c:manualLayout>
              </c:layout>
              <c:tx>
                <c:rich>
                  <a:bodyPr rot="0" spcFirstLastPara="1" vertOverflow="ellipsis" vert="horz" wrap="square" lIns="38100" tIns="19050" rIns="38100" bIns="19050" anchor="ctr" anchorCtr="1">
                    <a:noAutofit/>
                  </a:bodyPr>
                  <a:lstStyle/>
                  <a:p>
                    <a:pPr>
                      <a:defRPr sz="1100" b="1" i="0" u="none" strike="noStrike" kern="1200" baseline="0">
                        <a:solidFill>
                          <a:sysClr val="windowText" lastClr="000000"/>
                        </a:solidFill>
                        <a:latin typeface="+mn-lt"/>
                        <a:ea typeface="+mn-ea"/>
                        <a:cs typeface="Calibri" panose="020F0502020204030204" pitchFamily="34" charset="0"/>
                      </a:defRPr>
                    </a:pPr>
                    <a:fld id="{9C704956-3D66-479E-A771-CB88A5C2A4C6}" type="CATEGORYNAME">
                      <a:rPr lang="en-US" sz="1100">
                        <a:solidFill>
                          <a:sysClr val="windowText" lastClr="000000"/>
                        </a:solidFill>
                        <a:latin typeface="+mn-lt"/>
                      </a:rPr>
                      <a:pPr>
                        <a:defRPr sz="1100" b="1">
                          <a:solidFill>
                            <a:sysClr val="windowText" lastClr="000000"/>
                          </a:solidFill>
                          <a:cs typeface="Calibri" panose="020F0502020204030204" pitchFamily="34" charset="0"/>
                        </a:defRPr>
                      </a:pPr>
                      <a:t>[CATEGORY NAME]</a:t>
                    </a:fld>
                    <a:r>
                      <a:rPr lang="en-US" sz="1100" baseline="0">
                        <a:solidFill>
                          <a:sysClr val="windowText" lastClr="000000"/>
                        </a:solidFill>
                        <a:latin typeface="+mn-lt"/>
                      </a:rPr>
                      <a:t>
</a:t>
                    </a:r>
                    <a:fld id="{7B132DC3-E187-49A1-A4FD-E27180FB3CB4}" type="PERCENTAGE">
                      <a:rPr lang="en-US" sz="1100" baseline="0">
                        <a:solidFill>
                          <a:sysClr val="windowText" lastClr="000000"/>
                        </a:solidFill>
                        <a:latin typeface="+mn-lt"/>
                      </a:rPr>
                      <a:pPr>
                        <a:defRPr sz="1100" b="1">
                          <a:solidFill>
                            <a:sysClr val="windowText" lastClr="000000"/>
                          </a:solidFill>
                          <a:cs typeface="Calibri" panose="020F0502020204030204" pitchFamily="34" charset="0"/>
                        </a:defRPr>
                      </a:pPr>
                      <a:t>[PERCENTAGE]</a:t>
                    </a:fld>
                    <a:endParaRPr lang="en-US" sz="1100" baseline="0">
                      <a:solidFill>
                        <a:sysClr val="windowText" lastClr="000000"/>
                      </a:solidFill>
                      <a:latin typeface="+mn-lt"/>
                    </a:endParaRPr>
                  </a:p>
                </c:rich>
              </c:tx>
              <c:spPr>
                <a:noFill/>
                <a:ln>
                  <a:noFill/>
                </a:ln>
                <a:effectLst/>
              </c:spPr>
              <c:txPr>
                <a:bodyPr rot="0" spcFirstLastPara="1" vertOverflow="ellipsis" vert="horz" wrap="square" lIns="38100" tIns="19050" rIns="38100" bIns="19050" anchor="ctr" anchorCtr="1">
                  <a:noAutofit/>
                </a:bodyPr>
                <a:lstStyle/>
                <a:p>
                  <a:pPr>
                    <a:defRPr sz="1100" b="1" i="0" u="none" strike="noStrike" kern="1200" baseline="0">
                      <a:solidFill>
                        <a:sysClr val="windowText" lastClr="000000"/>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layout>
                    <c:manualLayout>
                      <c:w val="0.16622636374782815"/>
                      <c:h val="0.30794739851343628"/>
                    </c:manualLayout>
                  </c15:layout>
                  <c15:dlblFieldTable/>
                  <c15:showDataLabelsRange val="0"/>
                </c:ext>
                <c:ext xmlns:c16="http://schemas.microsoft.com/office/drawing/2014/chart" uri="{C3380CC4-5D6E-409C-BE32-E72D297353CC}">
                  <c16:uniqueId val="{00000003-4AF7-46B1-B088-F7E1E96A4D7F}"/>
                </c:ext>
              </c:extLst>
            </c:dLbl>
            <c:dLbl>
              <c:idx val="2"/>
              <c:layout>
                <c:manualLayout>
                  <c:x val="-7.545119336345775E-2"/>
                  <c:y val="-0.2973127501429389"/>
                </c:manualLayout>
              </c:layout>
              <c:tx>
                <c:rich>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mn-lt"/>
                        <a:ea typeface="+mn-ea"/>
                        <a:cs typeface="Calibri" panose="020F0502020204030204" pitchFamily="34" charset="0"/>
                      </a:defRPr>
                    </a:pPr>
                    <a:fld id="{DE812037-EBE3-4F2A-8ED1-1024D81F0AF4}" type="CATEGORYNAME">
                      <a:rPr lang="en-US" sz="1100">
                        <a:solidFill>
                          <a:schemeClr val="bg1"/>
                        </a:solidFill>
                        <a:latin typeface="+mn-lt"/>
                      </a:rPr>
                      <a:pPr>
                        <a:defRPr sz="1100" b="1">
                          <a:solidFill>
                            <a:schemeClr val="bg1"/>
                          </a:solidFill>
                          <a:cs typeface="Calibri" panose="020F0502020204030204" pitchFamily="34" charset="0"/>
                        </a:defRPr>
                      </a:pPr>
                      <a:t>[CATEGORY NAME]</a:t>
                    </a:fld>
                    <a:r>
                      <a:rPr lang="en-US" sz="1100" baseline="0">
                        <a:solidFill>
                          <a:schemeClr val="bg1"/>
                        </a:solidFill>
                        <a:latin typeface="+mn-lt"/>
                      </a:rPr>
                      <a:t>
</a:t>
                    </a:r>
                    <a:fld id="{B8553DCE-ABFA-48C4-83AC-E11F6F9F3A97}" type="PERCENTAGE">
                      <a:rPr lang="en-US" sz="1100" baseline="0">
                        <a:solidFill>
                          <a:schemeClr val="bg1"/>
                        </a:solidFill>
                        <a:latin typeface="+mn-lt"/>
                      </a:rPr>
                      <a:pPr>
                        <a:defRPr sz="1100" b="1">
                          <a:solidFill>
                            <a:schemeClr val="bg1"/>
                          </a:solidFill>
                          <a:cs typeface="Calibri" panose="020F0502020204030204" pitchFamily="34" charset="0"/>
                        </a:defRPr>
                      </a:pPr>
                      <a:t>[PERCENTAGE]</a:t>
                    </a:fld>
                    <a:endParaRPr lang="en-US" sz="1100" baseline="0">
                      <a:solidFill>
                        <a:schemeClr val="bg1"/>
                      </a:solidFill>
                      <a:latin typeface="+mn-lt"/>
                    </a:endParaRPr>
                  </a:p>
                </c:rich>
              </c:tx>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4AF7-46B1-B088-F7E1E96A4D7F}"/>
                </c:ext>
              </c:extLst>
            </c:dLbl>
            <c:dLbl>
              <c:idx val="3"/>
              <c:layout>
                <c:manualLayout>
                  <c:x val="-2.254685881697379E-2"/>
                  <c:y val="0.1429388221841052"/>
                </c:manualLayout>
              </c:layout>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ysClr val="windowText" lastClr="000000"/>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4AF7-46B1-B088-F7E1E96A4D7F}"/>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solidFill>
                    <a:latin typeface="+mn-lt"/>
                    <a:ea typeface="+mn-ea"/>
                    <a:cs typeface="Calibri" panose="020F0502020204030204" pitchFamily="34" charset="0"/>
                  </a:defRPr>
                </a:pPr>
                <a:endParaRPr lang="en-US"/>
              </a:p>
            </c:txPr>
            <c:dLblPos val="ctr"/>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Sheet1!$A$2:$A$5</c:f>
              <c:strCache>
                <c:ptCount val="4"/>
                <c:pt idx="0">
                  <c:v>Never or Rarely</c:v>
                </c:pt>
                <c:pt idx="1">
                  <c:v>Sometimes</c:v>
                </c:pt>
                <c:pt idx="2">
                  <c:v>Often</c:v>
                </c:pt>
                <c:pt idx="3">
                  <c:v>Always</c:v>
                </c:pt>
              </c:strCache>
            </c:strRef>
          </c:cat>
          <c:val>
            <c:numRef>
              <c:f>Sheet1!$B$2:$B$5</c:f>
              <c:numCache>
                <c:formatCode>0%</c:formatCode>
                <c:ptCount val="4"/>
                <c:pt idx="0">
                  <c:v>0.03</c:v>
                </c:pt>
                <c:pt idx="1">
                  <c:v>0.38</c:v>
                </c:pt>
                <c:pt idx="2">
                  <c:v>0.56000000000000005</c:v>
                </c:pt>
                <c:pt idx="3">
                  <c:v>0.03</c:v>
                </c:pt>
              </c:numCache>
            </c:numRef>
          </c:val>
          <c:extLst>
            <c:ext xmlns:c16="http://schemas.microsoft.com/office/drawing/2014/chart" uri="{C3380CC4-5D6E-409C-BE32-E72D297353CC}">
              <c16:uniqueId val="{0000000A-4AF7-46B1-B088-F7E1E96A4D7F}"/>
            </c:ext>
          </c:extLst>
        </c:ser>
        <c:dLbls>
          <c:showLegendKey val="0"/>
          <c:showVal val="0"/>
          <c:showCatName val="1"/>
          <c:showSerName val="0"/>
          <c:showPercent val="1"/>
          <c:showBubbleSize val="0"/>
          <c:showLeaderLines val="1"/>
        </c:dLbls>
        <c:firstSliceAng val="270"/>
      </c:pieChart>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34763953974040368"/>
          <c:y val="2.7188539682968402E-2"/>
          <c:w val="0.34199485033987165"/>
          <c:h val="0.77227482070744602"/>
        </c:manualLayout>
      </c:layout>
      <c:pieChart>
        <c:varyColors val="1"/>
        <c:ser>
          <c:idx val="0"/>
          <c:order val="0"/>
          <c:tx>
            <c:strRef>
              <c:f>Sheet1!$B$1</c:f>
              <c:strCache>
                <c:ptCount val="1"/>
                <c:pt idx="0">
                  <c:v>Agreement</c:v>
                </c:pt>
              </c:strCache>
            </c:strRef>
          </c:tx>
          <c:dPt>
            <c:idx val="0"/>
            <c:bubble3D val="0"/>
            <c:spPr>
              <a:solidFill>
                <a:srgbClr val="DCEAF7">
                  <a:alpha val="84706"/>
                </a:srgbClr>
              </a:solidFill>
              <a:ln w="19050">
                <a:solidFill>
                  <a:schemeClr val="lt1"/>
                </a:solidFill>
              </a:ln>
              <a:effectLst/>
            </c:spPr>
            <c:extLst>
              <c:ext xmlns:c16="http://schemas.microsoft.com/office/drawing/2014/chart" uri="{C3380CC4-5D6E-409C-BE32-E72D297353CC}">
                <c16:uniqueId val="{00000001-6ABB-4782-BBBC-1C1B5D633A92}"/>
              </c:ext>
            </c:extLst>
          </c:dPt>
          <c:dPt>
            <c:idx val="1"/>
            <c:bubble3D val="0"/>
            <c:spPr>
              <a:solidFill>
                <a:srgbClr val="4E95D9"/>
              </a:solidFill>
              <a:ln w="19050">
                <a:solidFill>
                  <a:schemeClr val="lt1"/>
                </a:solidFill>
              </a:ln>
              <a:effectLst/>
            </c:spPr>
            <c:extLst>
              <c:ext xmlns:c16="http://schemas.microsoft.com/office/drawing/2014/chart" uri="{C3380CC4-5D6E-409C-BE32-E72D297353CC}">
                <c16:uniqueId val="{00000003-6ABB-4782-BBBC-1C1B5D633A92}"/>
              </c:ext>
            </c:extLst>
          </c:dPt>
          <c:dPt>
            <c:idx val="2"/>
            <c:bubble3D val="0"/>
            <c:spPr>
              <a:solidFill>
                <a:srgbClr val="215F9A"/>
              </a:solidFill>
              <a:ln w="19050">
                <a:solidFill>
                  <a:schemeClr val="lt1"/>
                </a:solidFill>
              </a:ln>
              <a:effectLst/>
            </c:spPr>
            <c:extLst>
              <c:ext xmlns:c16="http://schemas.microsoft.com/office/drawing/2014/chart" uri="{C3380CC4-5D6E-409C-BE32-E72D297353CC}">
                <c16:uniqueId val="{00000005-6ABB-4782-BBBC-1C1B5D633A92}"/>
              </c:ext>
            </c:extLst>
          </c:dPt>
          <c:dPt>
            <c:idx val="3"/>
            <c:bubble3D val="0"/>
            <c:spPr>
              <a:solidFill>
                <a:srgbClr val="163E64"/>
              </a:solidFill>
              <a:ln w="19050">
                <a:solidFill>
                  <a:schemeClr val="lt1"/>
                </a:solidFill>
              </a:ln>
              <a:effectLst/>
            </c:spPr>
            <c:extLst>
              <c:ext xmlns:c16="http://schemas.microsoft.com/office/drawing/2014/chart" uri="{C3380CC4-5D6E-409C-BE32-E72D297353CC}">
                <c16:uniqueId val="{00000007-6ABB-4782-BBBC-1C1B5D633A92}"/>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6ABB-4782-BBBC-1C1B5D633A92}"/>
              </c:ext>
            </c:extLst>
          </c:dPt>
          <c:dLbls>
            <c:dLbl>
              <c:idx val="0"/>
              <c:layout>
                <c:manualLayout>
                  <c:x val="0.13079728022983075"/>
                  <c:y val="7.1469411092052598E-2"/>
                </c:manualLayout>
              </c:layout>
              <c:tx>
                <c:rich>
                  <a:bodyPr rot="0" spcFirstLastPara="1" vertOverflow="ellipsis" vert="horz" wrap="square" lIns="38100" tIns="19050" rIns="38100" bIns="19050" anchor="ctr" anchorCtr="1">
                    <a:noAutofit/>
                  </a:bodyPr>
                  <a:lstStyle/>
                  <a:p>
                    <a:pPr>
                      <a:defRPr sz="1100" b="1" i="0" u="none" strike="noStrike" kern="1200" baseline="0">
                        <a:solidFill>
                          <a:schemeClr val="tx1"/>
                        </a:solidFill>
                        <a:latin typeface="+mn-lt"/>
                        <a:ea typeface="+mn-ea"/>
                        <a:cs typeface="Calibri" panose="020F0502020204030204" pitchFamily="34" charset="0"/>
                      </a:defRPr>
                    </a:pPr>
                    <a:fld id="{60EC07AE-CCB1-450C-84EF-381BDBA41743}" type="CATEGORYNAME">
                      <a:rPr lang="en-US" sz="1100">
                        <a:solidFill>
                          <a:schemeClr val="tx1"/>
                        </a:solidFill>
                        <a:latin typeface="+mn-lt"/>
                      </a:rPr>
                      <a:pPr>
                        <a:defRPr sz="1100" b="1">
                          <a:solidFill>
                            <a:schemeClr val="tx1"/>
                          </a:solidFill>
                          <a:cs typeface="Calibri" panose="020F0502020204030204" pitchFamily="34" charset="0"/>
                        </a:defRPr>
                      </a:pPr>
                      <a:t>[CATEGORY NAME]</a:t>
                    </a:fld>
                    <a:r>
                      <a:rPr lang="en-US" sz="1100" baseline="0">
                        <a:solidFill>
                          <a:schemeClr val="tx1"/>
                        </a:solidFill>
                        <a:latin typeface="+mn-lt"/>
                      </a:rPr>
                      <a:t>
</a:t>
                    </a:r>
                    <a:fld id="{9FCC1CCD-F5BD-4D65-A1F5-94E5EC6F2E2A}" type="PERCENTAGE">
                      <a:rPr lang="en-US" sz="1100" baseline="0">
                        <a:solidFill>
                          <a:schemeClr val="tx1"/>
                        </a:solidFill>
                        <a:latin typeface="+mn-lt"/>
                      </a:rPr>
                      <a:pPr>
                        <a:defRPr sz="1100" b="1">
                          <a:solidFill>
                            <a:schemeClr val="tx1"/>
                          </a:solidFill>
                          <a:cs typeface="Calibri" panose="020F0502020204030204" pitchFamily="34" charset="0"/>
                        </a:defRPr>
                      </a:pPr>
                      <a:t>[PERCENTAGE]</a:t>
                    </a:fld>
                    <a:endParaRPr lang="en-US" sz="1100" baseline="0">
                      <a:solidFill>
                        <a:schemeClr val="tx1"/>
                      </a:solidFill>
                      <a:latin typeface="+mn-lt"/>
                    </a:endParaRPr>
                  </a:p>
                </c:rich>
              </c:tx>
              <c:spPr>
                <a:noFill/>
                <a:ln>
                  <a:noFill/>
                </a:ln>
                <a:effectLst/>
              </c:spPr>
              <c:txPr>
                <a:bodyPr rot="0" spcFirstLastPara="1" vertOverflow="ellipsis" vert="horz" wrap="square" lIns="38100" tIns="19050" rIns="38100" bIns="19050" anchor="ctr" anchorCtr="1">
                  <a:noAutofit/>
                </a:bodyPr>
                <a:lstStyle/>
                <a:p>
                  <a:pPr>
                    <a:defRPr sz="1100" b="1" i="0" u="none" strike="noStrike" kern="1200" baseline="0">
                      <a:solidFill>
                        <a:schemeClr val="tx1"/>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layout>
                    <c:manualLayout>
                      <c:w val="0.1426571488666461"/>
                      <c:h val="0.42160874830611866"/>
                    </c:manualLayout>
                  </c15:layout>
                  <c15:dlblFieldTable/>
                  <c15:showDataLabelsRange val="0"/>
                </c:ext>
                <c:ext xmlns:c16="http://schemas.microsoft.com/office/drawing/2014/chart" uri="{C3380CC4-5D6E-409C-BE32-E72D297353CC}">
                  <c16:uniqueId val="{00000001-6ABB-4782-BBBC-1C1B5D633A92}"/>
                </c:ext>
              </c:extLst>
            </c:dLbl>
            <c:dLbl>
              <c:idx val="1"/>
              <c:layout>
                <c:manualLayout>
                  <c:x val="-0.17789314505075404"/>
                  <c:y val="0.14293882218410517"/>
                </c:manualLayout>
              </c:layout>
              <c:tx>
                <c:rich>
                  <a:bodyPr rot="0" spcFirstLastPara="1" vertOverflow="ellipsis" vert="horz" wrap="square" lIns="38100" tIns="19050" rIns="38100" bIns="19050" anchor="ctr" anchorCtr="1">
                    <a:noAutofit/>
                  </a:bodyPr>
                  <a:lstStyle/>
                  <a:p>
                    <a:pPr>
                      <a:defRPr sz="1100" b="1" i="0" u="none" strike="noStrike" kern="1200" baseline="0">
                        <a:solidFill>
                          <a:sysClr val="windowText" lastClr="000000"/>
                        </a:solidFill>
                        <a:latin typeface="+mn-lt"/>
                        <a:ea typeface="+mn-ea"/>
                        <a:cs typeface="Calibri" panose="020F0502020204030204" pitchFamily="34" charset="0"/>
                      </a:defRPr>
                    </a:pPr>
                    <a:fld id="{9C704956-3D66-479E-A771-CB88A5C2A4C6}" type="CATEGORYNAME">
                      <a:rPr lang="en-US" sz="1100">
                        <a:solidFill>
                          <a:sysClr val="windowText" lastClr="000000"/>
                        </a:solidFill>
                        <a:latin typeface="+mn-lt"/>
                      </a:rPr>
                      <a:pPr>
                        <a:defRPr sz="1100" b="1">
                          <a:solidFill>
                            <a:sysClr val="windowText" lastClr="000000"/>
                          </a:solidFill>
                          <a:cs typeface="Calibri" panose="020F0502020204030204" pitchFamily="34" charset="0"/>
                        </a:defRPr>
                      </a:pPr>
                      <a:t>[CATEGORY NAME]</a:t>
                    </a:fld>
                    <a:r>
                      <a:rPr lang="en-US" sz="1100" baseline="0">
                        <a:solidFill>
                          <a:sysClr val="windowText" lastClr="000000"/>
                        </a:solidFill>
                        <a:latin typeface="+mn-lt"/>
                      </a:rPr>
                      <a:t>
</a:t>
                    </a:r>
                    <a:fld id="{7B132DC3-E187-49A1-A4FD-E27180FB3CB4}" type="PERCENTAGE">
                      <a:rPr lang="en-US" sz="1100" baseline="0">
                        <a:solidFill>
                          <a:sysClr val="windowText" lastClr="000000"/>
                        </a:solidFill>
                        <a:latin typeface="+mn-lt"/>
                      </a:rPr>
                      <a:pPr>
                        <a:defRPr sz="1100" b="1">
                          <a:solidFill>
                            <a:sysClr val="windowText" lastClr="000000"/>
                          </a:solidFill>
                          <a:cs typeface="Calibri" panose="020F0502020204030204" pitchFamily="34" charset="0"/>
                        </a:defRPr>
                      </a:pPr>
                      <a:t>[PERCENTAGE]</a:t>
                    </a:fld>
                    <a:endParaRPr lang="en-US" sz="1100" baseline="0">
                      <a:solidFill>
                        <a:sysClr val="windowText" lastClr="000000"/>
                      </a:solidFill>
                      <a:latin typeface="+mn-lt"/>
                    </a:endParaRPr>
                  </a:p>
                </c:rich>
              </c:tx>
              <c:spPr>
                <a:noFill/>
                <a:ln>
                  <a:noFill/>
                </a:ln>
                <a:effectLst/>
              </c:spPr>
              <c:txPr>
                <a:bodyPr rot="0" spcFirstLastPara="1" vertOverflow="ellipsis" vert="horz" wrap="square" lIns="38100" tIns="19050" rIns="38100" bIns="19050" anchor="ctr" anchorCtr="1">
                  <a:noAutofit/>
                </a:bodyPr>
                <a:lstStyle/>
                <a:p>
                  <a:pPr>
                    <a:defRPr sz="1100" b="1" i="0" u="none" strike="noStrike" kern="1200" baseline="0">
                      <a:solidFill>
                        <a:sysClr val="windowText" lastClr="000000"/>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layout>
                    <c:manualLayout>
                      <c:w val="0.16622636374782815"/>
                      <c:h val="0.30794739851343628"/>
                    </c:manualLayout>
                  </c15:layout>
                  <c15:dlblFieldTable/>
                  <c15:showDataLabelsRange val="0"/>
                </c:ext>
                <c:ext xmlns:c16="http://schemas.microsoft.com/office/drawing/2014/chart" uri="{C3380CC4-5D6E-409C-BE32-E72D297353CC}">
                  <c16:uniqueId val="{00000003-6ABB-4782-BBBC-1C1B5D633A92}"/>
                </c:ext>
              </c:extLst>
            </c:dLbl>
            <c:dLbl>
              <c:idx val="2"/>
              <c:layout>
                <c:manualLayout>
                  <c:x val="8.9126601294093846E-2"/>
                  <c:y val="-0.25157232704402516"/>
                </c:manualLayout>
              </c:layout>
              <c:tx>
                <c:rich>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mn-lt"/>
                        <a:ea typeface="+mn-ea"/>
                        <a:cs typeface="Calibri" panose="020F0502020204030204" pitchFamily="34" charset="0"/>
                      </a:defRPr>
                    </a:pPr>
                    <a:fld id="{DE812037-EBE3-4F2A-8ED1-1024D81F0AF4}" type="CATEGORYNAME">
                      <a:rPr lang="en-US" sz="1100">
                        <a:solidFill>
                          <a:schemeClr val="bg1"/>
                        </a:solidFill>
                        <a:latin typeface="+mn-lt"/>
                      </a:rPr>
                      <a:pPr>
                        <a:defRPr sz="1100" b="1">
                          <a:solidFill>
                            <a:schemeClr val="bg1"/>
                          </a:solidFill>
                          <a:cs typeface="Calibri" panose="020F0502020204030204" pitchFamily="34" charset="0"/>
                        </a:defRPr>
                      </a:pPr>
                      <a:t>[CATEGORY NAME]</a:t>
                    </a:fld>
                    <a:r>
                      <a:rPr lang="en-US" sz="1100" baseline="0">
                        <a:solidFill>
                          <a:schemeClr val="bg1"/>
                        </a:solidFill>
                        <a:latin typeface="+mn-lt"/>
                      </a:rPr>
                      <a:t>
</a:t>
                    </a:r>
                    <a:fld id="{B8553DCE-ABFA-48C4-83AC-E11F6F9F3A97}" type="PERCENTAGE">
                      <a:rPr lang="en-US" sz="1100" baseline="0">
                        <a:solidFill>
                          <a:schemeClr val="bg1"/>
                        </a:solidFill>
                        <a:latin typeface="+mn-lt"/>
                      </a:rPr>
                      <a:pPr>
                        <a:defRPr sz="1100" b="1">
                          <a:solidFill>
                            <a:schemeClr val="bg1"/>
                          </a:solidFill>
                          <a:cs typeface="Calibri" panose="020F0502020204030204" pitchFamily="34" charset="0"/>
                        </a:defRPr>
                      </a:pPr>
                      <a:t>[PERCENTAGE]</a:t>
                    </a:fld>
                    <a:endParaRPr lang="en-US" sz="1100" baseline="0">
                      <a:solidFill>
                        <a:schemeClr val="bg1"/>
                      </a:solidFill>
                      <a:latin typeface="+mn-lt"/>
                    </a:endParaRPr>
                  </a:p>
                </c:rich>
              </c:tx>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6ABB-4782-BBBC-1C1B5D633A92}"/>
                </c:ext>
              </c:extLst>
            </c:dLbl>
            <c:dLbl>
              <c:idx val="3"/>
              <c:layout>
                <c:manualLayout>
                  <c:x val="-2.254685881697379E-2"/>
                  <c:y val="0.1429388221841052"/>
                </c:manualLayout>
              </c:layout>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ysClr val="windowText" lastClr="000000"/>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6ABB-4782-BBBC-1C1B5D633A92}"/>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solidFill>
                    <a:latin typeface="+mn-lt"/>
                    <a:ea typeface="+mn-ea"/>
                    <a:cs typeface="Calibri" panose="020F0502020204030204" pitchFamily="34" charset="0"/>
                  </a:defRPr>
                </a:pPr>
                <a:endParaRPr lang="en-US"/>
              </a:p>
            </c:txPr>
            <c:dLblPos val="ctr"/>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Sheet1!$A$2:$A$5</c:f>
              <c:strCache>
                <c:ptCount val="4"/>
                <c:pt idx="0">
                  <c:v>Never or Rarely</c:v>
                </c:pt>
                <c:pt idx="1">
                  <c:v>Sometimes</c:v>
                </c:pt>
                <c:pt idx="2">
                  <c:v>Often</c:v>
                </c:pt>
                <c:pt idx="3">
                  <c:v>Always</c:v>
                </c:pt>
              </c:strCache>
            </c:strRef>
          </c:cat>
          <c:val>
            <c:numRef>
              <c:f>Sheet1!$B$2:$B$5</c:f>
              <c:numCache>
                <c:formatCode>0%</c:formatCode>
                <c:ptCount val="4"/>
                <c:pt idx="0">
                  <c:v>0.21</c:v>
                </c:pt>
                <c:pt idx="1">
                  <c:v>0.46</c:v>
                </c:pt>
                <c:pt idx="2">
                  <c:v>0.31</c:v>
                </c:pt>
                <c:pt idx="3">
                  <c:v>0.02</c:v>
                </c:pt>
              </c:numCache>
            </c:numRef>
          </c:val>
          <c:extLst>
            <c:ext xmlns:c16="http://schemas.microsoft.com/office/drawing/2014/chart" uri="{C3380CC4-5D6E-409C-BE32-E72D297353CC}">
              <c16:uniqueId val="{0000000A-6ABB-4782-BBBC-1C1B5D633A92}"/>
            </c:ext>
          </c:extLst>
        </c:ser>
        <c:dLbls>
          <c:showLegendKey val="0"/>
          <c:showVal val="0"/>
          <c:showCatName val="1"/>
          <c:showSerName val="0"/>
          <c:showPercent val="1"/>
          <c:showBubbleSize val="0"/>
          <c:showLeaderLines val="1"/>
        </c:dLbls>
        <c:firstSliceAng val="269"/>
      </c:pieChart>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9700021830731088"/>
          <c:y val="2.7188539682968402E-2"/>
          <c:w val="0.42048579856116541"/>
          <c:h val="0.94951896021573634"/>
        </c:manualLayout>
      </c:layout>
      <c:pieChart>
        <c:varyColors val="1"/>
        <c:ser>
          <c:idx val="0"/>
          <c:order val="0"/>
          <c:tx>
            <c:strRef>
              <c:f>Sheet1!$B$1</c:f>
              <c:strCache>
                <c:ptCount val="1"/>
                <c:pt idx="0">
                  <c:v>Agreement</c:v>
                </c:pt>
              </c:strCache>
            </c:strRef>
          </c:tx>
          <c:dPt>
            <c:idx val="0"/>
            <c:bubble3D val="0"/>
            <c:spPr>
              <a:solidFill>
                <a:srgbClr val="DCEAF7">
                  <a:alpha val="84706"/>
                </a:srgbClr>
              </a:solidFill>
              <a:ln w="19050">
                <a:solidFill>
                  <a:schemeClr val="lt1"/>
                </a:solidFill>
              </a:ln>
              <a:effectLst/>
            </c:spPr>
            <c:extLst>
              <c:ext xmlns:c16="http://schemas.microsoft.com/office/drawing/2014/chart" uri="{C3380CC4-5D6E-409C-BE32-E72D297353CC}">
                <c16:uniqueId val="{00000001-41BF-4F28-A446-C522B7C67DD5}"/>
              </c:ext>
            </c:extLst>
          </c:dPt>
          <c:dPt>
            <c:idx val="1"/>
            <c:bubble3D val="0"/>
            <c:spPr>
              <a:solidFill>
                <a:srgbClr val="4E95D9"/>
              </a:solidFill>
              <a:ln w="19050">
                <a:solidFill>
                  <a:schemeClr val="lt1"/>
                </a:solidFill>
              </a:ln>
              <a:effectLst/>
            </c:spPr>
            <c:extLst>
              <c:ext xmlns:c16="http://schemas.microsoft.com/office/drawing/2014/chart" uri="{C3380CC4-5D6E-409C-BE32-E72D297353CC}">
                <c16:uniqueId val="{00000003-41BF-4F28-A446-C522B7C67DD5}"/>
              </c:ext>
            </c:extLst>
          </c:dPt>
          <c:dPt>
            <c:idx val="2"/>
            <c:bubble3D val="0"/>
            <c:spPr>
              <a:solidFill>
                <a:srgbClr val="215F9A"/>
              </a:solidFill>
              <a:ln w="19050">
                <a:solidFill>
                  <a:schemeClr val="lt1"/>
                </a:solidFill>
              </a:ln>
              <a:effectLst/>
            </c:spPr>
            <c:extLst>
              <c:ext xmlns:c16="http://schemas.microsoft.com/office/drawing/2014/chart" uri="{C3380CC4-5D6E-409C-BE32-E72D297353CC}">
                <c16:uniqueId val="{00000005-41BF-4F28-A446-C522B7C67DD5}"/>
              </c:ext>
            </c:extLst>
          </c:dPt>
          <c:dPt>
            <c:idx val="3"/>
            <c:bubble3D val="0"/>
            <c:spPr>
              <a:solidFill>
                <a:srgbClr val="163E64"/>
              </a:solidFill>
              <a:ln w="19050">
                <a:solidFill>
                  <a:schemeClr val="lt1"/>
                </a:solidFill>
              </a:ln>
              <a:effectLst/>
            </c:spPr>
            <c:extLst>
              <c:ext xmlns:c16="http://schemas.microsoft.com/office/drawing/2014/chart" uri="{C3380CC4-5D6E-409C-BE32-E72D297353CC}">
                <c16:uniqueId val="{00000007-41BF-4F28-A446-C522B7C67DD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41BF-4F28-A446-C522B7C67DD5}"/>
              </c:ext>
            </c:extLst>
          </c:dPt>
          <c:dLbls>
            <c:dLbl>
              <c:idx val="0"/>
              <c:layout>
                <c:manualLayout>
                  <c:x val="6.7309427187533955E-3"/>
                  <c:y val="2.8587764436821039E-2"/>
                </c:manualLayout>
              </c:layout>
              <c:tx>
                <c:rich>
                  <a:bodyPr rot="0" spcFirstLastPara="1" vertOverflow="ellipsis" vert="horz" wrap="square" lIns="38100" tIns="19050" rIns="38100" bIns="19050" anchor="ctr" anchorCtr="1">
                    <a:noAutofit/>
                  </a:bodyPr>
                  <a:lstStyle/>
                  <a:p>
                    <a:pPr>
                      <a:defRPr sz="1100" b="1" i="0" u="none" strike="noStrike" kern="1200" baseline="0">
                        <a:solidFill>
                          <a:schemeClr val="tx1"/>
                        </a:solidFill>
                        <a:latin typeface="+mn-lt"/>
                        <a:ea typeface="+mn-ea"/>
                        <a:cs typeface="Calibri" panose="020F0502020204030204" pitchFamily="34" charset="0"/>
                      </a:defRPr>
                    </a:pPr>
                    <a:fld id="{60EC07AE-CCB1-450C-84EF-381BDBA41743}" type="CATEGORYNAME">
                      <a:rPr lang="en-US" sz="1100">
                        <a:solidFill>
                          <a:schemeClr val="tx1"/>
                        </a:solidFill>
                        <a:latin typeface="+mn-lt"/>
                      </a:rPr>
                      <a:pPr>
                        <a:defRPr sz="1100" b="1">
                          <a:solidFill>
                            <a:schemeClr val="tx1"/>
                          </a:solidFill>
                          <a:cs typeface="Calibri" panose="020F0502020204030204" pitchFamily="34" charset="0"/>
                        </a:defRPr>
                      </a:pPr>
                      <a:t>[CATEGORY NAME]</a:t>
                    </a:fld>
                    <a:r>
                      <a:rPr lang="en-US" sz="1100" baseline="0">
                        <a:solidFill>
                          <a:schemeClr val="tx1"/>
                        </a:solidFill>
                        <a:latin typeface="+mn-lt"/>
                      </a:rPr>
                      <a:t>
</a:t>
                    </a:r>
                    <a:fld id="{9FCC1CCD-F5BD-4D65-A1F5-94E5EC6F2E2A}" type="PERCENTAGE">
                      <a:rPr lang="en-US" sz="1100" baseline="0">
                        <a:solidFill>
                          <a:schemeClr val="tx1"/>
                        </a:solidFill>
                        <a:latin typeface="+mn-lt"/>
                      </a:rPr>
                      <a:pPr>
                        <a:defRPr sz="1100" b="1">
                          <a:solidFill>
                            <a:schemeClr val="tx1"/>
                          </a:solidFill>
                          <a:cs typeface="Calibri" panose="020F0502020204030204" pitchFamily="34" charset="0"/>
                        </a:defRPr>
                      </a:pPr>
                      <a:t>[PERCENTAGE]</a:t>
                    </a:fld>
                    <a:endParaRPr lang="en-US" sz="1100" baseline="0">
                      <a:solidFill>
                        <a:schemeClr val="tx1"/>
                      </a:solidFill>
                      <a:latin typeface="+mn-lt"/>
                    </a:endParaRPr>
                  </a:p>
                </c:rich>
              </c:tx>
              <c:spPr>
                <a:noFill/>
                <a:ln>
                  <a:noFill/>
                </a:ln>
                <a:effectLst/>
              </c:spPr>
              <c:txPr>
                <a:bodyPr rot="0" spcFirstLastPara="1" vertOverflow="ellipsis" vert="horz" wrap="square" lIns="38100" tIns="19050" rIns="38100" bIns="19050" anchor="ctr" anchorCtr="1">
                  <a:noAutofit/>
                </a:bodyPr>
                <a:lstStyle/>
                <a:p>
                  <a:pPr>
                    <a:defRPr sz="1100" b="1" i="0" u="none" strike="noStrike" kern="1200" baseline="0">
                      <a:solidFill>
                        <a:schemeClr val="tx1"/>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layout>
                    <c:manualLayout>
                      <c:w val="0.1426571488666461"/>
                      <c:h val="0.42160874830611866"/>
                    </c:manualLayout>
                  </c15:layout>
                  <c15:dlblFieldTable/>
                  <c15:showDataLabelsRange val="0"/>
                </c:ext>
                <c:ext xmlns:c16="http://schemas.microsoft.com/office/drawing/2014/chart" uri="{C3380CC4-5D6E-409C-BE32-E72D297353CC}">
                  <c16:uniqueId val="{00000001-41BF-4F28-A446-C522B7C67DD5}"/>
                </c:ext>
              </c:extLst>
            </c:dLbl>
            <c:dLbl>
              <c:idx val="1"/>
              <c:layout>
                <c:manualLayout>
                  <c:x val="-0.15257348433420756"/>
                  <c:y val="0.137221269296741"/>
                </c:manualLayout>
              </c:layout>
              <c:tx>
                <c:rich>
                  <a:bodyPr rot="0" spcFirstLastPara="1" vertOverflow="ellipsis" vert="horz" wrap="square" lIns="38100" tIns="19050" rIns="38100" bIns="19050" anchor="ctr" anchorCtr="1">
                    <a:noAutofit/>
                  </a:bodyPr>
                  <a:lstStyle/>
                  <a:p>
                    <a:pPr>
                      <a:defRPr sz="1100" b="1" i="0" u="none" strike="noStrike" kern="1200" baseline="0">
                        <a:solidFill>
                          <a:sysClr val="windowText" lastClr="000000"/>
                        </a:solidFill>
                        <a:latin typeface="+mn-lt"/>
                        <a:ea typeface="+mn-ea"/>
                        <a:cs typeface="Calibri" panose="020F0502020204030204" pitchFamily="34" charset="0"/>
                      </a:defRPr>
                    </a:pPr>
                    <a:fld id="{9C704956-3D66-479E-A771-CB88A5C2A4C6}" type="CATEGORYNAME">
                      <a:rPr lang="en-US" sz="1100">
                        <a:solidFill>
                          <a:sysClr val="windowText" lastClr="000000"/>
                        </a:solidFill>
                        <a:latin typeface="+mn-lt"/>
                      </a:rPr>
                      <a:pPr>
                        <a:defRPr sz="1100" b="1">
                          <a:solidFill>
                            <a:sysClr val="windowText" lastClr="000000"/>
                          </a:solidFill>
                          <a:cs typeface="Calibri" panose="020F0502020204030204" pitchFamily="34" charset="0"/>
                        </a:defRPr>
                      </a:pPr>
                      <a:t>[CATEGORY NAME]</a:t>
                    </a:fld>
                    <a:r>
                      <a:rPr lang="en-US" sz="1100" baseline="0">
                        <a:solidFill>
                          <a:sysClr val="windowText" lastClr="000000"/>
                        </a:solidFill>
                        <a:latin typeface="+mn-lt"/>
                      </a:rPr>
                      <a:t>
</a:t>
                    </a:r>
                    <a:fld id="{7B132DC3-E187-49A1-A4FD-E27180FB3CB4}" type="PERCENTAGE">
                      <a:rPr lang="en-US" sz="1100" baseline="0">
                        <a:solidFill>
                          <a:sysClr val="windowText" lastClr="000000"/>
                        </a:solidFill>
                        <a:latin typeface="+mn-lt"/>
                      </a:rPr>
                      <a:pPr>
                        <a:defRPr sz="1100" b="1">
                          <a:solidFill>
                            <a:sysClr val="windowText" lastClr="000000"/>
                          </a:solidFill>
                          <a:cs typeface="Calibri" panose="020F0502020204030204" pitchFamily="34" charset="0"/>
                        </a:defRPr>
                      </a:pPr>
                      <a:t>[PERCENTAGE]</a:t>
                    </a:fld>
                    <a:endParaRPr lang="en-US" sz="1100" baseline="0">
                      <a:solidFill>
                        <a:sysClr val="windowText" lastClr="000000"/>
                      </a:solidFill>
                      <a:latin typeface="+mn-lt"/>
                    </a:endParaRPr>
                  </a:p>
                </c:rich>
              </c:tx>
              <c:spPr>
                <a:noFill/>
                <a:ln>
                  <a:noFill/>
                </a:ln>
                <a:effectLst/>
              </c:spPr>
              <c:txPr>
                <a:bodyPr rot="0" spcFirstLastPara="1" vertOverflow="ellipsis" vert="horz" wrap="square" lIns="38100" tIns="19050" rIns="38100" bIns="19050" anchor="ctr" anchorCtr="1">
                  <a:noAutofit/>
                </a:bodyPr>
                <a:lstStyle/>
                <a:p>
                  <a:pPr>
                    <a:defRPr sz="1100" b="1" i="0" u="none" strike="noStrike" kern="1200" baseline="0">
                      <a:solidFill>
                        <a:sysClr val="windowText" lastClr="000000"/>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layout>
                    <c:manualLayout>
                      <c:w val="0.16622636374782815"/>
                      <c:h val="0.30794739851343628"/>
                    </c:manualLayout>
                  </c15:layout>
                  <c15:dlblFieldTable/>
                  <c15:showDataLabelsRange val="0"/>
                </c:ext>
                <c:ext xmlns:c16="http://schemas.microsoft.com/office/drawing/2014/chart" uri="{C3380CC4-5D6E-409C-BE32-E72D297353CC}">
                  <c16:uniqueId val="{00000003-41BF-4F28-A446-C522B7C67DD5}"/>
                </c:ext>
              </c:extLst>
            </c:dLbl>
            <c:dLbl>
              <c:idx val="2"/>
              <c:tx>
                <c:rich>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mn-lt"/>
                        <a:ea typeface="+mn-ea"/>
                        <a:cs typeface="Calibri" panose="020F0502020204030204" pitchFamily="34" charset="0"/>
                      </a:defRPr>
                    </a:pPr>
                    <a:fld id="{DE812037-EBE3-4F2A-8ED1-1024D81F0AF4}" type="CATEGORYNAME">
                      <a:rPr lang="en-US" sz="1100">
                        <a:solidFill>
                          <a:schemeClr val="bg1"/>
                        </a:solidFill>
                        <a:latin typeface="+mn-lt"/>
                      </a:rPr>
                      <a:pPr>
                        <a:defRPr sz="1100" b="1">
                          <a:solidFill>
                            <a:schemeClr val="bg1"/>
                          </a:solidFill>
                          <a:cs typeface="Calibri" panose="020F0502020204030204" pitchFamily="34" charset="0"/>
                        </a:defRPr>
                      </a:pPr>
                      <a:t>[CATEGORY NAME]</a:t>
                    </a:fld>
                    <a:r>
                      <a:rPr lang="en-US" sz="1100" baseline="0">
                        <a:solidFill>
                          <a:schemeClr val="bg1"/>
                        </a:solidFill>
                        <a:latin typeface="+mn-lt"/>
                      </a:rPr>
                      <a:t>
</a:t>
                    </a:r>
                    <a:fld id="{B8553DCE-ABFA-48C4-83AC-E11F6F9F3A97}" type="PERCENTAGE">
                      <a:rPr lang="en-US" sz="1100" baseline="0">
                        <a:solidFill>
                          <a:schemeClr val="bg1"/>
                        </a:solidFill>
                        <a:latin typeface="+mn-lt"/>
                      </a:rPr>
                      <a:pPr>
                        <a:defRPr sz="1100" b="1">
                          <a:solidFill>
                            <a:schemeClr val="bg1"/>
                          </a:solidFill>
                          <a:cs typeface="Calibri" panose="020F0502020204030204" pitchFamily="34" charset="0"/>
                        </a:defRPr>
                      </a:pPr>
                      <a:t>[PERCENTAGE]</a:t>
                    </a:fld>
                    <a:endParaRPr lang="en-US" sz="1100" baseline="0">
                      <a:solidFill>
                        <a:schemeClr val="bg1"/>
                      </a:solidFill>
                      <a:latin typeface="+mn-lt"/>
                    </a:endParaRPr>
                  </a:p>
                </c:rich>
              </c:tx>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mn-lt"/>
                      <a:ea typeface="+mn-ea"/>
                      <a:cs typeface="Calibri" panose="020F0502020204030204" pitchFamily="34" charset="0"/>
                    </a:defRPr>
                  </a:pPr>
                  <a:endParaRPr lang="en-US"/>
                </a:p>
              </c:txPr>
              <c:dLblPos val="ctr"/>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41BF-4F28-A446-C522B7C67DD5}"/>
                </c:ext>
              </c:extLst>
            </c:dLbl>
            <c:dLbl>
              <c:idx val="3"/>
              <c:layout>
                <c:manualLayout>
                  <c:x val="-2.254685881697379E-2"/>
                  <c:y val="0.1429388221841052"/>
                </c:manualLayout>
              </c:layout>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ysClr val="windowText" lastClr="000000"/>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41BF-4F28-A446-C522B7C67DD5}"/>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solidFill>
                    <a:latin typeface="+mn-lt"/>
                    <a:ea typeface="+mn-ea"/>
                    <a:cs typeface="Calibri" panose="020F0502020204030204" pitchFamily="34" charset="0"/>
                  </a:defRPr>
                </a:pPr>
                <a:endParaRPr lang="en-US"/>
              </a:p>
            </c:txPr>
            <c:dLblPos val="ctr"/>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Sheet1!$A$2:$A$5</c:f>
              <c:strCache>
                <c:ptCount val="4"/>
                <c:pt idx="0">
                  <c:v>Strongly Disagree</c:v>
                </c:pt>
                <c:pt idx="1">
                  <c:v>Disagree</c:v>
                </c:pt>
                <c:pt idx="2">
                  <c:v>Agree</c:v>
                </c:pt>
                <c:pt idx="3">
                  <c:v>Strongly Agree</c:v>
                </c:pt>
              </c:strCache>
            </c:strRef>
          </c:cat>
          <c:val>
            <c:numRef>
              <c:f>Sheet1!$B$2:$B$5</c:f>
              <c:numCache>
                <c:formatCode>0%</c:formatCode>
                <c:ptCount val="4"/>
                <c:pt idx="0">
                  <c:v>0.14000000000000001</c:v>
                </c:pt>
                <c:pt idx="1">
                  <c:v>0.48</c:v>
                </c:pt>
                <c:pt idx="2">
                  <c:v>0.32</c:v>
                </c:pt>
                <c:pt idx="3">
                  <c:v>0.06</c:v>
                </c:pt>
              </c:numCache>
            </c:numRef>
          </c:val>
          <c:extLst>
            <c:ext xmlns:c16="http://schemas.microsoft.com/office/drawing/2014/chart" uri="{C3380CC4-5D6E-409C-BE32-E72D297353CC}">
              <c16:uniqueId val="{0000000A-41BF-4F28-A446-C522B7C67DD5}"/>
            </c:ext>
          </c:extLst>
        </c:ser>
        <c:dLbls>
          <c:showLegendKey val="0"/>
          <c:showVal val="0"/>
          <c:showCatName val="1"/>
          <c:showSerName val="0"/>
          <c:showPercent val="1"/>
          <c:showBubbleSize val="0"/>
          <c:showLeaderLines val="1"/>
        </c:dLbls>
        <c:firstSliceAng val="270"/>
      </c:pieChart>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6683417177019537"/>
          <c:y val="1.7044804975204782E-2"/>
          <c:w val="0.50682883846539006"/>
          <c:h val="0.94030921448387939"/>
        </c:manualLayout>
      </c:layout>
      <c:barChart>
        <c:barDir val="bar"/>
        <c:grouping val="clustered"/>
        <c:varyColors val="0"/>
        <c:ser>
          <c:idx val="0"/>
          <c:order val="0"/>
          <c:tx>
            <c:strRef>
              <c:f>Sheet1!$B$1</c:f>
              <c:strCache>
                <c:ptCount val="1"/>
                <c:pt idx="0">
                  <c:v>Series 1</c:v>
                </c:pt>
              </c:strCache>
            </c:strRef>
          </c:tx>
          <c:spPr>
            <a:solidFill>
              <a:srgbClr val="2263A0"/>
            </a:solidFill>
            <a:ln>
              <a:noFill/>
            </a:ln>
            <a:effectLst/>
          </c:spPr>
          <c:invertIfNegative val="0"/>
          <c:dPt>
            <c:idx val="10"/>
            <c:invertIfNegative val="0"/>
            <c:bubble3D val="0"/>
            <c:spPr>
              <a:solidFill>
                <a:srgbClr val="2263A0"/>
              </a:solidFill>
              <a:ln>
                <a:noFill/>
              </a:ln>
              <a:effectLst/>
            </c:spPr>
            <c:extLst>
              <c:ext xmlns:c16="http://schemas.microsoft.com/office/drawing/2014/chart" uri="{C3380CC4-5D6E-409C-BE32-E72D297353CC}">
                <c16:uniqueId val="{00000001-00FA-4756-B8EF-B5EEE7B8BBCB}"/>
              </c:ext>
            </c:extLst>
          </c:dPt>
          <c:dPt>
            <c:idx val="11"/>
            <c:invertIfNegative val="0"/>
            <c:bubble3D val="0"/>
            <c:spPr>
              <a:solidFill>
                <a:srgbClr val="2263A0"/>
              </a:solidFill>
              <a:ln>
                <a:noFill/>
              </a:ln>
              <a:effectLst/>
            </c:spPr>
            <c:extLst>
              <c:ext xmlns:c16="http://schemas.microsoft.com/office/drawing/2014/chart" uri="{C3380CC4-5D6E-409C-BE32-E72D297353CC}">
                <c16:uniqueId val="{00000003-00FA-4756-B8EF-B5EEE7B8BBCB}"/>
              </c:ext>
            </c:extLst>
          </c:dPt>
          <c:dLbls>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Sheet1!$A$2:$A$10</c:f>
              <c:strCache>
                <c:ptCount val="9"/>
                <c:pt idx="0">
                  <c:v>Other</c:v>
                </c:pt>
                <c:pt idx="1">
                  <c:v>Stigma associated with using accessible formats</c:v>
                </c:pt>
                <c:pt idx="2">
                  <c:v>Accessible formats that are available but of poor quality</c:v>
                </c:pt>
                <c:pt idx="3">
                  <c:v>Students do not know how to use some accessible formats</c:v>
                </c:pt>
                <c:pt idx="4">
                  <c:v>Use of “backup” materials as students wait for appropriate accessible formats</c:v>
                </c:pt>
                <c:pt idx="5">
                  <c:v>Some accessible formats can be cumbersome when using and transporting</c:v>
                </c:pt>
                <c:pt idx="6">
                  <c:v>Lack of availability of assistive technology (AT), such as a refreshable braille device</c:v>
                </c:pt>
                <c:pt idx="7">
                  <c:v>Pressure on teachers to use most readily-available/least expensive format</c:v>
                </c:pt>
                <c:pt idx="8">
                  <c:v>Lack of instructional support for students to effectively use the accessible formats</c:v>
                </c:pt>
              </c:strCache>
            </c:strRef>
          </c:cat>
          <c:val>
            <c:numRef>
              <c:f>Sheet1!$B$2:$B$10</c:f>
              <c:numCache>
                <c:formatCode>0%</c:formatCode>
                <c:ptCount val="9"/>
                <c:pt idx="0">
                  <c:v>0.15770000000000001</c:v>
                </c:pt>
                <c:pt idx="1">
                  <c:v>0.37840000000000001</c:v>
                </c:pt>
                <c:pt idx="2">
                  <c:v>0.44140000000000001</c:v>
                </c:pt>
                <c:pt idx="3">
                  <c:v>0.49</c:v>
                </c:pt>
                <c:pt idx="4">
                  <c:v>0.49</c:v>
                </c:pt>
                <c:pt idx="5">
                  <c:v>0.52249999999999996</c:v>
                </c:pt>
                <c:pt idx="6">
                  <c:v>0.53600000000000003</c:v>
                </c:pt>
                <c:pt idx="7">
                  <c:v>0.54500000000000004</c:v>
                </c:pt>
                <c:pt idx="8">
                  <c:v>0.62160000000000004</c:v>
                </c:pt>
              </c:numCache>
            </c:numRef>
          </c:val>
          <c:extLst>
            <c:ext xmlns:c16="http://schemas.microsoft.com/office/drawing/2014/chart" uri="{C3380CC4-5D6E-409C-BE32-E72D297353CC}">
              <c16:uniqueId val="{00000004-00FA-4756-B8EF-B5EEE7B8BBCB}"/>
            </c:ext>
          </c:extLst>
        </c:ser>
        <c:dLbls>
          <c:dLblPos val="outEnd"/>
          <c:showLegendKey val="0"/>
          <c:showVal val="1"/>
          <c:showCatName val="0"/>
          <c:showSerName val="0"/>
          <c:showPercent val="0"/>
          <c:showBubbleSize val="0"/>
        </c:dLbls>
        <c:gapWidth val="100"/>
        <c:axId val="1268204576"/>
        <c:axId val="1268204992"/>
      </c:barChart>
      <c:catAx>
        <c:axId val="126820457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268204992"/>
        <c:crosses val="autoZero"/>
        <c:auto val="1"/>
        <c:lblAlgn val="ctr"/>
        <c:lblOffset val="100"/>
        <c:noMultiLvlLbl val="0"/>
      </c:catAx>
      <c:valAx>
        <c:axId val="1268204992"/>
        <c:scaling>
          <c:orientation val="minMax"/>
        </c:scaling>
        <c:delete val="1"/>
        <c:axPos val="b"/>
        <c:numFmt formatCode="0%" sourceLinked="1"/>
        <c:majorTickMark val="none"/>
        <c:minorTickMark val="none"/>
        <c:tickLblPos val="nextTo"/>
        <c:crossAx val="1268204576"/>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3.6087901793998504E-2"/>
          <c:y val="2.7131154060287918E-2"/>
          <c:w val="0.96391209820600154"/>
          <c:h val="0.66247711763302319"/>
        </c:manualLayout>
      </c:layout>
      <c:barChart>
        <c:barDir val="col"/>
        <c:grouping val="clustered"/>
        <c:varyColors val="0"/>
        <c:ser>
          <c:idx val="2"/>
          <c:order val="0"/>
          <c:tx>
            <c:strRef>
              <c:f>Sheet1!$B$1</c:f>
              <c:strCache>
                <c:ptCount val="1"/>
                <c:pt idx="0">
                  <c:v>National Survey
(n = 75)</c:v>
                </c:pt>
              </c:strCache>
            </c:strRef>
          </c:tx>
          <c:spPr>
            <a:solidFill>
              <a:srgbClr val="1A1A1A"/>
            </a:solidFill>
            <a:ln>
              <a:solidFill>
                <a:schemeClr val="tx2">
                  <a:lumMod val="90000"/>
                  <a:lumOff val="10000"/>
                </a:schemeClr>
              </a:solidFill>
            </a:ln>
            <a:effectLst/>
          </c:spPr>
          <c:invertIfNegative val="0"/>
          <c:dPt>
            <c:idx val="0"/>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1-1561-4410-B3EA-B8B88DBBC5F7}"/>
              </c:ext>
            </c:extLst>
          </c:dPt>
          <c:dPt>
            <c:idx val="1"/>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3-1561-4410-B3EA-B8B88DBBC5F7}"/>
              </c:ext>
            </c:extLst>
          </c:dPt>
          <c:dPt>
            <c:idx val="2"/>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5-1561-4410-B3EA-B8B88DBBC5F7}"/>
              </c:ext>
            </c:extLst>
          </c:dPt>
          <c:dLbls>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Lack of availability of assistive technology (AT), such as a refreshable braille device</c:v>
                </c:pt>
                <c:pt idx="1">
                  <c:v>Lack of instructional support for students to effectively use the accessible formats</c:v>
                </c:pt>
              </c:strCache>
            </c:strRef>
          </c:cat>
          <c:val>
            <c:numRef>
              <c:f>Sheet1!$B$2:$B$3</c:f>
              <c:numCache>
                <c:formatCode>0%</c:formatCode>
                <c:ptCount val="2"/>
                <c:pt idx="0">
                  <c:v>0.43</c:v>
                </c:pt>
                <c:pt idx="1">
                  <c:v>0.65</c:v>
                </c:pt>
              </c:numCache>
            </c:numRef>
          </c:val>
          <c:extLst>
            <c:ext xmlns:c16="http://schemas.microsoft.com/office/drawing/2014/chart" uri="{C3380CC4-5D6E-409C-BE32-E72D297353CC}">
              <c16:uniqueId val="{00000006-1561-4410-B3EA-B8B88DBBC5F7}"/>
            </c:ext>
          </c:extLst>
        </c:ser>
        <c:ser>
          <c:idx val="0"/>
          <c:order val="1"/>
          <c:tx>
            <c:strRef>
              <c:f>Sheet1!$C$1</c:f>
              <c:strCache>
                <c:ptCount val="1"/>
                <c:pt idx="0">
                  <c:v>OH 
(n = 77)</c:v>
                </c:pt>
              </c:strCache>
            </c:strRef>
          </c:tx>
          <c:spPr>
            <a:solidFill>
              <a:srgbClr val="B05227"/>
            </a:solidFill>
            <a:ln w="9525">
              <a:solidFill>
                <a:sysClr val="window" lastClr="FFFFFF"/>
              </a:solidFill>
            </a:ln>
            <a:effectLst/>
          </c:spPr>
          <c:invertIfNegative val="0"/>
          <c:dPt>
            <c:idx val="0"/>
            <c:invertIfNegative val="0"/>
            <c:bubble3D val="0"/>
            <c:spPr>
              <a:solidFill>
                <a:srgbClr val="B05227"/>
              </a:solidFill>
              <a:ln w="9525">
                <a:solidFill>
                  <a:sysClr val="window" lastClr="FFFFFF"/>
                </a:solidFill>
              </a:ln>
              <a:effectLst/>
            </c:spPr>
            <c:extLst>
              <c:ext xmlns:c16="http://schemas.microsoft.com/office/drawing/2014/chart" uri="{C3380CC4-5D6E-409C-BE32-E72D297353CC}">
                <c16:uniqueId val="{00000008-1561-4410-B3EA-B8B88DBBC5F7}"/>
              </c:ext>
            </c:extLst>
          </c:dPt>
          <c:dLbls>
            <c:dLbl>
              <c:idx val="0"/>
              <c:tx>
                <c:rich>
                  <a:bodyPr/>
                  <a:lstStyle/>
                  <a:p>
                    <a:fld id="{2BBB892D-0651-4925-9568-2749FA6BCE38}" type="VALUE">
                      <a:rPr lang="en-US"/>
                      <a:pPr/>
                      <a:t>[VALUE]</a:t>
                    </a:fld>
                    <a:endParaRPr lang="en-US"/>
                  </a:p>
                  <a:p>
                    <a:r>
                      <a:rPr lang="en-US"/>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8-1561-4410-B3EA-B8B88DBBC5F7}"/>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Lack of availability of assistive technology (AT), such as a refreshable braille device</c:v>
                </c:pt>
                <c:pt idx="1">
                  <c:v>Lack of instructional support for students to effectively use the accessible formats</c:v>
                </c:pt>
              </c:strCache>
            </c:strRef>
          </c:cat>
          <c:val>
            <c:numRef>
              <c:f>Sheet1!$C$2:$C$3</c:f>
              <c:numCache>
                <c:formatCode>0%</c:formatCode>
                <c:ptCount val="2"/>
                <c:pt idx="0">
                  <c:v>0.7</c:v>
                </c:pt>
                <c:pt idx="1">
                  <c:v>0.7</c:v>
                </c:pt>
              </c:numCache>
            </c:numRef>
          </c:val>
          <c:extLst>
            <c:ext xmlns:c16="http://schemas.microsoft.com/office/drawing/2014/chart" uri="{C3380CC4-5D6E-409C-BE32-E72D297353CC}">
              <c16:uniqueId val="{00000009-1561-4410-B3EA-B8B88DBBC5F7}"/>
            </c:ext>
          </c:extLst>
        </c:ser>
        <c:ser>
          <c:idx val="3"/>
          <c:order val="2"/>
          <c:tx>
            <c:strRef>
              <c:f>Sheet1!$D$1</c:f>
              <c:strCache>
                <c:ptCount val="1"/>
                <c:pt idx="0">
                  <c:v>OR
(n = 40)</c:v>
                </c:pt>
              </c:strCache>
            </c:strRef>
          </c:tx>
          <c:spPr>
            <a:solidFill>
              <a:srgbClr val="1F5A92"/>
            </a:solidFill>
            <a:ln>
              <a:noFill/>
            </a:ln>
            <a:effectLst/>
          </c:spPr>
          <c:invertIfNegative val="0"/>
          <c:dLbls>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Lack of availability of assistive technology (AT), such as a refreshable braille device</c:v>
                </c:pt>
                <c:pt idx="1">
                  <c:v>Lack of instructional support for students to effectively use the accessible formats</c:v>
                </c:pt>
              </c:strCache>
            </c:strRef>
          </c:cat>
          <c:val>
            <c:numRef>
              <c:f>Sheet1!$D$2:$D$3</c:f>
              <c:numCache>
                <c:formatCode>0%</c:formatCode>
                <c:ptCount val="2"/>
                <c:pt idx="0">
                  <c:v>0.55000000000000004</c:v>
                </c:pt>
                <c:pt idx="1">
                  <c:v>0.57999999999999996</c:v>
                </c:pt>
              </c:numCache>
            </c:numRef>
          </c:val>
          <c:extLst>
            <c:ext xmlns:c16="http://schemas.microsoft.com/office/drawing/2014/chart" uri="{C3380CC4-5D6E-409C-BE32-E72D297353CC}">
              <c16:uniqueId val="{0000000A-1561-4410-B3EA-B8B88DBBC5F7}"/>
            </c:ext>
          </c:extLst>
        </c:ser>
        <c:ser>
          <c:idx val="1"/>
          <c:order val="3"/>
          <c:tx>
            <c:strRef>
              <c:f>Sheet1!$E$1</c:f>
              <c:strCache>
                <c:ptCount val="1"/>
                <c:pt idx="0">
                  <c:v>UT
(n= 30)</c:v>
                </c:pt>
              </c:strCache>
            </c:strRef>
          </c:tx>
          <c:spPr>
            <a:solidFill>
              <a:srgbClr val="6A1B9A"/>
            </a:solidFill>
            <a:ln>
              <a:noFill/>
            </a:ln>
            <a:effectLst/>
          </c:spPr>
          <c:invertIfNegative val="0"/>
          <c:dLbls>
            <c:dLbl>
              <c:idx val="1"/>
              <c:tx>
                <c:rich>
                  <a:bodyPr/>
                  <a:lstStyle/>
                  <a:p>
                    <a:fld id="{A8DF74C6-1DA1-4147-8ED7-80E351A1F3C9}" type="VALUE">
                      <a:rPr lang="en-US"/>
                      <a:pPr/>
                      <a:t>[VALUE]</a:t>
                    </a:fld>
                    <a:endParaRPr lang="en-US"/>
                  </a:p>
                  <a:p>
                    <a:r>
                      <a:rPr lang="en-US"/>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C-1561-4410-B3EA-B8B88DBBC5F7}"/>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Lack of availability of assistive technology (AT), such as a refreshable braille device</c:v>
                </c:pt>
                <c:pt idx="1">
                  <c:v>Lack of instructional support for students to effectively use the accessible formats</c:v>
                </c:pt>
              </c:strCache>
            </c:strRef>
          </c:cat>
          <c:val>
            <c:numRef>
              <c:f>Sheet1!$E$2:$E$3</c:f>
              <c:numCache>
                <c:formatCode>0%</c:formatCode>
                <c:ptCount val="2"/>
                <c:pt idx="0">
                  <c:v>0.37</c:v>
                </c:pt>
                <c:pt idx="1">
                  <c:v>0.4</c:v>
                </c:pt>
              </c:numCache>
            </c:numRef>
          </c:val>
          <c:extLst>
            <c:ext xmlns:c16="http://schemas.microsoft.com/office/drawing/2014/chart" uri="{C3380CC4-5D6E-409C-BE32-E72D297353CC}">
              <c16:uniqueId val="{0000000B-1561-4410-B3EA-B8B88DBBC5F7}"/>
            </c:ext>
          </c:extLst>
        </c:ser>
        <c:dLbls>
          <c:showLegendKey val="0"/>
          <c:showVal val="0"/>
          <c:showCatName val="0"/>
          <c:showSerName val="0"/>
          <c:showPercent val="0"/>
          <c:showBubbleSize val="0"/>
        </c:dLbls>
        <c:gapWidth val="100"/>
        <c:overlap val="-69"/>
        <c:axId val="1677196128"/>
        <c:axId val="1677185088"/>
      </c:barChart>
      <c:catAx>
        <c:axId val="1677196128"/>
        <c:scaling>
          <c:orientation val="minMax"/>
        </c:scaling>
        <c:delete val="0"/>
        <c:axPos val="b"/>
        <c:numFmt formatCode="General" sourceLinked="1"/>
        <c:majorTickMark val="none"/>
        <c:minorTickMark val="none"/>
        <c:tickLblPos val="nextTo"/>
        <c:spPr>
          <a:noFill/>
          <a:ln w="9525" cap="flat" cmpd="sng" algn="ctr">
            <a:solidFill>
              <a:schemeClr val="bg2"/>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677185088"/>
        <c:crosses val="autoZero"/>
        <c:auto val="1"/>
        <c:lblAlgn val="ctr"/>
        <c:lblOffset val="100"/>
        <c:tickMarkSkip val="1"/>
        <c:noMultiLvlLbl val="0"/>
      </c:catAx>
      <c:valAx>
        <c:axId val="1677185088"/>
        <c:scaling>
          <c:orientation val="minMax"/>
          <c:max val="1"/>
          <c:min val="0"/>
        </c:scaling>
        <c:delete val="0"/>
        <c:axPos val="l"/>
        <c:numFmt formatCode="0%" sourceLinked="0"/>
        <c:majorTickMark val="none"/>
        <c:minorTickMark val="none"/>
        <c:tickLblPos val="nextTo"/>
        <c:spPr>
          <a:noFill/>
          <a:ln>
            <a:solidFill>
              <a:schemeClr val="bg2"/>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677196128"/>
        <c:crosses val="autoZero"/>
        <c:crossBetween val="between"/>
        <c:majorUnit val="0.25"/>
      </c:valAx>
      <c:spPr>
        <a:noFill/>
        <a:ln w="25400">
          <a:noFill/>
        </a:ln>
        <a:effectLst/>
      </c:spPr>
    </c:plotArea>
    <c:legend>
      <c:legendPos val="b"/>
      <c:layout>
        <c:manualLayout>
          <c:xMode val="edge"/>
          <c:yMode val="edge"/>
          <c:x val="0.22474258957753421"/>
          <c:y val="0.83807287892694382"/>
          <c:w val="0.61677775398649826"/>
          <c:h val="0.13329726422234031"/>
        </c:manualLayout>
      </c:layout>
      <c:overlay val="1"/>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1100"/>
      </a:pPr>
      <a:endParaRPr lang="en-US"/>
    </a:p>
  </c:txPr>
  <c:externalData r:id="rId4">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6683417177019537"/>
          <c:y val="1.7044804975204782E-2"/>
          <c:w val="0.50682883846539006"/>
          <c:h val="0.94030921448387939"/>
        </c:manualLayout>
      </c:layout>
      <c:barChart>
        <c:barDir val="bar"/>
        <c:grouping val="clustered"/>
        <c:varyColors val="0"/>
        <c:ser>
          <c:idx val="0"/>
          <c:order val="0"/>
          <c:tx>
            <c:strRef>
              <c:f>Sheet1!$B$1</c:f>
              <c:strCache>
                <c:ptCount val="1"/>
                <c:pt idx="0">
                  <c:v>Series 1</c:v>
                </c:pt>
              </c:strCache>
            </c:strRef>
          </c:tx>
          <c:spPr>
            <a:solidFill>
              <a:srgbClr val="2263A0"/>
            </a:solidFill>
            <a:ln>
              <a:noFill/>
            </a:ln>
            <a:effectLst/>
          </c:spPr>
          <c:invertIfNegative val="0"/>
          <c:dPt>
            <c:idx val="10"/>
            <c:invertIfNegative val="0"/>
            <c:bubble3D val="0"/>
            <c:spPr>
              <a:solidFill>
                <a:srgbClr val="2263A0"/>
              </a:solidFill>
              <a:ln>
                <a:noFill/>
              </a:ln>
              <a:effectLst/>
            </c:spPr>
            <c:extLst>
              <c:ext xmlns:c16="http://schemas.microsoft.com/office/drawing/2014/chart" uri="{C3380CC4-5D6E-409C-BE32-E72D297353CC}">
                <c16:uniqueId val="{00000001-867A-4CDE-953B-987961FA9EFA}"/>
              </c:ext>
            </c:extLst>
          </c:dPt>
          <c:dPt>
            <c:idx val="11"/>
            <c:invertIfNegative val="0"/>
            <c:bubble3D val="0"/>
            <c:spPr>
              <a:solidFill>
                <a:srgbClr val="2263A0"/>
              </a:solidFill>
              <a:ln>
                <a:noFill/>
              </a:ln>
              <a:effectLst/>
            </c:spPr>
            <c:extLst>
              <c:ext xmlns:c16="http://schemas.microsoft.com/office/drawing/2014/chart" uri="{C3380CC4-5D6E-409C-BE32-E72D297353CC}">
                <c16:uniqueId val="{00000003-867A-4CDE-953B-987961FA9EFA}"/>
              </c:ext>
            </c:extLst>
          </c:dPt>
          <c:dLbls>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Other</c:v>
                </c:pt>
                <c:pt idx="1">
                  <c:v>Accessible Media Producers (AMPs) submit data to Louis Database of Accessible Materials, so it is searchable nationwide</c:v>
                </c:pt>
                <c:pt idx="2">
                  <c:v>Practices/processes that provide students with portions of accessible formats when only portions of the material are being used in the classroom</c:v>
                </c:pt>
                <c:pt idx="3">
                  <c:v>Practices/processes that provide students with portions of accessible formats while waiting for the full textbook to be completed</c:v>
                </c:pt>
                <c:pt idx="4">
                  <c:v>Use of the national Louis Database of Accessible Materials to quickly locate accessible formats</c:v>
                </c:pt>
                <c:pt idx="5">
                  <c:v>Accessible formats are already available at a central location in the state or district for immediate distribution</c:v>
                </c:pt>
              </c:strCache>
            </c:strRef>
          </c:cat>
          <c:val>
            <c:numRef>
              <c:f>Sheet1!$B$2:$B$7</c:f>
              <c:numCache>
                <c:formatCode>0%</c:formatCode>
                <c:ptCount val="6"/>
                <c:pt idx="0">
                  <c:v>5.8400000000000001E-2</c:v>
                </c:pt>
                <c:pt idx="1">
                  <c:v>0.49349999999999999</c:v>
                </c:pt>
                <c:pt idx="2">
                  <c:v>0.51949999999999996</c:v>
                </c:pt>
                <c:pt idx="3">
                  <c:v>0.60389999999999999</c:v>
                </c:pt>
                <c:pt idx="4">
                  <c:v>0.6169</c:v>
                </c:pt>
                <c:pt idx="5">
                  <c:v>0.70779999999999998</c:v>
                </c:pt>
              </c:numCache>
            </c:numRef>
          </c:val>
          <c:extLst>
            <c:ext xmlns:c16="http://schemas.microsoft.com/office/drawing/2014/chart" uri="{C3380CC4-5D6E-409C-BE32-E72D297353CC}">
              <c16:uniqueId val="{00000004-867A-4CDE-953B-987961FA9EFA}"/>
            </c:ext>
          </c:extLst>
        </c:ser>
        <c:dLbls>
          <c:dLblPos val="outEnd"/>
          <c:showLegendKey val="0"/>
          <c:showVal val="1"/>
          <c:showCatName val="0"/>
          <c:showSerName val="0"/>
          <c:showPercent val="0"/>
          <c:showBubbleSize val="0"/>
        </c:dLbls>
        <c:gapWidth val="100"/>
        <c:axId val="1268204576"/>
        <c:axId val="1268204992"/>
      </c:barChart>
      <c:catAx>
        <c:axId val="126820457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268204992"/>
        <c:crosses val="autoZero"/>
        <c:auto val="1"/>
        <c:lblAlgn val="ctr"/>
        <c:lblOffset val="100"/>
        <c:noMultiLvlLbl val="0"/>
      </c:catAx>
      <c:valAx>
        <c:axId val="1268204992"/>
        <c:scaling>
          <c:orientation val="minMax"/>
        </c:scaling>
        <c:delete val="1"/>
        <c:axPos val="b"/>
        <c:numFmt formatCode="0%" sourceLinked="1"/>
        <c:majorTickMark val="none"/>
        <c:minorTickMark val="none"/>
        <c:tickLblPos val="nextTo"/>
        <c:crossAx val="1268204576"/>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3.6087901793998504E-2"/>
          <c:y val="2.7131154060287918E-2"/>
          <c:w val="0.96391209820600154"/>
          <c:h val="0.66247711763302319"/>
        </c:manualLayout>
      </c:layout>
      <c:barChart>
        <c:barDir val="col"/>
        <c:grouping val="clustered"/>
        <c:varyColors val="0"/>
        <c:ser>
          <c:idx val="2"/>
          <c:order val="0"/>
          <c:tx>
            <c:strRef>
              <c:f>Sheet1!$B$1</c:f>
              <c:strCache>
                <c:ptCount val="1"/>
                <c:pt idx="0">
                  <c:v>National Survey
(n = 67)</c:v>
                </c:pt>
              </c:strCache>
            </c:strRef>
          </c:tx>
          <c:spPr>
            <a:solidFill>
              <a:srgbClr val="1A1A1A"/>
            </a:solidFill>
            <a:ln>
              <a:solidFill>
                <a:schemeClr val="tx2">
                  <a:lumMod val="90000"/>
                  <a:lumOff val="10000"/>
                </a:schemeClr>
              </a:solidFill>
            </a:ln>
            <a:effectLst/>
          </c:spPr>
          <c:invertIfNegative val="0"/>
          <c:dPt>
            <c:idx val="0"/>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1-7B90-4C87-81B8-BD78F3A57446}"/>
              </c:ext>
            </c:extLst>
          </c:dPt>
          <c:dPt>
            <c:idx val="1"/>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3-7B90-4C87-81B8-BD78F3A57446}"/>
              </c:ext>
            </c:extLst>
          </c:dPt>
          <c:dPt>
            <c:idx val="2"/>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5-7B90-4C87-81B8-BD78F3A57446}"/>
              </c:ext>
            </c:extLst>
          </c:dPt>
          <c:dLbls>
            <c:dLbl>
              <c:idx val="0"/>
              <c:tx>
                <c:rich>
                  <a:bodyPr/>
                  <a:lstStyle/>
                  <a:p>
                    <a:fld id="{F4FF3447-5BA4-4F18-B08E-FB84131A9D62}" type="VALUE">
                      <a:rPr lang="en-US"/>
                      <a:pPr/>
                      <a:t>[VALUE]</a:t>
                    </a:fld>
                    <a:endParaRPr lang="en-US"/>
                  </a:p>
                  <a:p>
                    <a:r>
                      <a:rPr lang="en-US"/>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7B90-4C87-81B8-BD78F3A57446}"/>
                </c:ext>
              </c:extLst>
            </c:dLbl>
            <c:dLbl>
              <c:idx val="1"/>
              <c:tx>
                <c:rich>
                  <a:bodyPr/>
                  <a:lstStyle/>
                  <a:p>
                    <a:fld id="{A91B0E13-4FD1-46CF-91DB-990C013EFDF1}" type="VALUE">
                      <a:rPr lang="en-US"/>
                      <a:pPr/>
                      <a:t>[VALUE]</a:t>
                    </a:fld>
                    <a:endParaRPr lang="en-US"/>
                  </a:p>
                  <a:p>
                    <a:r>
                      <a:rPr lang="en-US"/>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7B90-4C87-81B8-BD78F3A57446}"/>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Sheet1!$A$2:$A$2</c:f>
              <c:strCache>
                <c:ptCount val="1"/>
                <c:pt idx="0">
                  <c:v>AMPs submit data to Louis Database of Accessible Materials, so it is searchable nationwide</c:v>
                </c:pt>
              </c:strCache>
            </c:strRef>
          </c:cat>
          <c:val>
            <c:numRef>
              <c:f>Sheet1!$B$2:$B$2</c:f>
              <c:numCache>
                <c:formatCode>0%</c:formatCode>
                <c:ptCount val="1"/>
                <c:pt idx="0">
                  <c:v>0.61</c:v>
                </c:pt>
              </c:numCache>
            </c:numRef>
          </c:val>
          <c:extLst>
            <c:ext xmlns:c16="http://schemas.microsoft.com/office/drawing/2014/chart" uri="{C3380CC4-5D6E-409C-BE32-E72D297353CC}">
              <c16:uniqueId val="{00000006-7B90-4C87-81B8-BD78F3A57446}"/>
            </c:ext>
          </c:extLst>
        </c:ser>
        <c:ser>
          <c:idx val="0"/>
          <c:order val="1"/>
          <c:tx>
            <c:strRef>
              <c:f>Sheet1!$C$1</c:f>
              <c:strCache>
                <c:ptCount val="1"/>
                <c:pt idx="0">
                  <c:v>OH 
(n = 42)</c:v>
                </c:pt>
              </c:strCache>
            </c:strRef>
          </c:tx>
          <c:spPr>
            <a:solidFill>
              <a:srgbClr val="B05227"/>
            </a:solidFill>
            <a:ln w="9525">
              <a:solidFill>
                <a:sysClr val="window" lastClr="FFFFFF"/>
              </a:solidFill>
            </a:ln>
            <a:effectLst/>
          </c:spPr>
          <c:invertIfNegative val="0"/>
          <c:dPt>
            <c:idx val="0"/>
            <c:invertIfNegative val="0"/>
            <c:bubble3D val="0"/>
            <c:spPr>
              <a:solidFill>
                <a:srgbClr val="B05227"/>
              </a:solidFill>
              <a:ln w="9525">
                <a:solidFill>
                  <a:sysClr val="window" lastClr="FFFFFF"/>
                </a:solidFill>
              </a:ln>
              <a:effectLst/>
            </c:spPr>
            <c:extLst>
              <c:ext xmlns:c16="http://schemas.microsoft.com/office/drawing/2014/chart" uri="{C3380CC4-5D6E-409C-BE32-E72D297353CC}">
                <c16:uniqueId val="{00000008-7B90-4C87-81B8-BD78F3A57446}"/>
              </c:ext>
            </c:extLst>
          </c:dPt>
          <c:dLbls>
            <c:dLbl>
              <c:idx val="0"/>
              <c:tx>
                <c:rich>
                  <a:bodyPr/>
                  <a:lstStyle/>
                  <a:p>
                    <a:fld id="{2BBB892D-0651-4925-9568-2749FA6BCE38}" type="VALUE">
                      <a:rPr lang="en-US"/>
                      <a:pPr/>
                      <a:t>[VALUE]</a:t>
                    </a:fld>
                    <a:endParaRPr lang="en-US"/>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8-7B90-4C87-81B8-BD78F3A57446}"/>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Sheet1!$A$2:$A$2</c:f>
              <c:strCache>
                <c:ptCount val="1"/>
                <c:pt idx="0">
                  <c:v>AMPs submit data to Louis Database of Accessible Materials, so it is searchable nationwide</c:v>
                </c:pt>
              </c:strCache>
            </c:strRef>
          </c:cat>
          <c:val>
            <c:numRef>
              <c:f>Sheet1!$C$2:$C$2</c:f>
              <c:numCache>
                <c:formatCode>0%</c:formatCode>
                <c:ptCount val="1"/>
                <c:pt idx="0">
                  <c:v>0.45</c:v>
                </c:pt>
              </c:numCache>
            </c:numRef>
          </c:val>
          <c:extLst>
            <c:ext xmlns:c16="http://schemas.microsoft.com/office/drawing/2014/chart" uri="{C3380CC4-5D6E-409C-BE32-E72D297353CC}">
              <c16:uniqueId val="{00000009-7B90-4C87-81B8-BD78F3A57446}"/>
            </c:ext>
          </c:extLst>
        </c:ser>
        <c:ser>
          <c:idx val="3"/>
          <c:order val="2"/>
          <c:tx>
            <c:strRef>
              <c:f>Sheet1!$D$1</c:f>
              <c:strCache>
                <c:ptCount val="1"/>
                <c:pt idx="0">
                  <c:v>OR
(n = 27)</c:v>
                </c:pt>
              </c:strCache>
            </c:strRef>
          </c:tx>
          <c:spPr>
            <a:solidFill>
              <a:srgbClr val="1F5A92"/>
            </a:solidFill>
            <a:ln>
              <a:noFill/>
            </a:ln>
            <a:effectLst/>
          </c:spPr>
          <c:invertIfNegative val="0"/>
          <c:dLbls>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Sheet1!$A$2:$A$2</c:f>
              <c:strCache>
                <c:ptCount val="1"/>
                <c:pt idx="0">
                  <c:v>AMPs submit data to Louis Database of Accessible Materials, so it is searchable nationwide</c:v>
                </c:pt>
              </c:strCache>
            </c:strRef>
          </c:cat>
          <c:val>
            <c:numRef>
              <c:f>Sheet1!$D$2:$D$2</c:f>
              <c:numCache>
                <c:formatCode>0%</c:formatCode>
                <c:ptCount val="1"/>
                <c:pt idx="0">
                  <c:v>0.41</c:v>
                </c:pt>
              </c:numCache>
            </c:numRef>
          </c:val>
          <c:extLst>
            <c:ext xmlns:c16="http://schemas.microsoft.com/office/drawing/2014/chart" uri="{C3380CC4-5D6E-409C-BE32-E72D297353CC}">
              <c16:uniqueId val="{0000000A-7B90-4C87-81B8-BD78F3A57446}"/>
            </c:ext>
          </c:extLst>
        </c:ser>
        <c:ser>
          <c:idx val="1"/>
          <c:order val="3"/>
          <c:tx>
            <c:strRef>
              <c:f>Sheet1!$E$1</c:f>
              <c:strCache>
                <c:ptCount val="1"/>
                <c:pt idx="0">
                  <c:v>UT
(n= 18)</c:v>
                </c:pt>
              </c:strCache>
            </c:strRef>
          </c:tx>
          <c:spPr>
            <a:solidFill>
              <a:srgbClr val="6A1B9A"/>
            </a:solidFill>
            <a:ln>
              <a:noFill/>
            </a:ln>
            <a:effectLst/>
          </c:spPr>
          <c:invertIfNegative val="0"/>
          <c:dLbls>
            <c:dLbl>
              <c:idx val="1"/>
              <c:tx>
                <c:rich>
                  <a:bodyPr/>
                  <a:lstStyle/>
                  <a:p>
                    <a:fld id="{A8DF74C6-1DA1-4147-8ED7-80E351A1F3C9}" type="VALUE">
                      <a:rPr lang="en-US"/>
                      <a:pPr/>
                      <a:t>[VALUE]</a:t>
                    </a:fld>
                    <a:endParaRPr lang="en-US"/>
                  </a:p>
                  <a:p>
                    <a:r>
                      <a:rPr lang="en-US"/>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B-7B90-4C87-81B8-BD78F3A57446}"/>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Sheet1!$A$2:$A$2</c:f>
              <c:strCache>
                <c:ptCount val="1"/>
                <c:pt idx="0">
                  <c:v>AMPs submit data to Louis Database of Accessible Materials, so it is searchable nationwide</c:v>
                </c:pt>
              </c:strCache>
            </c:strRef>
          </c:cat>
          <c:val>
            <c:numRef>
              <c:f>Sheet1!$E$2:$E$2</c:f>
              <c:numCache>
                <c:formatCode>0%</c:formatCode>
                <c:ptCount val="1"/>
                <c:pt idx="0">
                  <c:v>0.28000000000000003</c:v>
                </c:pt>
              </c:numCache>
            </c:numRef>
          </c:val>
          <c:extLst>
            <c:ext xmlns:c16="http://schemas.microsoft.com/office/drawing/2014/chart" uri="{C3380CC4-5D6E-409C-BE32-E72D297353CC}">
              <c16:uniqueId val="{0000000C-7B90-4C87-81B8-BD78F3A57446}"/>
            </c:ext>
          </c:extLst>
        </c:ser>
        <c:dLbls>
          <c:showLegendKey val="0"/>
          <c:showVal val="0"/>
          <c:showCatName val="0"/>
          <c:showSerName val="0"/>
          <c:showPercent val="0"/>
          <c:showBubbleSize val="0"/>
        </c:dLbls>
        <c:gapWidth val="100"/>
        <c:overlap val="-69"/>
        <c:axId val="1677196128"/>
        <c:axId val="1677185088"/>
      </c:barChart>
      <c:catAx>
        <c:axId val="1677196128"/>
        <c:scaling>
          <c:orientation val="minMax"/>
        </c:scaling>
        <c:delete val="0"/>
        <c:axPos val="b"/>
        <c:numFmt formatCode="General" sourceLinked="1"/>
        <c:majorTickMark val="none"/>
        <c:minorTickMark val="none"/>
        <c:tickLblPos val="nextTo"/>
        <c:spPr>
          <a:noFill/>
          <a:ln w="9525" cap="flat" cmpd="sng" algn="ctr">
            <a:solidFill>
              <a:schemeClr val="bg2"/>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677185088"/>
        <c:crosses val="autoZero"/>
        <c:auto val="1"/>
        <c:lblAlgn val="ctr"/>
        <c:lblOffset val="100"/>
        <c:tickMarkSkip val="1"/>
        <c:noMultiLvlLbl val="0"/>
      </c:catAx>
      <c:valAx>
        <c:axId val="1677185088"/>
        <c:scaling>
          <c:orientation val="minMax"/>
          <c:max val="1"/>
          <c:min val="0"/>
        </c:scaling>
        <c:delete val="0"/>
        <c:axPos val="l"/>
        <c:numFmt formatCode="0%" sourceLinked="0"/>
        <c:majorTickMark val="none"/>
        <c:minorTickMark val="none"/>
        <c:tickLblPos val="nextTo"/>
        <c:spPr>
          <a:noFill/>
          <a:ln>
            <a:solidFill>
              <a:schemeClr val="bg2"/>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677196128"/>
        <c:crosses val="autoZero"/>
        <c:crossBetween val="between"/>
        <c:majorUnit val="0.25"/>
      </c:valAx>
      <c:spPr>
        <a:noFill/>
        <a:ln w="25400">
          <a:noFill/>
        </a:ln>
        <a:effectLst/>
      </c:spPr>
    </c:plotArea>
    <c:legend>
      <c:legendPos val="b"/>
      <c:layout>
        <c:manualLayout>
          <c:xMode val="edge"/>
          <c:yMode val="edge"/>
          <c:x val="4.5398286149462223E-2"/>
          <c:y val="0.83807287892694382"/>
          <c:w val="0.95209954695250665"/>
          <c:h val="0.16192700050424733"/>
        </c:manualLayout>
      </c:layout>
      <c:overlay val="1"/>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1100"/>
      </a:pPr>
      <a:endParaRPr lang="en-US"/>
    </a:p>
  </c:txPr>
  <c:externalData r:id="rId4">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3.6087901793998504E-2"/>
          <c:y val="2.7131154060287918E-2"/>
          <c:w val="0.96391209820600154"/>
          <c:h val="0.57375082074016759"/>
        </c:manualLayout>
      </c:layout>
      <c:barChart>
        <c:barDir val="col"/>
        <c:grouping val="clustered"/>
        <c:varyColors val="0"/>
        <c:ser>
          <c:idx val="2"/>
          <c:order val="0"/>
          <c:tx>
            <c:strRef>
              <c:f>Sheet1!$B$1</c:f>
              <c:strCache>
                <c:ptCount val="1"/>
                <c:pt idx="0">
                  <c:v>LEA/ESD, Regional, 
&amp; Cooperative Staff
(n = 62)</c:v>
                </c:pt>
              </c:strCache>
            </c:strRef>
          </c:tx>
          <c:spPr>
            <a:solidFill>
              <a:srgbClr val="1A1A1A"/>
            </a:solidFill>
            <a:ln>
              <a:solidFill>
                <a:schemeClr val="tx2">
                  <a:lumMod val="90000"/>
                  <a:lumOff val="10000"/>
                </a:schemeClr>
              </a:solidFill>
            </a:ln>
            <a:effectLst/>
          </c:spPr>
          <c:invertIfNegative val="0"/>
          <c:dPt>
            <c:idx val="0"/>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1-4C5A-4A27-A72E-CB47E13F58B7}"/>
              </c:ext>
            </c:extLst>
          </c:dPt>
          <c:dPt>
            <c:idx val="1"/>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3-4C5A-4A27-A72E-CB47E13F58B7}"/>
              </c:ext>
            </c:extLst>
          </c:dPt>
          <c:dPt>
            <c:idx val="2"/>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5-4C5A-4A27-A72E-CB47E13F58B7}"/>
              </c:ext>
            </c:extLst>
          </c:dPt>
          <c:dLbls>
            <c:dLbl>
              <c:idx val="0"/>
              <c:tx>
                <c:rich>
                  <a:bodyPr/>
                  <a:lstStyle/>
                  <a:p>
                    <a:fld id="{CFD23BEA-0B1F-44AA-B543-4D112F05C815}" type="VALUE">
                      <a:rPr lang="en-US"/>
                      <a:pPr/>
                      <a:t>[VALUE]</a:t>
                    </a:fld>
                    <a:endParaRPr lang="en-US"/>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4C5A-4A27-A72E-CB47E13F58B7}"/>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Use of the Louis Database of Accessible Materials to quickly locate accessible formats</c:v>
                </c:pt>
                <c:pt idx="1">
                  <c:v>AMPs submit data to Louis Database of Accessible Materials, so it is searchable nationwide</c:v>
                </c:pt>
              </c:strCache>
            </c:strRef>
          </c:cat>
          <c:val>
            <c:numRef>
              <c:f>Sheet1!$B$2:$B$3</c:f>
              <c:numCache>
                <c:formatCode>0%</c:formatCode>
                <c:ptCount val="2"/>
                <c:pt idx="0">
                  <c:v>0.56999999999999995</c:v>
                </c:pt>
                <c:pt idx="1">
                  <c:v>0.44</c:v>
                </c:pt>
              </c:numCache>
            </c:numRef>
          </c:val>
          <c:extLst>
            <c:ext xmlns:c16="http://schemas.microsoft.com/office/drawing/2014/chart" uri="{C3380CC4-5D6E-409C-BE32-E72D297353CC}">
              <c16:uniqueId val="{00000006-4C5A-4A27-A72E-CB47E13F58B7}"/>
            </c:ext>
          </c:extLst>
        </c:ser>
        <c:ser>
          <c:idx val="0"/>
          <c:order val="1"/>
          <c:tx>
            <c:strRef>
              <c:f>Sheet1!$C$1</c:f>
              <c:strCache>
                <c:ptCount val="1"/>
                <c:pt idx="0">
                  <c:v>School 
Staff 
(n = 41)</c:v>
                </c:pt>
              </c:strCache>
            </c:strRef>
          </c:tx>
          <c:spPr>
            <a:solidFill>
              <a:srgbClr val="B05227"/>
            </a:solidFill>
            <a:ln w="9525">
              <a:solidFill>
                <a:sysClr val="window" lastClr="FFFFFF"/>
              </a:solidFill>
            </a:ln>
            <a:effectLst/>
          </c:spPr>
          <c:invertIfNegative val="0"/>
          <c:dPt>
            <c:idx val="0"/>
            <c:invertIfNegative val="0"/>
            <c:bubble3D val="0"/>
            <c:spPr>
              <a:solidFill>
                <a:srgbClr val="B05227"/>
              </a:solidFill>
              <a:ln w="9525">
                <a:solidFill>
                  <a:sysClr val="window" lastClr="FFFFFF"/>
                </a:solidFill>
              </a:ln>
              <a:effectLst/>
            </c:spPr>
            <c:extLst>
              <c:ext xmlns:c16="http://schemas.microsoft.com/office/drawing/2014/chart" uri="{C3380CC4-5D6E-409C-BE32-E72D297353CC}">
                <c16:uniqueId val="{00000008-4C5A-4A27-A72E-CB47E13F58B7}"/>
              </c:ext>
            </c:extLst>
          </c:dPt>
          <c:dLbls>
            <c:dLbl>
              <c:idx val="0"/>
              <c:tx>
                <c:rich>
                  <a:bodyPr/>
                  <a:lstStyle/>
                  <a:p>
                    <a:fld id="{2BBB892D-0651-4925-9568-2749FA6BCE38}" type="VALUE">
                      <a:rPr lang="en-US"/>
                      <a:pPr/>
                      <a:t>[VALUE]</a:t>
                    </a:fld>
                    <a:endParaRPr lang="en-US"/>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8-4C5A-4A27-A72E-CB47E13F58B7}"/>
                </c:ext>
              </c:extLst>
            </c:dLbl>
            <c:dLbl>
              <c:idx val="1"/>
              <c:tx>
                <c:rich>
                  <a:bodyPr/>
                  <a:lstStyle/>
                  <a:p>
                    <a:fld id="{1AF2F24D-F653-49ED-8D17-B758F1FFF3BF}" type="VALUE">
                      <a:rPr lang="en-US"/>
                      <a:pPr/>
                      <a:t>[VALUE]</a:t>
                    </a:fld>
                    <a:endParaRPr lang="en-US"/>
                  </a:p>
                  <a:p>
                    <a:r>
                      <a:rPr lang="en-US"/>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0-4C5A-4A27-A72E-CB47E13F58B7}"/>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Use of the Louis Database of Accessible Materials to quickly locate accessible formats</c:v>
                </c:pt>
                <c:pt idx="1">
                  <c:v>AMPs submit data to Louis Database of Accessible Materials, so it is searchable nationwide</c:v>
                </c:pt>
              </c:strCache>
            </c:strRef>
          </c:cat>
          <c:val>
            <c:numRef>
              <c:f>Sheet1!$C$2:$C$3</c:f>
              <c:numCache>
                <c:formatCode>0%</c:formatCode>
                <c:ptCount val="2"/>
                <c:pt idx="0">
                  <c:v>0.54</c:v>
                </c:pt>
                <c:pt idx="1">
                  <c:v>0.34</c:v>
                </c:pt>
              </c:numCache>
            </c:numRef>
          </c:val>
          <c:extLst>
            <c:ext xmlns:c16="http://schemas.microsoft.com/office/drawing/2014/chart" uri="{C3380CC4-5D6E-409C-BE32-E72D297353CC}">
              <c16:uniqueId val="{00000009-4C5A-4A27-A72E-CB47E13F58B7}"/>
            </c:ext>
          </c:extLst>
        </c:ser>
        <c:ser>
          <c:idx val="3"/>
          <c:order val="2"/>
          <c:tx>
            <c:strRef>
              <c:f>Sheet1!$D$1</c:f>
              <c:strCache>
                <c:ptCount val="1"/>
                <c:pt idx="0">
                  <c:v>IMR/IRC 
Staff
(n = 25)</c:v>
                </c:pt>
              </c:strCache>
            </c:strRef>
          </c:tx>
          <c:spPr>
            <a:solidFill>
              <a:srgbClr val="1F5A92"/>
            </a:solidFill>
            <a:ln>
              <a:noFill/>
            </a:ln>
            <a:effectLst/>
          </c:spPr>
          <c:invertIfNegative val="0"/>
          <c:dLbls>
            <c:dLbl>
              <c:idx val="0"/>
              <c:tx>
                <c:rich>
                  <a:bodyPr/>
                  <a:lstStyle/>
                  <a:p>
                    <a:fld id="{A64C0563-0742-4573-A56A-3A927C1CAACA}" type="VALUE">
                      <a:rPr lang="en-US"/>
                      <a:pPr/>
                      <a:t>[VALUE]</a:t>
                    </a:fld>
                    <a:endParaRPr lang="en-US"/>
                  </a:p>
                  <a:p>
                    <a:r>
                      <a:rPr lang="en-US"/>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A-4C5A-4A27-A72E-CB47E13F58B7}"/>
                </c:ext>
              </c:extLst>
            </c:dLbl>
            <c:dLbl>
              <c:idx val="1"/>
              <c:tx>
                <c:rich>
                  <a:bodyPr/>
                  <a:lstStyle/>
                  <a:p>
                    <a:fld id="{B2C4A005-9C14-4FC2-996E-20F9599A4407}" type="VALUE">
                      <a:rPr lang="en-US"/>
                      <a:pPr/>
                      <a:t>[VALUE]</a:t>
                    </a:fld>
                    <a:endParaRPr lang="en-US"/>
                  </a:p>
                  <a:p>
                    <a:r>
                      <a:rPr lang="en-US"/>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1-4C5A-4A27-A72E-CB47E13F58B7}"/>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Use of the Louis Database of Accessible Materials to quickly locate accessible formats</c:v>
                </c:pt>
                <c:pt idx="1">
                  <c:v>AMPs submit data to Louis Database of Accessible Materials, so it is searchable nationwide</c:v>
                </c:pt>
              </c:strCache>
            </c:strRef>
          </c:cat>
          <c:val>
            <c:numRef>
              <c:f>Sheet1!$D$2:$D$3</c:f>
              <c:numCache>
                <c:formatCode>0%</c:formatCode>
                <c:ptCount val="2"/>
                <c:pt idx="0">
                  <c:v>0.84</c:v>
                </c:pt>
                <c:pt idx="1">
                  <c:v>0.68</c:v>
                </c:pt>
              </c:numCache>
            </c:numRef>
          </c:val>
          <c:extLst>
            <c:ext xmlns:c16="http://schemas.microsoft.com/office/drawing/2014/chart" uri="{C3380CC4-5D6E-409C-BE32-E72D297353CC}">
              <c16:uniqueId val="{0000000B-4C5A-4A27-A72E-CB47E13F58B7}"/>
            </c:ext>
          </c:extLst>
        </c:ser>
        <c:ser>
          <c:idx val="1"/>
          <c:order val="3"/>
          <c:tx>
            <c:strRef>
              <c:f>Sheet1!$E$1</c:f>
              <c:strCache>
                <c:ptCount val="1"/>
                <c:pt idx="0">
                  <c:v>SEA 
Staff
(n = 16)</c:v>
                </c:pt>
              </c:strCache>
            </c:strRef>
          </c:tx>
          <c:spPr>
            <a:solidFill>
              <a:srgbClr val="6A1B9A"/>
            </a:solidFill>
            <a:ln>
              <a:noFill/>
            </a:ln>
            <a:effectLst/>
          </c:spPr>
          <c:invertIfNegative val="0"/>
          <c:dLbls>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Use of the Louis Database of Accessible Materials to quickly locate accessible formats</c:v>
                </c:pt>
                <c:pt idx="1">
                  <c:v>AMPs submit data to Louis Database of Accessible Materials, so it is searchable nationwide</c:v>
                </c:pt>
              </c:strCache>
            </c:strRef>
          </c:cat>
          <c:val>
            <c:numRef>
              <c:f>Sheet1!$E$2:$E$3</c:f>
              <c:numCache>
                <c:formatCode>0%</c:formatCode>
                <c:ptCount val="2"/>
                <c:pt idx="0">
                  <c:v>0.5</c:v>
                </c:pt>
                <c:pt idx="1">
                  <c:v>0.56000000000000005</c:v>
                </c:pt>
              </c:numCache>
            </c:numRef>
          </c:val>
          <c:extLst>
            <c:ext xmlns:c16="http://schemas.microsoft.com/office/drawing/2014/chart" uri="{C3380CC4-5D6E-409C-BE32-E72D297353CC}">
              <c16:uniqueId val="{0000000C-4C5A-4A27-A72E-CB47E13F58B7}"/>
            </c:ext>
          </c:extLst>
        </c:ser>
        <c:ser>
          <c:idx val="4"/>
          <c:order val="4"/>
          <c:tx>
            <c:strRef>
              <c:f>Sheet1!$F$1</c:f>
              <c:strCache>
                <c:ptCount val="1"/>
                <c:pt idx="0">
                  <c:v>AMPS, Publishers, 
&amp; Vendors
(n = 10)</c:v>
                </c:pt>
              </c:strCache>
            </c:strRef>
          </c:tx>
          <c:spPr>
            <a:solidFill>
              <a:srgbClr val="2E7D6B"/>
            </a:solidFill>
            <a:ln>
              <a:noFill/>
            </a:ln>
            <a:effectLst/>
          </c:spPr>
          <c:invertIfNegative val="0"/>
          <c:dPt>
            <c:idx val="0"/>
            <c:invertIfNegative val="0"/>
            <c:bubble3D val="0"/>
            <c:spPr>
              <a:solidFill>
                <a:srgbClr val="2E7D6B"/>
              </a:solidFill>
              <a:ln>
                <a:noFill/>
              </a:ln>
              <a:effectLst/>
            </c:spPr>
            <c:extLst>
              <c:ext xmlns:c16="http://schemas.microsoft.com/office/drawing/2014/chart" uri="{C3380CC4-5D6E-409C-BE32-E72D297353CC}">
                <c16:uniqueId val="{0000000E-4C5A-4A27-A72E-CB47E13F58B7}"/>
              </c:ext>
            </c:extLst>
          </c:dPt>
          <c:dLbls>
            <c:dLbl>
              <c:idx val="1"/>
              <c:tx>
                <c:rich>
                  <a:bodyPr/>
                  <a:lstStyle/>
                  <a:p>
                    <a:fld id="{00D82933-6129-49E3-A0BD-E593135097A5}" type="VALUE">
                      <a:rPr lang="en-US"/>
                      <a:pPr/>
                      <a:t>[VALUE]</a:t>
                    </a:fld>
                    <a:endParaRPr lang="en-US"/>
                  </a:p>
                  <a:p>
                    <a:r>
                      <a:rPr lang="en-US"/>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2-4C5A-4A27-A72E-CB47E13F58B7}"/>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Use of the Louis Database of Accessible Materials to quickly locate accessible formats</c:v>
                </c:pt>
                <c:pt idx="1">
                  <c:v>AMPs submit data to Louis Database of Accessible Materials, so it is searchable nationwide</c:v>
                </c:pt>
              </c:strCache>
            </c:strRef>
          </c:cat>
          <c:val>
            <c:numRef>
              <c:f>Sheet1!$F$2:$F$3</c:f>
              <c:numCache>
                <c:formatCode>0%</c:formatCode>
                <c:ptCount val="2"/>
                <c:pt idx="0">
                  <c:v>0.9</c:v>
                </c:pt>
                <c:pt idx="1">
                  <c:v>0.9</c:v>
                </c:pt>
              </c:numCache>
            </c:numRef>
          </c:val>
          <c:extLst>
            <c:ext xmlns:c16="http://schemas.microsoft.com/office/drawing/2014/chart" uri="{C3380CC4-5D6E-409C-BE32-E72D297353CC}">
              <c16:uniqueId val="{0000000F-4C5A-4A27-A72E-CB47E13F58B7}"/>
            </c:ext>
          </c:extLst>
        </c:ser>
        <c:dLbls>
          <c:showLegendKey val="0"/>
          <c:showVal val="0"/>
          <c:showCatName val="0"/>
          <c:showSerName val="0"/>
          <c:showPercent val="0"/>
          <c:showBubbleSize val="0"/>
        </c:dLbls>
        <c:gapWidth val="316"/>
        <c:overlap val="-25"/>
        <c:axId val="1677196128"/>
        <c:axId val="1677185088"/>
      </c:barChart>
      <c:catAx>
        <c:axId val="1677196128"/>
        <c:scaling>
          <c:orientation val="minMax"/>
        </c:scaling>
        <c:delete val="0"/>
        <c:axPos val="b"/>
        <c:numFmt formatCode="General" sourceLinked="1"/>
        <c:majorTickMark val="none"/>
        <c:minorTickMark val="none"/>
        <c:tickLblPos val="nextTo"/>
        <c:spPr>
          <a:noFill/>
          <a:ln w="9525" cap="flat" cmpd="sng" algn="ctr">
            <a:solidFill>
              <a:schemeClr val="bg2"/>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677185088"/>
        <c:crosses val="autoZero"/>
        <c:auto val="1"/>
        <c:lblAlgn val="ctr"/>
        <c:lblOffset val="100"/>
        <c:noMultiLvlLbl val="0"/>
      </c:catAx>
      <c:valAx>
        <c:axId val="1677185088"/>
        <c:scaling>
          <c:orientation val="minMax"/>
          <c:max val="1"/>
          <c:min val="0"/>
        </c:scaling>
        <c:delete val="0"/>
        <c:axPos val="l"/>
        <c:numFmt formatCode="0%" sourceLinked="0"/>
        <c:majorTickMark val="none"/>
        <c:minorTickMark val="none"/>
        <c:tickLblPos val="nextTo"/>
        <c:spPr>
          <a:noFill/>
          <a:ln>
            <a:solidFill>
              <a:schemeClr val="bg2"/>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677196128"/>
        <c:crosses val="autoZero"/>
        <c:crossBetween val="between"/>
        <c:majorUnit val="0.25"/>
      </c:valAx>
      <c:spPr>
        <a:noFill/>
        <a:ln w="25400">
          <a:noFill/>
        </a:ln>
        <a:effectLst/>
      </c:spPr>
    </c:plotArea>
    <c:legend>
      <c:legendPos val="b"/>
      <c:layout>
        <c:manualLayout>
          <c:xMode val="edge"/>
          <c:yMode val="edge"/>
          <c:x val="7.7205060905848319E-2"/>
          <c:y val="0.79017245295192406"/>
          <c:w val="0.92177199003970656"/>
          <c:h val="0.14983168441442524"/>
        </c:manualLayout>
      </c:layout>
      <c:overlay val="1"/>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1100"/>
      </a:pPr>
      <a:endParaRPr lang="en-US"/>
    </a:p>
  </c:txPr>
  <c:externalData r:id="rId4">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6683417177019537"/>
          <c:y val="1.7044804975204782E-2"/>
          <c:w val="0.50682883846539006"/>
          <c:h val="0.98081922036402502"/>
        </c:manualLayout>
      </c:layout>
      <c:barChart>
        <c:barDir val="bar"/>
        <c:grouping val="clustered"/>
        <c:varyColors val="0"/>
        <c:ser>
          <c:idx val="0"/>
          <c:order val="0"/>
          <c:tx>
            <c:strRef>
              <c:f>Sheet1!$B$1</c:f>
              <c:strCache>
                <c:ptCount val="1"/>
                <c:pt idx="0">
                  <c:v>Series 1</c:v>
                </c:pt>
              </c:strCache>
            </c:strRef>
          </c:tx>
          <c:spPr>
            <a:solidFill>
              <a:srgbClr val="2263A0"/>
            </a:solidFill>
            <a:ln>
              <a:noFill/>
            </a:ln>
            <a:effectLst/>
          </c:spPr>
          <c:invertIfNegative val="0"/>
          <c:dPt>
            <c:idx val="10"/>
            <c:invertIfNegative val="0"/>
            <c:bubble3D val="0"/>
            <c:spPr>
              <a:solidFill>
                <a:srgbClr val="2263A0"/>
              </a:solidFill>
              <a:ln>
                <a:noFill/>
              </a:ln>
              <a:effectLst/>
            </c:spPr>
            <c:extLst>
              <c:ext xmlns:c16="http://schemas.microsoft.com/office/drawing/2014/chart" uri="{C3380CC4-5D6E-409C-BE32-E72D297353CC}">
                <c16:uniqueId val="{00000001-962D-4C37-B857-5CD0E80F36F0}"/>
              </c:ext>
            </c:extLst>
          </c:dPt>
          <c:dPt>
            <c:idx val="11"/>
            <c:invertIfNegative val="0"/>
            <c:bubble3D val="0"/>
            <c:spPr>
              <a:solidFill>
                <a:srgbClr val="2263A0"/>
              </a:solidFill>
              <a:ln>
                <a:noFill/>
              </a:ln>
              <a:effectLst/>
            </c:spPr>
            <c:extLst>
              <c:ext xmlns:c16="http://schemas.microsoft.com/office/drawing/2014/chart" uri="{C3380CC4-5D6E-409C-BE32-E72D297353CC}">
                <c16:uniqueId val="{00000003-962D-4C37-B857-5CD0E80F36F0}"/>
              </c:ext>
            </c:extLst>
          </c:dPt>
          <c:dLbls>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Other</c:v>
                </c:pt>
                <c:pt idx="1">
                  <c:v>A streamlined system for working with AMPs</c:v>
                </c:pt>
                <c:pt idx="2">
                  <c:v>State processes that support and train AMPs who are producing accessible formats</c:v>
                </c:pt>
                <c:pt idx="3">
                  <c:v>Inclusion of NIMAS requirement in procurement contracts for educational materials</c:v>
                </c:pt>
                <c:pt idx="4">
                  <c:v>A centralized workflow within a SEA, LEA, or Regional District system to process requests for accessible formats</c:v>
                </c:pt>
                <c:pt idx="5">
                  <c:v>Requests for first-time production of accessible formats are made well in advance before they are needed by students</c:v>
                </c:pt>
              </c:strCache>
            </c:strRef>
          </c:cat>
          <c:val>
            <c:numRef>
              <c:f>Sheet1!$B$2:$B$7</c:f>
              <c:numCache>
                <c:formatCode>0%</c:formatCode>
                <c:ptCount val="6"/>
                <c:pt idx="0">
                  <c:v>3.3099999999999997E-2</c:v>
                </c:pt>
                <c:pt idx="1">
                  <c:v>0.51659999999999995</c:v>
                </c:pt>
                <c:pt idx="2">
                  <c:v>0.52980000000000005</c:v>
                </c:pt>
                <c:pt idx="3">
                  <c:v>0.63580000000000003</c:v>
                </c:pt>
                <c:pt idx="4">
                  <c:v>0.65559999999999996</c:v>
                </c:pt>
                <c:pt idx="5">
                  <c:v>0.76160000000000005</c:v>
                </c:pt>
              </c:numCache>
            </c:numRef>
          </c:val>
          <c:extLst>
            <c:ext xmlns:c16="http://schemas.microsoft.com/office/drawing/2014/chart" uri="{C3380CC4-5D6E-409C-BE32-E72D297353CC}">
              <c16:uniqueId val="{00000004-962D-4C37-B857-5CD0E80F36F0}"/>
            </c:ext>
          </c:extLst>
        </c:ser>
        <c:dLbls>
          <c:dLblPos val="outEnd"/>
          <c:showLegendKey val="0"/>
          <c:showVal val="1"/>
          <c:showCatName val="0"/>
          <c:showSerName val="0"/>
          <c:showPercent val="0"/>
          <c:showBubbleSize val="0"/>
        </c:dLbls>
        <c:gapWidth val="100"/>
        <c:axId val="1268204576"/>
        <c:axId val="1268204992"/>
      </c:barChart>
      <c:catAx>
        <c:axId val="126820457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268204992"/>
        <c:crosses val="autoZero"/>
        <c:auto val="1"/>
        <c:lblAlgn val="ctr"/>
        <c:lblOffset val="100"/>
        <c:noMultiLvlLbl val="0"/>
      </c:catAx>
      <c:valAx>
        <c:axId val="1268204992"/>
        <c:scaling>
          <c:orientation val="minMax"/>
        </c:scaling>
        <c:delete val="1"/>
        <c:axPos val="b"/>
        <c:numFmt formatCode="0%" sourceLinked="1"/>
        <c:majorTickMark val="none"/>
        <c:minorTickMark val="none"/>
        <c:tickLblPos val="nextTo"/>
        <c:crossAx val="1268204576"/>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3.6087901793998504E-2"/>
          <c:y val="2.7131154060287918E-2"/>
          <c:w val="0.96391209820600154"/>
          <c:h val="0.66247711763302319"/>
        </c:manualLayout>
      </c:layout>
      <c:barChart>
        <c:barDir val="col"/>
        <c:grouping val="clustered"/>
        <c:varyColors val="0"/>
        <c:ser>
          <c:idx val="2"/>
          <c:order val="0"/>
          <c:tx>
            <c:strRef>
              <c:f>Sheet1!$B$1</c:f>
              <c:strCache>
                <c:ptCount val="1"/>
                <c:pt idx="0">
                  <c:v>National Survey
(n = 57)</c:v>
                </c:pt>
              </c:strCache>
            </c:strRef>
          </c:tx>
          <c:spPr>
            <a:solidFill>
              <a:srgbClr val="1A1A1A"/>
            </a:solidFill>
            <a:ln>
              <a:solidFill>
                <a:schemeClr val="tx2">
                  <a:lumMod val="90000"/>
                  <a:lumOff val="10000"/>
                </a:schemeClr>
              </a:solidFill>
            </a:ln>
            <a:effectLst/>
          </c:spPr>
          <c:invertIfNegative val="0"/>
          <c:dPt>
            <c:idx val="0"/>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1-31D2-4840-94DE-4C7BA58BF4A1}"/>
              </c:ext>
            </c:extLst>
          </c:dPt>
          <c:dPt>
            <c:idx val="1"/>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3-31D2-4840-94DE-4C7BA58BF4A1}"/>
              </c:ext>
            </c:extLst>
          </c:dPt>
          <c:dPt>
            <c:idx val="2"/>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5-31D2-4840-94DE-4C7BA58BF4A1}"/>
              </c:ext>
            </c:extLst>
          </c:dPt>
          <c:dLbls>
            <c:dLbl>
              <c:idx val="0"/>
              <c:tx>
                <c:rich>
                  <a:bodyPr/>
                  <a:lstStyle/>
                  <a:p>
                    <a:fld id="{F4FF3447-5BA4-4F18-B08E-FB84131A9D62}" type="VALUE">
                      <a:rPr lang="en-US"/>
                      <a:pPr/>
                      <a:t>[VALUE]</a:t>
                    </a:fld>
                    <a:endParaRPr lang="en-US"/>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31D2-4840-94DE-4C7BA58BF4A1}"/>
                </c:ext>
              </c:extLst>
            </c:dLbl>
            <c:dLbl>
              <c:idx val="1"/>
              <c:tx>
                <c:rich>
                  <a:bodyPr/>
                  <a:lstStyle/>
                  <a:p>
                    <a:fld id="{A91B0E13-4FD1-46CF-91DB-990C013EFDF1}" type="VALUE">
                      <a:rPr lang="en-US"/>
                      <a:pPr/>
                      <a:t>[VALUE]</a:t>
                    </a:fld>
                    <a:endParaRPr lang="en-US"/>
                  </a:p>
                  <a:p>
                    <a:r>
                      <a:rPr lang="en-US"/>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31D2-4840-94DE-4C7BA58BF4A1}"/>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A streamlined system for working with AMPs</c:v>
                </c:pt>
              </c:strCache>
            </c:strRef>
          </c:cat>
          <c:val>
            <c:numRef>
              <c:f>Sheet1!$B$2</c:f>
              <c:numCache>
                <c:formatCode>0%</c:formatCode>
                <c:ptCount val="1"/>
                <c:pt idx="0">
                  <c:v>0.61</c:v>
                </c:pt>
              </c:numCache>
            </c:numRef>
          </c:val>
          <c:extLst>
            <c:ext xmlns:c16="http://schemas.microsoft.com/office/drawing/2014/chart" uri="{C3380CC4-5D6E-409C-BE32-E72D297353CC}">
              <c16:uniqueId val="{00000006-31D2-4840-94DE-4C7BA58BF4A1}"/>
            </c:ext>
          </c:extLst>
        </c:ser>
        <c:ser>
          <c:idx val="0"/>
          <c:order val="1"/>
          <c:tx>
            <c:strRef>
              <c:f>Sheet1!$C$1</c:f>
              <c:strCache>
                <c:ptCount val="1"/>
                <c:pt idx="0">
                  <c:v>OH 
(n = 47)</c:v>
                </c:pt>
              </c:strCache>
            </c:strRef>
          </c:tx>
          <c:spPr>
            <a:solidFill>
              <a:srgbClr val="B05227"/>
            </a:solidFill>
            <a:ln w="9525">
              <a:solidFill>
                <a:sysClr val="window" lastClr="FFFFFF"/>
              </a:solidFill>
            </a:ln>
            <a:effectLst/>
          </c:spPr>
          <c:invertIfNegative val="0"/>
          <c:dPt>
            <c:idx val="0"/>
            <c:invertIfNegative val="0"/>
            <c:bubble3D val="0"/>
            <c:spPr>
              <a:solidFill>
                <a:srgbClr val="B05227"/>
              </a:solidFill>
              <a:ln w="9525">
                <a:solidFill>
                  <a:sysClr val="window" lastClr="FFFFFF"/>
                </a:solidFill>
              </a:ln>
              <a:effectLst/>
            </c:spPr>
            <c:extLst>
              <c:ext xmlns:c16="http://schemas.microsoft.com/office/drawing/2014/chart" uri="{C3380CC4-5D6E-409C-BE32-E72D297353CC}">
                <c16:uniqueId val="{00000008-31D2-4840-94DE-4C7BA58BF4A1}"/>
              </c:ext>
            </c:extLst>
          </c:dPt>
          <c:dLbls>
            <c:dLbl>
              <c:idx val="0"/>
              <c:tx>
                <c:rich>
                  <a:bodyPr/>
                  <a:lstStyle/>
                  <a:p>
                    <a:fld id="{2BBB892D-0651-4925-9568-2749FA6BCE38}" type="VALUE">
                      <a:rPr lang="en-US"/>
                      <a:pPr/>
                      <a:t>[VALUE]</a:t>
                    </a:fld>
                    <a:endParaRPr lang="en-US"/>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8-31D2-4840-94DE-4C7BA58BF4A1}"/>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A streamlined system for working with AMPs</c:v>
                </c:pt>
              </c:strCache>
            </c:strRef>
          </c:cat>
          <c:val>
            <c:numRef>
              <c:f>Sheet1!$C$2</c:f>
              <c:numCache>
                <c:formatCode>0%</c:formatCode>
                <c:ptCount val="1"/>
                <c:pt idx="0">
                  <c:v>0.56999999999999995</c:v>
                </c:pt>
              </c:numCache>
            </c:numRef>
          </c:val>
          <c:extLst>
            <c:ext xmlns:c16="http://schemas.microsoft.com/office/drawing/2014/chart" uri="{C3380CC4-5D6E-409C-BE32-E72D297353CC}">
              <c16:uniqueId val="{00000009-31D2-4840-94DE-4C7BA58BF4A1}"/>
            </c:ext>
          </c:extLst>
        </c:ser>
        <c:ser>
          <c:idx val="3"/>
          <c:order val="2"/>
          <c:tx>
            <c:strRef>
              <c:f>Sheet1!$D$1</c:f>
              <c:strCache>
                <c:ptCount val="1"/>
                <c:pt idx="0">
                  <c:v>OR
(n = 26)</c:v>
                </c:pt>
              </c:strCache>
            </c:strRef>
          </c:tx>
          <c:spPr>
            <a:solidFill>
              <a:srgbClr val="1F5A92"/>
            </a:solidFill>
            <a:ln>
              <a:noFill/>
            </a:ln>
            <a:effectLst/>
          </c:spPr>
          <c:invertIfNegative val="0"/>
          <c:dLbls>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A streamlined system for working with AMPs</c:v>
                </c:pt>
              </c:strCache>
            </c:strRef>
          </c:cat>
          <c:val>
            <c:numRef>
              <c:f>Sheet1!$D$2</c:f>
              <c:numCache>
                <c:formatCode>0%</c:formatCode>
                <c:ptCount val="1"/>
                <c:pt idx="0">
                  <c:v>0.42</c:v>
                </c:pt>
              </c:numCache>
            </c:numRef>
          </c:val>
          <c:extLst>
            <c:ext xmlns:c16="http://schemas.microsoft.com/office/drawing/2014/chart" uri="{C3380CC4-5D6E-409C-BE32-E72D297353CC}">
              <c16:uniqueId val="{0000000A-31D2-4840-94DE-4C7BA58BF4A1}"/>
            </c:ext>
          </c:extLst>
        </c:ser>
        <c:ser>
          <c:idx val="1"/>
          <c:order val="3"/>
          <c:tx>
            <c:strRef>
              <c:f>Sheet1!$E$1</c:f>
              <c:strCache>
                <c:ptCount val="1"/>
                <c:pt idx="0">
                  <c:v>UT
(n= 21)</c:v>
                </c:pt>
              </c:strCache>
            </c:strRef>
          </c:tx>
          <c:spPr>
            <a:solidFill>
              <a:srgbClr val="6A1B9A"/>
            </a:solidFill>
            <a:ln>
              <a:noFill/>
            </a:ln>
            <a:effectLst/>
          </c:spPr>
          <c:invertIfNegative val="0"/>
          <c:dLbls>
            <c:dLbl>
              <c:idx val="0"/>
              <c:tx>
                <c:rich>
                  <a:bodyPr/>
                  <a:lstStyle/>
                  <a:p>
                    <a:fld id="{DC125933-8E33-4D93-A02C-A914F0AA1ADF}" type="VALUE">
                      <a:rPr lang="en-US"/>
                      <a:pPr/>
                      <a:t>[VALUE]</a:t>
                    </a:fld>
                    <a:endParaRPr lang="en-US"/>
                  </a:p>
                  <a:p>
                    <a:r>
                      <a:rPr lang="en-US"/>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D-31D2-4840-94DE-4C7BA58BF4A1}"/>
                </c:ext>
              </c:extLst>
            </c:dLbl>
            <c:dLbl>
              <c:idx val="1"/>
              <c:tx>
                <c:rich>
                  <a:bodyPr/>
                  <a:lstStyle/>
                  <a:p>
                    <a:fld id="{A8DF74C6-1DA1-4147-8ED7-80E351A1F3C9}" type="VALUE">
                      <a:rPr lang="en-US"/>
                      <a:pPr/>
                      <a:t>[VALUE]</a:t>
                    </a:fld>
                    <a:endParaRPr lang="en-US"/>
                  </a:p>
                  <a:p>
                    <a:r>
                      <a:rPr lang="en-US"/>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B-31D2-4840-94DE-4C7BA58BF4A1}"/>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A streamlined system for working with AMPs</c:v>
                </c:pt>
              </c:strCache>
            </c:strRef>
          </c:cat>
          <c:val>
            <c:numRef>
              <c:f>Sheet1!$E$2</c:f>
              <c:numCache>
                <c:formatCode>0%</c:formatCode>
                <c:ptCount val="1"/>
                <c:pt idx="0">
                  <c:v>0.24</c:v>
                </c:pt>
              </c:numCache>
            </c:numRef>
          </c:val>
          <c:extLst>
            <c:ext xmlns:c16="http://schemas.microsoft.com/office/drawing/2014/chart" uri="{C3380CC4-5D6E-409C-BE32-E72D297353CC}">
              <c16:uniqueId val="{0000000C-31D2-4840-94DE-4C7BA58BF4A1}"/>
            </c:ext>
          </c:extLst>
        </c:ser>
        <c:dLbls>
          <c:showLegendKey val="0"/>
          <c:showVal val="0"/>
          <c:showCatName val="0"/>
          <c:showSerName val="0"/>
          <c:showPercent val="0"/>
          <c:showBubbleSize val="0"/>
        </c:dLbls>
        <c:gapWidth val="100"/>
        <c:overlap val="-69"/>
        <c:axId val="1677196128"/>
        <c:axId val="1677185088"/>
      </c:barChart>
      <c:catAx>
        <c:axId val="1677196128"/>
        <c:scaling>
          <c:orientation val="minMax"/>
        </c:scaling>
        <c:delete val="0"/>
        <c:axPos val="b"/>
        <c:numFmt formatCode="General" sourceLinked="1"/>
        <c:majorTickMark val="none"/>
        <c:minorTickMark val="none"/>
        <c:tickLblPos val="nextTo"/>
        <c:spPr>
          <a:noFill/>
          <a:ln w="9525" cap="flat" cmpd="sng" algn="ctr">
            <a:solidFill>
              <a:schemeClr val="bg2"/>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677185088"/>
        <c:crosses val="autoZero"/>
        <c:auto val="1"/>
        <c:lblAlgn val="ctr"/>
        <c:lblOffset val="100"/>
        <c:tickMarkSkip val="1"/>
        <c:noMultiLvlLbl val="0"/>
      </c:catAx>
      <c:valAx>
        <c:axId val="1677185088"/>
        <c:scaling>
          <c:orientation val="minMax"/>
          <c:max val="1"/>
          <c:min val="0"/>
        </c:scaling>
        <c:delete val="0"/>
        <c:axPos val="l"/>
        <c:numFmt formatCode="0%" sourceLinked="0"/>
        <c:majorTickMark val="none"/>
        <c:minorTickMark val="none"/>
        <c:tickLblPos val="nextTo"/>
        <c:spPr>
          <a:noFill/>
          <a:ln>
            <a:solidFill>
              <a:schemeClr val="bg2"/>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677196128"/>
        <c:crosses val="autoZero"/>
        <c:crossBetween val="between"/>
        <c:majorUnit val="0.25"/>
      </c:valAx>
      <c:spPr>
        <a:noFill/>
        <a:ln w="25400">
          <a:noFill/>
        </a:ln>
        <a:effectLst/>
      </c:spPr>
    </c:plotArea>
    <c:legend>
      <c:legendPos val="b"/>
      <c:layout>
        <c:manualLayout>
          <c:xMode val="edge"/>
          <c:yMode val="edge"/>
          <c:x val="6.551652696269486E-2"/>
          <c:y val="0.83807287892694382"/>
          <c:w val="0.93198127817973897"/>
          <c:h val="0.16192700050424733"/>
        </c:manualLayout>
      </c:layout>
      <c:overlay val="1"/>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1100"/>
      </a:pPr>
      <a:endParaRPr lang="en-US"/>
    </a:p>
  </c:txPr>
  <c:externalData r:id="rId4">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6683417177019537"/>
          <c:y val="1.7044804975204782E-2"/>
          <c:w val="0.50682883846539006"/>
          <c:h val="0.98295515294490943"/>
        </c:manualLayout>
      </c:layout>
      <c:barChart>
        <c:barDir val="bar"/>
        <c:grouping val="clustered"/>
        <c:varyColors val="0"/>
        <c:ser>
          <c:idx val="0"/>
          <c:order val="0"/>
          <c:tx>
            <c:strRef>
              <c:f>Sheet1!$B$1</c:f>
              <c:strCache>
                <c:ptCount val="1"/>
                <c:pt idx="0">
                  <c:v>Series 1</c:v>
                </c:pt>
              </c:strCache>
            </c:strRef>
          </c:tx>
          <c:spPr>
            <a:solidFill>
              <a:srgbClr val="2263A0"/>
            </a:solidFill>
            <a:ln>
              <a:noFill/>
            </a:ln>
            <a:effectLst/>
          </c:spPr>
          <c:invertIfNegative val="0"/>
          <c:dPt>
            <c:idx val="10"/>
            <c:invertIfNegative val="0"/>
            <c:bubble3D val="0"/>
            <c:spPr>
              <a:solidFill>
                <a:srgbClr val="2263A0"/>
              </a:solidFill>
              <a:ln>
                <a:noFill/>
              </a:ln>
              <a:effectLst/>
            </c:spPr>
            <c:extLst>
              <c:ext xmlns:c16="http://schemas.microsoft.com/office/drawing/2014/chart" uri="{C3380CC4-5D6E-409C-BE32-E72D297353CC}">
                <c16:uniqueId val="{00000001-6A9F-4A18-8EB4-71655AF321A4}"/>
              </c:ext>
            </c:extLst>
          </c:dPt>
          <c:dPt>
            <c:idx val="11"/>
            <c:invertIfNegative val="0"/>
            <c:bubble3D val="0"/>
            <c:spPr>
              <a:solidFill>
                <a:srgbClr val="2263A0"/>
              </a:solidFill>
              <a:ln>
                <a:noFill/>
              </a:ln>
              <a:effectLst/>
            </c:spPr>
            <c:extLst>
              <c:ext xmlns:c16="http://schemas.microsoft.com/office/drawing/2014/chart" uri="{C3380CC4-5D6E-409C-BE32-E72D297353CC}">
                <c16:uniqueId val="{00000003-6A9F-4A18-8EB4-71655AF321A4}"/>
              </c:ext>
            </c:extLst>
          </c:dPt>
          <c:dLbls>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Other</c:v>
                </c:pt>
                <c:pt idx="1">
                  <c:v>Publishers hold vendors to a timeline for NIMAS conversion</c:v>
                </c:pt>
                <c:pt idx="2">
                  <c:v>NIMAC staff providing effective and timely technical assistance</c:v>
                </c:pt>
                <c:pt idx="3">
                  <c:v>When accessible formats need to be produced for the first time, the NIMAS file is already available in the NIMAC system</c:v>
                </c:pt>
                <c:pt idx="4">
                  <c:v>Publishers submit NIMAS files to the NIMAC system before they are needed by students</c:v>
                </c:pt>
              </c:strCache>
            </c:strRef>
          </c:cat>
          <c:val>
            <c:numRef>
              <c:f>Sheet1!$B$2:$B$6</c:f>
              <c:numCache>
                <c:formatCode>0%</c:formatCode>
                <c:ptCount val="5"/>
                <c:pt idx="0">
                  <c:v>5.6599999999999998E-2</c:v>
                </c:pt>
                <c:pt idx="1">
                  <c:v>0.47170000000000001</c:v>
                </c:pt>
                <c:pt idx="2">
                  <c:v>0.67920000000000003</c:v>
                </c:pt>
                <c:pt idx="3">
                  <c:v>0.73580000000000001</c:v>
                </c:pt>
                <c:pt idx="4">
                  <c:v>0.83020000000000005</c:v>
                </c:pt>
              </c:numCache>
            </c:numRef>
          </c:val>
          <c:extLst>
            <c:ext xmlns:c16="http://schemas.microsoft.com/office/drawing/2014/chart" uri="{C3380CC4-5D6E-409C-BE32-E72D297353CC}">
              <c16:uniqueId val="{00000004-6A9F-4A18-8EB4-71655AF321A4}"/>
            </c:ext>
          </c:extLst>
        </c:ser>
        <c:dLbls>
          <c:dLblPos val="outEnd"/>
          <c:showLegendKey val="0"/>
          <c:showVal val="1"/>
          <c:showCatName val="0"/>
          <c:showSerName val="0"/>
          <c:showPercent val="0"/>
          <c:showBubbleSize val="0"/>
        </c:dLbls>
        <c:gapWidth val="100"/>
        <c:axId val="1268204576"/>
        <c:axId val="1268204992"/>
      </c:barChart>
      <c:catAx>
        <c:axId val="126820457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268204992"/>
        <c:crosses val="autoZero"/>
        <c:auto val="1"/>
        <c:lblAlgn val="ctr"/>
        <c:lblOffset val="100"/>
        <c:noMultiLvlLbl val="0"/>
      </c:catAx>
      <c:valAx>
        <c:axId val="1268204992"/>
        <c:scaling>
          <c:orientation val="minMax"/>
        </c:scaling>
        <c:delete val="1"/>
        <c:axPos val="b"/>
        <c:numFmt formatCode="0%" sourceLinked="1"/>
        <c:majorTickMark val="none"/>
        <c:minorTickMark val="none"/>
        <c:tickLblPos val="nextTo"/>
        <c:crossAx val="1268204576"/>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30459611652227481"/>
          <c:y val="2.7188539682968402E-2"/>
          <c:w val="0.42048579856116541"/>
          <c:h val="0.94951896021573634"/>
        </c:manualLayout>
      </c:layout>
      <c:pieChart>
        <c:varyColors val="1"/>
        <c:ser>
          <c:idx val="0"/>
          <c:order val="0"/>
          <c:tx>
            <c:strRef>
              <c:f>Sheet1!$B$1</c:f>
              <c:strCache>
                <c:ptCount val="1"/>
                <c:pt idx="0">
                  <c:v>Agreement</c:v>
                </c:pt>
              </c:strCache>
            </c:strRef>
          </c:tx>
          <c:dPt>
            <c:idx val="0"/>
            <c:bubble3D val="0"/>
            <c:spPr>
              <a:solidFill>
                <a:srgbClr val="DCEAF7">
                  <a:alpha val="84706"/>
                </a:srgbClr>
              </a:solidFill>
              <a:ln w="19050">
                <a:solidFill>
                  <a:schemeClr val="lt1"/>
                </a:solidFill>
              </a:ln>
              <a:effectLst/>
            </c:spPr>
            <c:extLst>
              <c:ext xmlns:c16="http://schemas.microsoft.com/office/drawing/2014/chart" uri="{C3380CC4-5D6E-409C-BE32-E72D297353CC}">
                <c16:uniqueId val="{00000001-2707-4114-8FA5-2E8C2F738322}"/>
              </c:ext>
            </c:extLst>
          </c:dPt>
          <c:dPt>
            <c:idx val="1"/>
            <c:bubble3D val="0"/>
            <c:spPr>
              <a:solidFill>
                <a:srgbClr val="4E95D9"/>
              </a:solidFill>
              <a:ln w="19050">
                <a:solidFill>
                  <a:schemeClr val="lt1"/>
                </a:solidFill>
              </a:ln>
              <a:effectLst/>
            </c:spPr>
            <c:extLst>
              <c:ext xmlns:c16="http://schemas.microsoft.com/office/drawing/2014/chart" uri="{C3380CC4-5D6E-409C-BE32-E72D297353CC}">
                <c16:uniqueId val="{00000003-2707-4114-8FA5-2E8C2F738322}"/>
              </c:ext>
            </c:extLst>
          </c:dPt>
          <c:dPt>
            <c:idx val="2"/>
            <c:bubble3D val="0"/>
            <c:spPr>
              <a:solidFill>
                <a:srgbClr val="215F9A"/>
              </a:solidFill>
              <a:ln w="19050">
                <a:solidFill>
                  <a:schemeClr val="lt1"/>
                </a:solidFill>
              </a:ln>
              <a:effectLst/>
            </c:spPr>
            <c:extLst>
              <c:ext xmlns:c16="http://schemas.microsoft.com/office/drawing/2014/chart" uri="{C3380CC4-5D6E-409C-BE32-E72D297353CC}">
                <c16:uniqueId val="{00000005-2707-4114-8FA5-2E8C2F738322}"/>
              </c:ext>
            </c:extLst>
          </c:dPt>
          <c:dPt>
            <c:idx val="3"/>
            <c:bubble3D val="0"/>
            <c:spPr>
              <a:solidFill>
                <a:srgbClr val="163E64"/>
              </a:solidFill>
              <a:ln w="19050">
                <a:solidFill>
                  <a:schemeClr val="lt1"/>
                </a:solidFill>
              </a:ln>
              <a:effectLst/>
            </c:spPr>
            <c:extLst>
              <c:ext xmlns:c16="http://schemas.microsoft.com/office/drawing/2014/chart" uri="{C3380CC4-5D6E-409C-BE32-E72D297353CC}">
                <c16:uniqueId val="{00000007-2707-4114-8FA5-2E8C2F738322}"/>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2707-4114-8FA5-2E8C2F738322}"/>
              </c:ext>
            </c:extLst>
          </c:dPt>
          <c:dLbls>
            <c:dLbl>
              <c:idx val="0"/>
              <c:layout>
                <c:manualLayout>
                  <c:x val="-1.0076736692080234E-2"/>
                  <c:y val="0.16563481512862838"/>
                </c:manualLayout>
              </c:layout>
              <c:tx>
                <c:rich>
                  <a:bodyPr rot="0" spcFirstLastPara="1" vertOverflow="ellipsis" vert="horz" wrap="square" lIns="38100" tIns="19050" rIns="38100" bIns="19050" anchor="ctr" anchorCtr="1">
                    <a:noAutofit/>
                  </a:bodyPr>
                  <a:lstStyle/>
                  <a:p>
                    <a:pPr>
                      <a:defRPr sz="1100" b="1" i="0" u="none" strike="noStrike" kern="1200" baseline="0">
                        <a:solidFill>
                          <a:schemeClr val="tx1"/>
                        </a:solidFill>
                        <a:latin typeface="+mn-lt"/>
                        <a:ea typeface="+mn-ea"/>
                        <a:cs typeface="Calibri" panose="020F0502020204030204" pitchFamily="34" charset="0"/>
                      </a:defRPr>
                    </a:pPr>
                    <a:fld id="{60EC07AE-CCB1-450C-84EF-381BDBA41743}" type="CATEGORYNAME">
                      <a:rPr lang="en-US" sz="1100">
                        <a:solidFill>
                          <a:schemeClr val="tx1"/>
                        </a:solidFill>
                        <a:latin typeface="+mn-lt"/>
                      </a:rPr>
                      <a:pPr>
                        <a:defRPr sz="1100" b="1">
                          <a:solidFill>
                            <a:schemeClr val="tx1"/>
                          </a:solidFill>
                          <a:cs typeface="Calibri" panose="020F0502020204030204" pitchFamily="34" charset="0"/>
                        </a:defRPr>
                      </a:pPr>
                      <a:t>[CATEGORY NAME]</a:t>
                    </a:fld>
                    <a:r>
                      <a:rPr lang="en-US" sz="1100" baseline="0">
                        <a:solidFill>
                          <a:schemeClr val="tx1"/>
                        </a:solidFill>
                        <a:latin typeface="+mn-lt"/>
                      </a:rPr>
                      <a:t>
</a:t>
                    </a:r>
                    <a:fld id="{9FCC1CCD-F5BD-4D65-A1F5-94E5EC6F2E2A}" type="PERCENTAGE">
                      <a:rPr lang="en-US" sz="1100" baseline="0">
                        <a:solidFill>
                          <a:schemeClr val="tx1"/>
                        </a:solidFill>
                        <a:latin typeface="+mn-lt"/>
                      </a:rPr>
                      <a:pPr>
                        <a:defRPr sz="1100" b="1">
                          <a:solidFill>
                            <a:schemeClr val="tx1"/>
                          </a:solidFill>
                          <a:cs typeface="Calibri" panose="020F0502020204030204" pitchFamily="34" charset="0"/>
                        </a:defRPr>
                      </a:pPr>
                      <a:t>[PERCENTAGE]</a:t>
                    </a:fld>
                    <a:endParaRPr lang="en-US" sz="1100" baseline="0">
                      <a:solidFill>
                        <a:schemeClr val="tx1"/>
                      </a:solidFill>
                      <a:latin typeface="+mn-lt"/>
                    </a:endParaRPr>
                  </a:p>
                </c:rich>
              </c:tx>
              <c:spPr>
                <a:noFill/>
                <a:ln>
                  <a:noFill/>
                </a:ln>
                <a:effectLst/>
              </c:spPr>
              <c:txPr>
                <a:bodyPr rot="0" spcFirstLastPara="1" vertOverflow="ellipsis" vert="horz" wrap="square" lIns="38100" tIns="19050" rIns="38100" bIns="19050" anchor="ctr" anchorCtr="1">
                  <a:noAutofit/>
                </a:bodyPr>
                <a:lstStyle/>
                <a:p>
                  <a:pPr>
                    <a:defRPr sz="1100" b="1" i="0" u="none" strike="noStrike" kern="1200" baseline="0">
                      <a:solidFill>
                        <a:schemeClr val="tx1"/>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layout>
                    <c:manualLayout>
                      <c:w val="0.22371825325587924"/>
                      <c:h val="0.22830905877025109"/>
                    </c:manualLayout>
                  </c15:layout>
                  <c15:dlblFieldTable/>
                  <c15:showDataLabelsRange val="0"/>
                </c:ext>
                <c:ext xmlns:c16="http://schemas.microsoft.com/office/drawing/2014/chart" uri="{C3380CC4-5D6E-409C-BE32-E72D297353CC}">
                  <c16:uniqueId val="{00000001-2707-4114-8FA5-2E8C2F738322}"/>
                </c:ext>
              </c:extLst>
            </c:dLbl>
            <c:dLbl>
              <c:idx val="1"/>
              <c:layout>
                <c:manualLayout>
                  <c:x val="6.1036331719456494E-4"/>
                  <c:y val="-2.2870211549456832E-2"/>
                </c:manualLayout>
              </c:layout>
              <c:tx>
                <c:rich>
                  <a:bodyPr rot="0" spcFirstLastPara="1" vertOverflow="ellipsis" vert="horz" wrap="square" lIns="38100" tIns="19050" rIns="38100" bIns="19050" anchor="ctr" anchorCtr="1">
                    <a:noAutofit/>
                  </a:bodyPr>
                  <a:lstStyle/>
                  <a:p>
                    <a:pPr>
                      <a:defRPr sz="1100" b="1" i="0" u="none" strike="noStrike" kern="1200" baseline="0">
                        <a:solidFill>
                          <a:sysClr val="windowText" lastClr="000000"/>
                        </a:solidFill>
                        <a:latin typeface="+mn-lt"/>
                        <a:ea typeface="+mn-ea"/>
                        <a:cs typeface="Calibri" panose="020F0502020204030204" pitchFamily="34" charset="0"/>
                      </a:defRPr>
                    </a:pPr>
                    <a:fld id="{9C704956-3D66-479E-A771-CB88A5C2A4C6}" type="CATEGORYNAME">
                      <a:rPr lang="en-US" sz="1100">
                        <a:solidFill>
                          <a:sysClr val="windowText" lastClr="000000"/>
                        </a:solidFill>
                        <a:latin typeface="+mn-lt"/>
                      </a:rPr>
                      <a:pPr>
                        <a:defRPr sz="1100" b="1">
                          <a:solidFill>
                            <a:sysClr val="windowText" lastClr="000000"/>
                          </a:solidFill>
                          <a:cs typeface="Calibri" panose="020F0502020204030204" pitchFamily="34" charset="0"/>
                        </a:defRPr>
                      </a:pPr>
                      <a:t>[CATEGORY NAME]</a:t>
                    </a:fld>
                    <a:r>
                      <a:rPr lang="en-US" sz="1100" baseline="0">
                        <a:solidFill>
                          <a:sysClr val="windowText" lastClr="000000"/>
                        </a:solidFill>
                        <a:latin typeface="+mn-lt"/>
                      </a:rPr>
                      <a:t>
</a:t>
                    </a:r>
                    <a:fld id="{7B132DC3-E187-49A1-A4FD-E27180FB3CB4}" type="PERCENTAGE">
                      <a:rPr lang="en-US" sz="1100" baseline="0">
                        <a:solidFill>
                          <a:sysClr val="windowText" lastClr="000000"/>
                        </a:solidFill>
                        <a:latin typeface="+mn-lt"/>
                      </a:rPr>
                      <a:pPr>
                        <a:defRPr sz="1100" b="1">
                          <a:solidFill>
                            <a:sysClr val="windowText" lastClr="000000"/>
                          </a:solidFill>
                          <a:cs typeface="Calibri" panose="020F0502020204030204" pitchFamily="34" charset="0"/>
                        </a:defRPr>
                      </a:pPr>
                      <a:t>[PERCENTAGE]</a:t>
                    </a:fld>
                    <a:endParaRPr lang="en-US" sz="1100" baseline="0">
                      <a:solidFill>
                        <a:sysClr val="windowText" lastClr="000000"/>
                      </a:solidFill>
                      <a:latin typeface="+mn-lt"/>
                    </a:endParaRPr>
                  </a:p>
                </c:rich>
              </c:tx>
              <c:spPr>
                <a:noFill/>
                <a:ln>
                  <a:noFill/>
                </a:ln>
                <a:effectLst/>
              </c:spPr>
              <c:txPr>
                <a:bodyPr rot="0" spcFirstLastPara="1" vertOverflow="ellipsis" vert="horz" wrap="square" lIns="38100" tIns="19050" rIns="38100" bIns="19050" anchor="ctr" anchorCtr="1">
                  <a:noAutofit/>
                </a:bodyPr>
                <a:lstStyle/>
                <a:p>
                  <a:pPr>
                    <a:defRPr sz="1100" b="1" i="0" u="none" strike="noStrike" kern="1200" baseline="0">
                      <a:solidFill>
                        <a:sysClr val="windowText" lastClr="000000"/>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layout>
                    <c:manualLayout>
                      <c:w val="0.13331073446327685"/>
                      <c:h val="0.30794739851343628"/>
                    </c:manualLayout>
                  </c15:layout>
                  <c15:dlblFieldTable/>
                  <c15:showDataLabelsRange val="0"/>
                </c:ext>
                <c:ext xmlns:c16="http://schemas.microsoft.com/office/drawing/2014/chart" uri="{C3380CC4-5D6E-409C-BE32-E72D297353CC}">
                  <c16:uniqueId val="{00000003-2707-4114-8FA5-2E8C2F738322}"/>
                </c:ext>
              </c:extLst>
            </c:dLbl>
            <c:dLbl>
              <c:idx val="2"/>
              <c:layout>
                <c:manualLayout>
                  <c:x val="9.1658567365748483E-2"/>
                  <c:y val="0.12578616352201258"/>
                </c:manualLayout>
              </c:layout>
              <c:tx>
                <c:rich>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mn-lt"/>
                        <a:ea typeface="+mn-ea"/>
                        <a:cs typeface="Calibri" panose="020F0502020204030204" pitchFamily="34" charset="0"/>
                      </a:defRPr>
                    </a:pPr>
                    <a:fld id="{DE812037-EBE3-4F2A-8ED1-1024D81F0AF4}" type="CATEGORYNAME">
                      <a:rPr lang="en-US" sz="1100">
                        <a:solidFill>
                          <a:schemeClr val="bg1"/>
                        </a:solidFill>
                        <a:latin typeface="Aptos" panose="020B0004020202020204" pitchFamily="34" charset="0"/>
                      </a:rPr>
                      <a:pPr>
                        <a:defRPr sz="1100" b="1">
                          <a:solidFill>
                            <a:schemeClr val="bg1"/>
                          </a:solidFill>
                          <a:cs typeface="Calibri" panose="020F0502020204030204" pitchFamily="34" charset="0"/>
                        </a:defRPr>
                      </a:pPr>
                      <a:t>[CATEGORY NAME]</a:t>
                    </a:fld>
                    <a:r>
                      <a:rPr lang="en-US" sz="1100" baseline="0">
                        <a:solidFill>
                          <a:schemeClr val="bg1"/>
                        </a:solidFill>
                        <a:latin typeface="Aptos" panose="020B0004020202020204" pitchFamily="34" charset="0"/>
                      </a:rPr>
                      <a:t>
</a:t>
                    </a:r>
                    <a:fld id="{B8553DCE-ABFA-48C4-83AC-E11F6F9F3A97}" type="PERCENTAGE">
                      <a:rPr lang="en-US" sz="1100" baseline="0">
                        <a:solidFill>
                          <a:schemeClr val="bg1"/>
                        </a:solidFill>
                        <a:latin typeface="Aptos" panose="020B0004020202020204" pitchFamily="34" charset="0"/>
                      </a:rPr>
                      <a:pPr>
                        <a:defRPr sz="1100" b="1">
                          <a:solidFill>
                            <a:schemeClr val="bg1"/>
                          </a:solidFill>
                          <a:cs typeface="Calibri" panose="020F0502020204030204" pitchFamily="34" charset="0"/>
                        </a:defRPr>
                      </a:pPr>
                      <a:t>[PERCENTAGE]</a:t>
                    </a:fld>
                    <a:endParaRPr lang="en-US" sz="1100" baseline="0">
                      <a:solidFill>
                        <a:schemeClr val="bg1"/>
                      </a:solidFill>
                      <a:latin typeface="Aptos" panose="020B0004020202020204" pitchFamily="34" charset="0"/>
                    </a:endParaRPr>
                  </a:p>
                </c:rich>
              </c:tx>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2707-4114-8FA5-2E8C2F738322}"/>
                </c:ext>
              </c:extLst>
            </c:dLbl>
            <c:dLbl>
              <c:idx val="3"/>
              <c:layout>
                <c:manualLayout>
                  <c:x val="-0.10989971976746235"/>
                  <c:y val="-0.31642854616218796"/>
                </c:manualLayout>
              </c:layout>
              <c:spPr>
                <a:noFill/>
                <a:ln>
                  <a:noFill/>
                </a:ln>
                <a:effectLst/>
              </c:spPr>
              <c:txPr>
                <a:bodyPr rot="0" spcFirstLastPara="1" vertOverflow="ellipsis" vert="horz" wrap="square" lIns="38100" tIns="19050" rIns="38100" bIns="19050" anchor="ctr" anchorCtr="1">
                  <a:noAutofit/>
                </a:bodyPr>
                <a:lstStyle/>
                <a:p>
                  <a:pPr>
                    <a:defRPr sz="1100" b="1" i="0" u="none" strike="noStrike" kern="1200" baseline="0">
                      <a:solidFill>
                        <a:schemeClr val="bg1"/>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layout>
                    <c:manualLayout>
                      <c:w val="0.13729589696236957"/>
                      <c:h val="0.34724672402962614"/>
                    </c:manualLayout>
                  </c15:layout>
                </c:ext>
                <c:ext xmlns:c16="http://schemas.microsoft.com/office/drawing/2014/chart" uri="{C3380CC4-5D6E-409C-BE32-E72D297353CC}">
                  <c16:uniqueId val="{00000007-2707-4114-8FA5-2E8C2F738322}"/>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solidFill>
                    <a:latin typeface="+mn-lt"/>
                    <a:ea typeface="+mn-ea"/>
                    <a:cs typeface="Calibri" panose="020F0502020204030204" pitchFamily="34" charset="0"/>
                  </a:defRPr>
                </a:pPr>
                <a:endParaRPr lang="en-US"/>
              </a:p>
            </c:txPr>
            <c:dLblPos val="ctr"/>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Sheet1!$A$2:$A$5</c:f>
              <c:strCache>
                <c:ptCount val="4"/>
                <c:pt idx="0">
                  <c:v>Strongly Disagree</c:v>
                </c:pt>
                <c:pt idx="1">
                  <c:v>Disagree</c:v>
                </c:pt>
                <c:pt idx="2">
                  <c:v>Agree</c:v>
                </c:pt>
                <c:pt idx="3">
                  <c:v>Strongly Agree</c:v>
                </c:pt>
              </c:strCache>
            </c:strRef>
          </c:cat>
          <c:val>
            <c:numRef>
              <c:f>Sheet1!$B$2:$B$5</c:f>
              <c:numCache>
                <c:formatCode>0%</c:formatCode>
                <c:ptCount val="4"/>
                <c:pt idx="0">
                  <c:v>0.04</c:v>
                </c:pt>
                <c:pt idx="1">
                  <c:v>0.02</c:v>
                </c:pt>
                <c:pt idx="2">
                  <c:v>0.32</c:v>
                </c:pt>
                <c:pt idx="3">
                  <c:v>0.62</c:v>
                </c:pt>
              </c:numCache>
            </c:numRef>
          </c:val>
          <c:extLst>
            <c:ext xmlns:c16="http://schemas.microsoft.com/office/drawing/2014/chart" uri="{C3380CC4-5D6E-409C-BE32-E72D297353CC}">
              <c16:uniqueId val="{0000000A-2707-4114-8FA5-2E8C2F738322}"/>
            </c:ext>
          </c:extLst>
        </c:ser>
        <c:dLbls>
          <c:showLegendKey val="0"/>
          <c:showVal val="0"/>
          <c:showCatName val="1"/>
          <c:showSerName val="0"/>
          <c:showPercent val="1"/>
          <c:showBubbleSize val="0"/>
          <c:showLeaderLines val="1"/>
        </c:dLbls>
        <c:firstSliceAng val="247"/>
      </c:pieChart>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34763953974040368"/>
          <c:y val="2.7188539682968402E-2"/>
          <c:w val="0.33186698605325299"/>
          <c:h val="0.7494046091579889"/>
        </c:manualLayout>
      </c:layout>
      <c:pieChart>
        <c:varyColors val="1"/>
        <c:ser>
          <c:idx val="0"/>
          <c:order val="0"/>
          <c:tx>
            <c:strRef>
              <c:f>Sheet1!$B$1</c:f>
              <c:strCache>
                <c:ptCount val="1"/>
                <c:pt idx="0">
                  <c:v>Agreement</c:v>
                </c:pt>
              </c:strCache>
            </c:strRef>
          </c:tx>
          <c:dPt>
            <c:idx val="0"/>
            <c:bubble3D val="0"/>
            <c:spPr>
              <a:solidFill>
                <a:srgbClr val="DCEAF7">
                  <a:alpha val="84706"/>
                </a:srgbClr>
              </a:solidFill>
              <a:ln w="19050">
                <a:solidFill>
                  <a:schemeClr val="lt1"/>
                </a:solidFill>
              </a:ln>
              <a:effectLst/>
            </c:spPr>
            <c:extLst>
              <c:ext xmlns:c16="http://schemas.microsoft.com/office/drawing/2014/chart" uri="{C3380CC4-5D6E-409C-BE32-E72D297353CC}">
                <c16:uniqueId val="{00000001-5706-4D28-A909-B34E8B2F1BE7}"/>
              </c:ext>
            </c:extLst>
          </c:dPt>
          <c:dPt>
            <c:idx val="1"/>
            <c:bubble3D val="0"/>
            <c:spPr>
              <a:solidFill>
                <a:srgbClr val="4E95D9"/>
              </a:solidFill>
              <a:ln w="19050">
                <a:solidFill>
                  <a:schemeClr val="lt1"/>
                </a:solidFill>
              </a:ln>
              <a:effectLst/>
            </c:spPr>
            <c:extLst>
              <c:ext xmlns:c16="http://schemas.microsoft.com/office/drawing/2014/chart" uri="{C3380CC4-5D6E-409C-BE32-E72D297353CC}">
                <c16:uniqueId val="{00000003-5706-4D28-A909-B34E8B2F1BE7}"/>
              </c:ext>
            </c:extLst>
          </c:dPt>
          <c:dPt>
            <c:idx val="2"/>
            <c:bubble3D val="0"/>
            <c:spPr>
              <a:solidFill>
                <a:srgbClr val="215F9A"/>
              </a:solidFill>
              <a:ln w="19050">
                <a:solidFill>
                  <a:schemeClr val="lt1"/>
                </a:solidFill>
              </a:ln>
              <a:effectLst/>
            </c:spPr>
            <c:extLst>
              <c:ext xmlns:c16="http://schemas.microsoft.com/office/drawing/2014/chart" uri="{C3380CC4-5D6E-409C-BE32-E72D297353CC}">
                <c16:uniqueId val="{00000005-5706-4D28-A909-B34E8B2F1BE7}"/>
              </c:ext>
            </c:extLst>
          </c:dPt>
          <c:dPt>
            <c:idx val="3"/>
            <c:bubble3D val="0"/>
            <c:spPr>
              <a:solidFill>
                <a:srgbClr val="163E64"/>
              </a:solidFill>
              <a:ln w="19050">
                <a:solidFill>
                  <a:schemeClr val="lt1"/>
                </a:solidFill>
              </a:ln>
              <a:effectLst/>
            </c:spPr>
            <c:extLst>
              <c:ext xmlns:c16="http://schemas.microsoft.com/office/drawing/2014/chart" uri="{C3380CC4-5D6E-409C-BE32-E72D297353CC}">
                <c16:uniqueId val="{00000007-5706-4D28-A909-B34E8B2F1BE7}"/>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5706-4D28-A909-B34E8B2F1BE7}"/>
              </c:ext>
            </c:extLst>
          </c:dPt>
          <c:dLbls>
            <c:dLbl>
              <c:idx val="0"/>
              <c:layout>
                <c:manualLayout>
                  <c:x val="-9.7269364307053605E-3"/>
                  <c:y val="9.7198849286206188E-2"/>
                </c:manualLayout>
              </c:layout>
              <c:tx>
                <c:rich>
                  <a:bodyPr rot="0" spcFirstLastPara="1" vertOverflow="ellipsis" vert="horz" wrap="square" lIns="38100" tIns="19050" rIns="38100" bIns="19050" anchor="ctr" anchorCtr="1">
                    <a:noAutofit/>
                  </a:bodyPr>
                  <a:lstStyle/>
                  <a:p>
                    <a:pPr>
                      <a:defRPr sz="1100" b="1" i="0" u="none" strike="noStrike" kern="1200" baseline="0">
                        <a:solidFill>
                          <a:schemeClr val="tx1"/>
                        </a:solidFill>
                        <a:latin typeface="+mn-lt"/>
                        <a:ea typeface="+mn-ea"/>
                        <a:cs typeface="Calibri" panose="020F0502020204030204" pitchFamily="34" charset="0"/>
                      </a:defRPr>
                    </a:pPr>
                    <a:fld id="{60EC07AE-CCB1-450C-84EF-381BDBA41743}" type="CATEGORYNAME">
                      <a:rPr lang="en-US" sz="1100">
                        <a:solidFill>
                          <a:schemeClr val="tx1"/>
                        </a:solidFill>
                        <a:latin typeface="+mn-lt"/>
                      </a:rPr>
                      <a:pPr>
                        <a:defRPr sz="1100" b="1">
                          <a:solidFill>
                            <a:schemeClr val="tx1"/>
                          </a:solidFill>
                          <a:cs typeface="Calibri" panose="020F0502020204030204" pitchFamily="34" charset="0"/>
                        </a:defRPr>
                      </a:pPr>
                      <a:t>[CATEGORY NAME]</a:t>
                    </a:fld>
                    <a:r>
                      <a:rPr lang="en-US" sz="1100" baseline="0">
                        <a:solidFill>
                          <a:schemeClr val="tx1"/>
                        </a:solidFill>
                        <a:latin typeface="+mn-lt"/>
                      </a:rPr>
                      <a:t>
</a:t>
                    </a:r>
                    <a:fld id="{9FCC1CCD-F5BD-4D65-A1F5-94E5EC6F2E2A}" type="PERCENTAGE">
                      <a:rPr lang="en-US" sz="1100" baseline="0">
                        <a:solidFill>
                          <a:schemeClr val="tx1"/>
                        </a:solidFill>
                        <a:latin typeface="+mn-lt"/>
                      </a:rPr>
                      <a:pPr>
                        <a:defRPr sz="1100" b="1">
                          <a:solidFill>
                            <a:schemeClr val="tx1"/>
                          </a:solidFill>
                          <a:cs typeface="Calibri" panose="020F0502020204030204" pitchFamily="34" charset="0"/>
                        </a:defRPr>
                      </a:pPr>
                      <a:t>[PERCENTAGE]</a:t>
                    </a:fld>
                    <a:endParaRPr lang="en-US" sz="1100" baseline="0">
                      <a:solidFill>
                        <a:schemeClr val="tx1"/>
                      </a:solidFill>
                      <a:latin typeface="+mn-lt"/>
                    </a:endParaRPr>
                  </a:p>
                </c:rich>
              </c:tx>
              <c:spPr>
                <a:noFill/>
                <a:ln>
                  <a:noFill/>
                </a:ln>
                <a:effectLst/>
              </c:spPr>
              <c:txPr>
                <a:bodyPr rot="0" spcFirstLastPara="1" vertOverflow="ellipsis" vert="horz" wrap="square" lIns="38100" tIns="19050" rIns="38100" bIns="19050" anchor="ctr" anchorCtr="1">
                  <a:noAutofit/>
                </a:bodyPr>
                <a:lstStyle/>
                <a:p>
                  <a:pPr>
                    <a:defRPr sz="1100" b="1" i="0" u="none" strike="noStrike" kern="1200" baseline="0">
                      <a:solidFill>
                        <a:schemeClr val="tx1"/>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layout>
                    <c:manualLayout>
                      <c:w val="0.23127596137455853"/>
                      <c:h val="0.19862418569891457"/>
                    </c:manualLayout>
                  </c15:layout>
                  <c15:dlblFieldTable/>
                  <c15:showDataLabelsRange val="0"/>
                </c:ext>
                <c:ext xmlns:c16="http://schemas.microsoft.com/office/drawing/2014/chart" uri="{C3380CC4-5D6E-409C-BE32-E72D297353CC}">
                  <c16:uniqueId val="{00000001-5706-4D28-A909-B34E8B2F1BE7}"/>
                </c:ext>
              </c:extLst>
            </c:dLbl>
            <c:dLbl>
              <c:idx val="1"/>
              <c:delete val="1"/>
              <c:extLst>
                <c:ext xmlns:c15="http://schemas.microsoft.com/office/drawing/2012/chart" uri="{CE6537A1-D6FC-4f65-9D91-7224C49458BB}">
                  <c15:layout>
                    <c:manualLayout>
                      <c:w val="0.13331073446327685"/>
                      <c:h val="0.30794739851343628"/>
                    </c:manualLayout>
                  </c15:layout>
                </c:ext>
                <c:ext xmlns:c16="http://schemas.microsoft.com/office/drawing/2014/chart" uri="{C3380CC4-5D6E-409C-BE32-E72D297353CC}">
                  <c16:uniqueId val="{00000003-5706-4D28-A909-B34E8B2F1BE7}"/>
                </c:ext>
              </c:extLst>
            </c:dLbl>
            <c:dLbl>
              <c:idx val="2"/>
              <c:layout>
                <c:manualLayout>
                  <c:x val="9.1658567365748483E-2"/>
                  <c:y val="0.12578616352201258"/>
                </c:manualLayout>
              </c:layout>
              <c:tx>
                <c:rich>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mn-lt"/>
                        <a:ea typeface="+mn-ea"/>
                        <a:cs typeface="Calibri" panose="020F0502020204030204" pitchFamily="34" charset="0"/>
                      </a:defRPr>
                    </a:pPr>
                    <a:fld id="{DE812037-EBE3-4F2A-8ED1-1024D81F0AF4}" type="CATEGORYNAME">
                      <a:rPr lang="en-US" sz="1100">
                        <a:solidFill>
                          <a:schemeClr val="bg1"/>
                        </a:solidFill>
                        <a:latin typeface="Aptos" panose="020B0004020202020204" pitchFamily="34" charset="0"/>
                      </a:rPr>
                      <a:pPr>
                        <a:defRPr sz="1100" b="1">
                          <a:solidFill>
                            <a:schemeClr val="bg1"/>
                          </a:solidFill>
                          <a:cs typeface="Calibri" panose="020F0502020204030204" pitchFamily="34" charset="0"/>
                        </a:defRPr>
                      </a:pPr>
                      <a:t>[CATEGORY NAME]</a:t>
                    </a:fld>
                    <a:r>
                      <a:rPr lang="en-US" sz="1100" baseline="0">
                        <a:solidFill>
                          <a:schemeClr val="bg1"/>
                        </a:solidFill>
                        <a:latin typeface="Aptos" panose="020B0004020202020204" pitchFamily="34" charset="0"/>
                      </a:rPr>
                      <a:t>
</a:t>
                    </a:r>
                    <a:fld id="{B8553DCE-ABFA-48C4-83AC-E11F6F9F3A97}" type="PERCENTAGE">
                      <a:rPr lang="en-US" sz="1100" baseline="0">
                        <a:solidFill>
                          <a:schemeClr val="bg1"/>
                        </a:solidFill>
                        <a:latin typeface="Aptos" panose="020B0004020202020204" pitchFamily="34" charset="0"/>
                      </a:rPr>
                      <a:pPr>
                        <a:defRPr sz="1100" b="1">
                          <a:solidFill>
                            <a:schemeClr val="bg1"/>
                          </a:solidFill>
                          <a:cs typeface="Calibri" panose="020F0502020204030204" pitchFamily="34" charset="0"/>
                        </a:defRPr>
                      </a:pPr>
                      <a:t>[PERCENTAGE]</a:t>
                    </a:fld>
                    <a:endParaRPr lang="en-US" sz="1100" baseline="0">
                      <a:solidFill>
                        <a:schemeClr val="bg1"/>
                      </a:solidFill>
                      <a:latin typeface="Aptos" panose="020B0004020202020204" pitchFamily="34" charset="0"/>
                    </a:endParaRPr>
                  </a:p>
                </c:rich>
              </c:tx>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5706-4D28-A909-B34E8B2F1BE7}"/>
                </c:ext>
              </c:extLst>
            </c:dLbl>
            <c:dLbl>
              <c:idx val="3"/>
              <c:layout>
                <c:manualLayout>
                  <c:x val="-0.10483575614574962"/>
                  <c:y val="-0.3189255502581903"/>
                </c:manualLayout>
              </c:layout>
              <c:spPr>
                <a:noFill/>
                <a:ln>
                  <a:noFill/>
                </a:ln>
                <a:effectLst/>
              </c:spPr>
              <c:txPr>
                <a:bodyPr rot="0" spcFirstLastPara="1" vertOverflow="ellipsis" vert="horz" wrap="square" lIns="38100" tIns="19050" rIns="38100" bIns="19050" anchor="ctr" anchorCtr="1">
                  <a:noAutofit/>
                </a:bodyPr>
                <a:lstStyle/>
                <a:p>
                  <a:pPr>
                    <a:defRPr sz="1100" b="1" i="0" u="none" strike="noStrike" kern="1200" baseline="0">
                      <a:solidFill>
                        <a:schemeClr val="bg1"/>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layout>
                    <c:manualLayout>
                      <c:w val="0.13729595991917645"/>
                      <c:h val="0.25077186963979414"/>
                    </c:manualLayout>
                  </c15:layout>
                </c:ext>
                <c:ext xmlns:c16="http://schemas.microsoft.com/office/drawing/2014/chart" uri="{C3380CC4-5D6E-409C-BE32-E72D297353CC}">
                  <c16:uniqueId val="{00000007-5706-4D28-A909-B34E8B2F1BE7}"/>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solidFill>
                    <a:latin typeface="+mn-lt"/>
                    <a:ea typeface="+mn-ea"/>
                    <a:cs typeface="Calibri" panose="020F0502020204030204" pitchFamily="34" charset="0"/>
                  </a:defRPr>
                </a:pPr>
                <a:endParaRPr lang="en-US"/>
              </a:p>
            </c:txPr>
            <c:dLblPos val="ctr"/>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Sheet1!$A$2:$A$5</c:f>
              <c:strCache>
                <c:ptCount val="4"/>
                <c:pt idx="0">
                  <c:v>Strongly Disagree</c:v>
                </c:pt>
                <c:pt idx="1">
                  <c:v>Disagree</c:v>
                </c:pt>
                <c:pt idx="2">
                  <c:v>Agree</c:v>
                </c:pt>
                <c:pt idx="3">
                  <c:v>Strongly Agree</c:v>
                </c:pt>
              </c:strCache>
            </c:strRef>
          </c:cat>
          <c:val>
            <c:numRef>
              <c:f>Sheet1!$B$2:$B$5</c:f>
              <c:numCache>
                <c:formatCode>0%</c:formatCode>
                <c:ptCount val="4"/>
                <c:pt idx="0">
                  <c:v>0.09</c:v>
                </c:pt>
                <c:pt idx="1">
                  <c:v>0</c:v>
                </c:pt>
                <c:pt idx="2">
                  <c:v>0.38</c:v>
                </c:pt>
                <c:pt idx="3">
                  <c:v>0.53</c:v>
                </c:pt>
              </c:numCache>
            </c:numRef>
          </c:val>
          <c:extLst>
            <c:ext xmlns:c16="http://schemas.microsoft.com/office/drawing/2014/chart" uri="{C3380CC4-5D6E-409C-BE32-E72D297353CC}">
              <c16:uniqueId val="{0000000A-5706-4D28-A909-B34E8B2F1BE7}"/>
            </c:ext>
          </c:extLst>
        </c:ser>
        <c:dLbls>
          <c:showLegendKey val="0"/>
          <c:showVal val="0"/>
          <c:showCatName val="1"/>
          <c:showSerName val="0"/>
          <c:showPercent val="1"/>
          <c:showBubbleSize val="0"/>
          <c:showLeaderLines val="1"/>
        </c:dLbls>
        <c:firstSliceAng val="238"/>
      </c:pieChart>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6683417177019537"/>
          <c:y val="1.7044804975204782E-2"/>
          <c:w val="0.50682883846539006"/>
          <c:h val="0.9832621186203967"/>
        </c:manualLayout>
      </c:layout>
      <c:barChart>
        <c:barDir val="bar"/>
        <c:grouping val="clustered"/>
        <c:varyColors val="0"/>
        <c:ser>
          <c:idx val="0"/>
          <c:order val="0"/>
          <c:tx>
            <c:strRef>
              <c:f>Sheet1!$B$1</c:f>
              <c:strCache>
                <c:ptCount val="1"/>
                <c:pt idx="0">
                  <c:v>Series 1</c:v>
                </c:pt>
              </c:strCache>
            </c:strRef>
          </c:tx>
          <c:spPr>
            <a:solidFill>
              <a:srgbClr val="2263A0"/>
            </a:solidFill>
            <a:ln>
              <a:noFill/>
            </a:ln>
            <a:effectLst/>
          </c:spPr>
          <c:invertIfNegative val="0"/>
          <c:dPt>
            <c:idx val="10"/>
            <c:invertIfNegative val="0"/>
            <c:bubble3D val="0"/>
            <c:spPr>
              <a:solidFill>
                <a:srgbClr val="2263A0"/>
              </a:solidFill>
              <a:ln>
                <a:noFill/>
              </a:ln>
              <a:effectLst/>
            </c:spPr>
            <c:extLst>
              <c:ext xmlns:c16="http://schemas.microsoft.com/office/drawing/2014/chart" uri="{C3380CC4-5D6E-409C-BE32-E72D297353CC}">
                <c16:uniqueId val="{00000001-44F4-4C33-9BF6-3336C53DAD83}"/>
              </c:ext>
            </c:extLst>
          </c:dPt>
          <c:dPt>
            <c:idx val="11"/>
            <c:invertIfNegative val="0"/>
            <c:bubble3D val="0"/>
            <c:spPr>
              <a:solidFill>
                <a:srgbClr val="2263A0"/>
              </a:solidFill>
              <a:ln>
                <a:noFill/>
              </a:ln>
              <a:effectLst/>
            </c:spPr>
            <c:extLst>
              <c:ext xmlns:c16="http://schemas.microsoft.com/office/drawing/2014/chart" uri="{C3380CC4-5D6E-409C-BE32-E72D297353CC}">
                <c16:uniqueId val="{00000003-44F4-4C33-9BF6-3336C53DAD83}"/>
              </c:ext>
            </c:extLst>
          </c:dPt>
          <c:dLbls>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Other</c:v>
                </c:pt>
                <c:pt idx="1">
                  <c:v>Deadlines for NIMAS file production are not included in procurement contracts</c:v>
                </c:pt>
                <c:pt idx="2">
                  <c:v>NIMAS requirement is not consistently included in procurement contracts for educational materials</c:v>
                </c:pt>
                <c:pt idx="3">
                  <c:v>The SEA/LEA staff who coordinate procurement contracts for educational materials are not aware that the NIMAS language should be included in procurement contracts</c:v>
                </c:pt>
                <c:pt idx="4">
                  <c:v>Turnover of SEA/LEA staff who are responsible for procurement contracts for educational materials (without knowledge transfer to new staff)</c:v>
                </c:pt>
                <c:pt idx="5">
                  <c:v>Materials are purchased at the school level and do not include the NIMAS requirement in procurement contracts</c:v>
                </c:pt>
              </c:strCache>
            </c:strRef>
          </c:cat>
          <c:val>
            <c:numRef>
              <c:f>Sheet1!$B$2:$B$7</c:f>
              <c:numCache>
                <c:formatCode>0%</c:formatCode>
                <c:ptCount val="6"/>
                <c:pt idx="0">
                  <c:v>0.1048</c:v>
                </c:pt>
                <c:pt idx="1">
                  <c:v>0.50480000000000003</c:v>
                </c:pt>
                <c:pt idx="2">
                  <c:v>0.57140000000000002</c:v>
                </c:pt>
                <c:pt idx="3">
                  <c:v>0.57999999999999996</c:v>
                </c:pt>
                <c:pt idx="4">
                  <c:v>0.57999999999999996</c:v>
                </c:pt>
                <c:pt idx="5">
                  <c:v>0.75239999999999996</c:v>
                </c:pt>
              </c:numCache>
            </c:numRef>
          </c:val>
          <c:extLst>
            <c:ext xmlns:c16="http://schemas.microsoft.com/office/drawing/2014/chart" uri="{C3380CC4-5D6E-409C-BE32-E72D297353CC}">
              <c16:uniqueId val="{00000004-44F4-4C33-9BF6-3336C53DAD83}"/>
            </c:ext>
          </c:extLst>
        </c:ser>
        <c:dLbls>
          <c:dLblPos val="outEnd"/>
          <c:showLegendKey val="0"/>
          <c:showVal val="1"/>
          <c:showCatName val="0"/>
          <c:showSerName val="0"/>
          <c:showPercent val="0"/>
          <c:showBubbleSize val="0"/>
        </c:dLbls>
        <c:gapWidth val="100"/>
        <c:axId val="1268204576"/>
        <c:axId val="1268204992"/>
      </c:barChart>
      <c:catAx>
        <c:axId val="126820457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268204992"/>
        <c:crosses val="autoZero"/>
        <c:auto val="1"/>
        <c:lblAlgn val="ctr"/>
        <c:lblOffset val="100"/>
        <c:noMultiLvlLbl val="0"/>
      </c:catAx>
      <c:valAx>
        <c:axId val="1268204992"/>
        <c:scaling>
          <c:orientation val="minMax"/>
        </c:scaling>
        <c:delete val="1"/>
        <c:axPos val="b"/>
        <c:numFmt formatCode="0%" sourceLinked="1"/>
        <c:majorTickMark val="none"/>
        <c:minorTickMark val="none"/>
        <c:tickLblPos val="nextTo"/>
        <c:crossAx val="1268204576"/>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3.6087901793998504E-2"/>
          <c:y val="2.7131154060287918E-2"/>
          <c:w val="0.96391209820600154"/>
          <c:h val="0.61725747217644311"/>
        </c:manualLayout>
      </c:layout>
      <c:barChart>
        <c:barDir val="col"/>
        <c:grouping val="clustered"/>
        <c:varyColors val="0"/>
        <c:ser>
          <c:idx val="2"/>
          <c:order val="0"/>
          <c:tx>
            <c:strRef>
              <c:f>Sheet1!$B$1</c:f>
              <c:strCache>
                <c:ptCount val="1"/>
                <c:pt idx="0">
                  <c:v>LEA/ESD, Regional, 
&amp; Cooperative Staff
(n = 46)</c:v>
                </c:pt>
              </c:strCache>
            </c:strRef>
          </c:tx>
          <c:spPr>
            <a:solidFill>
              <a:srgbClr val="1A1A1A"/>
            </a:solidFill>
            <a:ln>
              <a:solidFill>
                <a:schemeClr val="tx2">
                  <a:lumMod val="90000"/>
                  <a:lumOff val="10000"/>
                </a:schemeClr>
              </a:solidFill>
            </a:ln>
            <a:effectLst/>
          </c:spPr>
          <c:invertIfNegative val="0"/>
          <c:dPt>
            <c:idx val="0"/>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1-BBC6-4DAC-90D2-CAF19B2F1E76}"/>
              </c:ext>
            </c:extLst>
          </c:dPt>
          <c:dPt>
            <c:idx val="1"/>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3-BBC6-4DAC-90D2-CAF19B2F1E76}"/>
              </c:ext>
            </c:extLst>
          </c:dPt>
          <c:dPt>
            <c:idx val="2"/>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5-BBC6-4DAC-90D2-CAF19B2F1E76}"/>
              </c:ext>
            </c:extLst>
          </c:dPt>
          <c:dLbls>
            <c:dLbl>
              <c:idx val="0"/>
              <c:tx>
                <c:rich>
                  <a:bodyPr/>
                  <a:lstStyle/>
                  <a:p>
                    <a:fld id="{CFD23BEA-0B1F-44AA-B543-4D112F05C815}" type="VALUE">
                      <a:rPr lang="en-US"/>
                      <a:pPr/>
                      <a:t>[VALUE]</a:t>
                    </a:fld>
                    <a:endParaRPr lang="en-US"/>
                  </a:p>
                  <a:p>
                    <a:r>
                      <a:rPr lang="en-US"/>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BBC6-4DAC-90D2-CAF19B2F1E76}"/>
                </c:ext>
              </c:extLst>
            </c:dLbl>
            <c:dLbl>
              <c:idx val="1"/>
              <c:tx>
                <c:rich>
                  <a:bodyPr/>
                  <a:lstStyle/>
                  <a:p>
                    <a:fld id="{4EB87690-2A4C-48DD-B754-08006DFD1901}" type="VALUE">
                      <a:rPr lang="en-US"/>
                      <a:pPr/>
                      <a:t>[VALUE]</a:t>
                    </a:fld>
                    <a:endParaRPr lang="en-US"/>
                  </a:p>
                  <a:p>
                    <a:r>
                      <a:rPr lang="en-US"/>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BBC6-4DAC-90D2-CAF19B2F1E76}"/>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NIMAS requirement is not consistently included in procurement contracts</c:v>
                </c:pt>
                <c:pt idx="1">
                  <c:v>Deadlines for NIMAS file production are not included in procurement contracts</c:v>
                </c:pt>
              </c:strCache>
            </c:strRef>
          </c:cat>
          <c:val>
            <c:numRef>
              <c:f>Sheet1!$B$2:$B$3</c:f>
              <c:numCache>
                <c:formatCode>0%</c:formatCode>
                <c:ptCount val="2"/>
                <c:pt idx="0">
                  <c:v>0.46</c:v>
                </c:pt>
                <c:pt idx="1">
                  <c:v>0.39</c:v>
                </c:pt>
              </c:numCache>
            </c:numRef>
          </c:val>
          <c:extLst>
            <c:ext xmlns:c16="http://schemas.microsoft.com/office/drawing/2014/chart" uri="{C3380CC4-5D6E-409C-BE32-E72D297353CC}">
              <c16:uniqueId val="{00000006-BBC6-4DAC-90D2-CAF19B2F1E76}"/>
            </c:ext>
          </c:extLst>
        </c:ser>
        <c:ser>
          <c:idx val="0"/>
          <c:order val="1"/>
          <c:tx>
            <c:strRef>
              <c:f>Sheet1!$C$1</c:f>
              <c:strCache>
                <c:ptCount val="1"/>
                <c:pt idx="0">
                  <c:v>School 
Staff 
(n = 20)</c:v>
                </c:pt>
              </c:strCache>
            </c:strRef>
          </c:tx>
          <c:spPr>
            <a:solidFill>
              <a:srgbClr val="B05227"/>
            </a:solidFill>
            <a:ln w="9525">
              <a:solidFill>
                <a:sysClr val="window" lastClr="FFFFFF"/>
              </a:solidFill>
            </a:ln>
            <a:effectLst/>
          </c:spPr>
          <c:invertIfNegative val="0"/>
          <c:dPt>
            <c:idx val="0"/>
            <c:invertIfNegative val="0"/>
            <c:bubble3D val="0"/>
            <c:spPr>
              <a:solidFill>
                <a:srgbClr val="B05227"/>
              </a:solidFill>
              <a:ln w="9525">
                <a:solidFill>
                  <a:sysClr val="window" lastClr="FFFFFF"/>
                </a:solidFill>
              </a:ln>
              <a:effectLst/>
            </c:spPr>
            <c:extLst>
              <c:ext xmlns:c16="http://schemas.microsoft.com/office/drawing/2014/chart" uri="{C3380CC4-5D6E-409C-BE32-E72D297353CC}">
                <c16:uniqueId val="{00000008-BBC6-4DAC-90D2-CAF19B2F1E76}"/>
              </c:ext>
            </c:extLst>
          </c:dPt>
          <c:dLbls>
            <c:dLbl>
              <c:idx val="0"/>
              <c:tx>
                <c:rich>
                  <a:bodyPr/>
                  <a:lstStyle/>
                  <a:p>
                    <a:fld id="{2BBB892D-0651-4925-9568-2749FA6BCE38}" type="VALUE">
                      <a:rPr lang="en-US"/>
                      <a:pPr/>
                      <a:t>[VALUE]</a:t>
                    </a:fld>
                    <a:endParaRPr lang="en-US"/>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8-BBC6-4DAC-90D2-CAF19B2F1E76}"/>
                </c:ext>
              </c:extLst>
            </c:dLbl>
            <c:dLbl>
              <c:idx val="1"/>
              <c:tx>
                <c:rich>
                  <a:bodyPr/>
                  <a:lstStyle/>
                  <a:p>
                    <a:fld id="{1AF2F24D-F653-49ED-8D17-B758F1FFF3BF}" type="VALUE">
                      <a:rPr lang="en-US"/>
                      <a:pPr/>
                      <a:t>[VALUE]</a:t>
                    </a:fld>
                    <a:endParaRPr lang="en-US"/>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9-BBC6-4DAC-90D2-CAF19B2F1E76}"/>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NIMAS requirement is not consistently included in procurement contracts</c:v>
                </c:pt>
                <c:pt idx="1">
                  <c:v>Deadlines for NIMAS file production are not included in procurement contracts</c:v>
                </c:pt>
              </c:strCache>
            </c:strRef>
          </c:cat>
          <c:val>
            <c:numRef>
              <c:f>Sheet1!$C$2:$C$3</c:f>
              <c:numCache>
                <c:formatCode>0%</c:formatCode>
                <c:ptCount val="2"/>
                <c:pt idx="0">
                  <c:v>0.5</c:v>
                </c:pt>
                <c:pt idx="1">
                  <c:v>0.45</c:v>
                </c:pt>
              </c:numCache>
            </c:numRef>
          </c:val>
          <c:extLst>
            <c:ext xmlns:c16="http://schemas.microsoft.com/office/drawing/2014/chart" uri="{C3380CC4-5D6E-409C-BE32-E72D297353CC}">
              <c16:uniqueId val="{0000000A-BBC6-4DAC-90D2-CAF19B2F1E76}"/>
            </c:ext>
          </c:extLst>
        </c:ser>
        <c:ser>
          <c:idx val="3"/>
          <c:order val="2"/>
          <c:tx>
            <c:strRef>
              <c:f>Sheet1!$D$1</c:f>
              <c:strCache>
                <c:ptCount val="1"/>
                <c:pt idx="0">
                  <c:v>IMR/IRC 
Staff
(n = 20)</c:v>
                </c:pt>
              </c:strCache>
            </c:strRef>
          </c:tx>
          <c:spPr>
            <a:solidFill>
              <a:srgbClr val="1F5A92"/>
            </a:solidFill>
            <a:ln>
              <a:noFill/>
            </a:ln>
            <a:effectLst/>
          </c:spPr>
          <c:invertIfNegative val="0"/>
          <c:dLbls>
            <c:dLbl>
              <c:idx val="0"/>
              <c:tx>
                <c:rich>
                  <a:bodyPr/>
                  <a:lstStyle/>
                  <a:p>
                    <a:fld id="{A64C0563-0742-4573-A56A-3A927C1CAACA}" type="VALUE">
                      <a:rPr lang="en-US"/>
                      <a:pPr/>
                      <a:t>[VALUE]</a:t>
                    </a:fld>
                    <a:endParaRPr lang="en-US"/>
                  </a:p>
                  <a:p>
                    <a:r>
                      <a:rPr lang="en-US"/>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B-BBC6-4DAC-90D2-CAF19B2F1E76}"/>
                </c:ext>
              </c:extLst>
            </c:dLbl>
            <c:dLbl>
              <c:idx val="1"/>
              <c:tx>
                <c:rich>
                  <a:bodyPr/>
                  <a:lstStyle/>
                  <a:p>
                    <a:fld id="{B2C4A005-9C14-4FC2-996E-20F9599A4407}" type="VALUE">
                      <a:rPr lang="en-US"/>
                      <a:pPr/>
                      <a:t>[VALUE]</a:t>
                    </a:fld>
                    <a:endParaRPr lang="en-US"/>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C-BBC6-4DAC-90D2-CAF19B2F1E76}"/>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NIMAS requirement is not consistently included in procurement contracts</c:v>
                </c:pt>
                <c:pt idx="1">
                  <c:v>Deadlines for NIMAS file production are not included in procurement contracts</c:v>
                </c:pt>
              </c:strCache>
            </c:strRef>
          </c:cat>
          <c:val>
            <c:numRef>
              <c:f>Sheet1!$D$2:$D$3</c:f>
              <c:numCache>
                <c:formatCode>0%</c:formatCode>
                <c:ptCount val="2"/>
                <c:pt idx="0">
                  <c:v>0.8</c:v>
                </c:pt>
                <c:pt idx="1">
                  <c:v>0.6</c:v>
                </c:pt>
              </c:numCache>
            </c:numRef>
          </c:val>
          <c:extLst>
            <c:ext xmlns:c16="http://schemas.microsoft.com/office/drawing/2014/chart" uri="{C3380CC4-5D6E-409C-BE32-E72D297353CC}">
              <c16:uniqueId val="{0000000D-BBC6-4DAC-90D2-CAF19B2F1E76}"/>
            </c:ext>
          </c:extLst>
        </c:ser>
        <c:ser>
          <c:idx val="1"/>
          <c:order val="3"/>
          <c:tx>
            <c:strRef>
              <c:f>Sheet1!$E$1</c:f>
              <c:strCache>
                <c:ptCount val="1"/>
                <c:pt idx="0">
                  <c:v>SEA 
Staff
(n = 11)</c:v>
                </c:pt>
              </c:strCache>
            </c:strRef>
          </c:tx>
          <c:spPr>
            <a:solidFill>
              <a:srgbClr val="6A1B9A"/>
            </a:solidFill>
            <a:ln>
              <a:noFill/>
            </a:ln>
            <a:effectLst/>
          </c:spPr>
          <c:invertIfNegative val="0"/>
          <c:dLbls>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NIMAS requirement is not consistently included in procurement contracts</c:v>
                </c:pt>
                <c:pt idx="1">
                  <c:v>Deadlines for NIMAS file production are not included in procurement contracts</c:v>
                </c:pt>
              </c:strCache>
            </c:strRef>
          </c:cat>
          <c:val>
            <c:numRef>
              <c:f>Sheet1!$E$2:$E$3</c:f>
              <c:numCache>
                <c:formatCode>0%</c:formatCode>
                <c:ptCount val="2"/>
                <c:pt idx="0">
                  <c:v>0.73</c:v>
                </c:pt>
                <c:pt idx="1">
                  <c:v>0.64</c:v>
                </c:pt>
              </c:numCache>
            </c:numRef>
          </c:val>
          <c:extLst>
            <c:ext xmlns:c16="http://schemas.microsoft.com/office/drawing/2014/chart" uri="{C3380CC4-5D6E-409C-BE32-E72D297353CC}">
              <c16:uniqueId val="{0000000E-BBC6-4DAC-90D2-CAF19B2F1E76}"/>
            </c:ext>
          </c:extLst>
        </c:ser>
        <c:ser>
          <c:idx val="4"/>
          <c:order val="4"/>
          <c:tx>
            <c:strRef>
              <c:f>Sheet1!$F$1</c:f>
              <c:strCache>
                <c:ptCount val="1"/>
                <c:pt idx="0">
                  <c:v>AMPS, Publishers, 
&amp; Vendors
(n = 8)</c:v>
                </c:pt>
              </c:strCache>
            </c:strRef>
          </c:tx>
          <c:spPr>
            <a:solidFill>
              <a:srgbClr val="2E7D6B"/>
            </a:solidFill>
            <a:ln>
              <a:noFill/>
            </a:ln>
            <a:effectLst/>
          </c:spPr>
          <c:invertIfNegative val="0"/>
          <c:dPt>
            <c:idx val="0"/>
            <c:invertIfNegative val="0"/>
            <c:bubble3D val="0"/>
            <c:spPr>
              <a:solidFill>
                <a:srgbClr val="2E7D6B"/>
              </a:solidFill>
              <a:ln>
                <a:noFill/>
              </a:ln>
              <a:effectLst/>
            </c:spPr>
            <c:extLst>
              <c:ext xmlns:c16="http://schemas.microsoft.com/office/drawing/2014/chart" uri="{C3380CC4-5D6E-409C-BE32-E72D297353CC}">
                <c16:uniqueId val="{00000010-BBC6-4DAC-90D2-CAF19B2F1E76}"/>
              </c:ext>
            </c:extLst>
          </c:dPt>
          <c:dLbls>
            <c:dLbl>
              <c:idx val="1"/>
              <c:tx>
                <c:rich>
                  <a:bodyPr/>
                  <a:lstStyle/>
                  <a:p>
                    <a:fld id="{00D82933-6129-49E3-A0BD-E593135097A5}" type="VALUE">
                      <a:rPr lang="en-US"/>
                      <a:pPr/>
                      <a:t>[VALUE]</a:t>
                    </a:fld>
                    <a:endParaRPr lang="en-US"/>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1-BBC6-4DAC-90D2-CAF19B2F1E76}"/>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NIMAS requirement is not consistently included in procurement contracts</c:v>
                </c:pt>
                <c:pt idx="1">
                  <c:v>Deadlines for NIMAS file production are not included in procurement contracts</c:v>
                </c:pt>
              </c:strCache>
            </c:strRef>
          </c:cat>
          <c:val>
            <c:numRef>
              <c:f>Sheet1!$F$2:$F$3</c:f>
              <c:numCache>
                <c:formatCode>0%</c:formatCode>
                <c:ptCount val="2"/>
                <c:pt idx="0">
                  <c:v>0.63</c:v>
                </c:pt>
                <c:pt idx="1">
                  <c:v>0.88</c:v>
                </c:pt>
              </c:numCache>
            </c:numRef>
          </c:val>
          <c:extLst>
            <c:ext xmlns:c16="http://schemas.microsoft.com/office/drawing/2014/chart" uri="{C3380CC4-5D6E-409C-BE32-E72D297353CC}">
              <c16:uniqueId val="{00000012-BBC6-4DAC-90D2-CAF19B2F1E76}"/>
            </c:ext>
          </c:extLst>
        </c:ser>
        <c:dLbls>
          <c:showLegendKey val="0"/>
          <c:showVal val="0"/>
          <c:showCatName val="0"/>
          <c:showSerName val="0"/>
          <c:showPercent val="0"/>
          <c:showBubbleSize val="0"/>
        </c:dLbls>
        <c:gapWidth val="316"/>
        <c:overlap val="-25"/>
        <c:axId val="1677196128"/>
        <c:axId val="1677185088"/>
      </c:barChart>
      <c:catAx>
        <c:axId val="1677196128"/>
        <c:scaling>
          <c:orientation val="minMax"/>
        </c:scaling>
        <c:delete val="0"/>
        <c:axPos val="b"/>
        <c:numFmt formatCode="General" sourceLinked="1"/>
        <c:majorTickMark val="none"/>
        <c:minorTickMark val="none"/>
        <c:tickLblPos val="nextTo"/>
        <c:spPr>
          <a:noFill/>
          <a:ln w="9525" cap="flat" cmpd="sng" algn="ctr">
            <a:solidFill>
              <a:schemeClr val="bg2"/>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677185088"/>
        <c:crosses val="autoZero"/>
        <c:auto val="1"/>
        <c:lblAlgn val="ctr"/>
        <c:lblOffset val="100"/>
        <c:noMultiLvlLbl val="0"/>
      </c:catAx>
      <c:valAx>
        <c:axId val="1677185088"/>
        <c:scaling>
          <c:orientation val="minMax"/>
          <c:max val="1"/>
          <c:min val="0"/>
        </c:scaling>
        <c:delete val="0"/>
        <c:axPos val="l"/>
        <c:numFmt formatCode="0%" sourceLinked="0"/>
        <c:majorTickMark val="none"/>
        <c:minorTickMark val="none"/>
        <c:tickLblPos val="nextTo"/>
        <c:spPr>
          <a:noFill/>
          <a:ln>
            <a:solidFill>
              <a:schemeClr val="bg2"/>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677196128"/>
        <c:crosses val="autoZero"/>
        <c:crossBetween val="between"/>
        <c:majorUnit val="0.25"/>
      </c:valAx>
      <c:spPr>
        <a:noFill/>
        <a:ln w="25400">
          <a:noFill/>
        </a:ln>
        <a:effectLst/>
      </c:spPr>
    </c:plotArea>
    <c:legend>
      <c:legendPos val="b"/>
      <c:layout>
        <c:manualLayout>
          <c:xMode val="edge"/>
          <c:yMode val="edge"/>
          <c:x val="7.7205060905848319E-2"/>
          <c:y val="0.79857095630221797"/>
          <c:w val="0.91322498149269804"/>
          <c:h val="0.20142907281938596"/>
        </c:manualLayout>
      </c:layout>
      <c:overlay val="1"/>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1100"/>
      </a:pPr>
      <a:endParaRPr lang="en-US"/>
    </a:p>
  </c:txPr>
  <c:externalData r:id="rId4">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6683417177019537"/>
          <c:y val="1.7044804975204782E-2"/>
          <c:w val="0.50682883846539006"/>
          <c:h val="0.94030921448387939"/>
        </c:manualLayout>
      </c:layout>
      <c:barChart>
        <c:barDir val="bar"/>
        <c:grouping val="clustered"/>
        <c:varyColors val="0"/>
        <c:ser>
          <c:idx val="0"/>
          <c:order val="0"/>
          <c:tx>
            <c:strRef>
              <c:f>Sheet1!$B$1</c:f>
              <c:strCache>
                <c:ptCount val="1"/>
                <c:pt idx="0">
                  <c:v>Series 1</c:v>
                </c:pt>
              </c:strCache>
            </c:strRef>
          </c:tx>
          <c:spPr>
            <a:solidFill>
              <a:srgbClr val="2263A0"/>
            </a:solidFill>
            <a:ln>
              <a:noFill/>
            </a:ln>
            <a:effectLst/>
          </c:spPr>
          <c:invertIfNegative val="0"/>
          <c:dPt>
            <c:idx val="10"/>
            <c:invertIfNegative val="0"/>
            <c:bubble3D val="0"/>
            <c:spPr>
              <a:solidFill>
                <a:srgbClr val="2263A0"/>
              </a:solidFill>
              <a:ln>
                <a:noFill/>
              </a:ln>
              <a:effectLst/>
            </c:spPr>
            <c:extLst>
              <c:ext xmlns:c16="http://schemas.microsoft.com/office/drawing/2014/chart" uri="{C3380CC4-5D6E-409C-BE32-E72D297353CC}">
                <c16:uniqueId val="{00000001-210B-413A-B3B7-1E6760E36966}"/>
              </c:ext>
            </c:extLst>
          </c:dPt>
          <c:dPt>
            <c:idx val="11"/>
            <c:invertIfNegative val="0"/>
            <c:bubble3D val="0"/>
            <c:spPr>
              <a:solidFill>
                <a:srgbClr val="2263A0"/>
              </a:solidFill>
              <a:ln>
                <a:noFill/>
              </a:ln>
              <a:effectLst/>
            </c:spPr>
            <c:extLst>
              <c:ext xmlns:c16="http://schemas.microsoft.com/office/drawing/2014/chart" uri="{C3380CC4-5D6E-409C-BE32-E72D297353CC}">
                <c16:uniqueId val="{00000003-210B-413A-B3B7-1E6760E36966}"/>
              </c:ext>
            </c:extLst>
          </c:dPt>
          <c:dLbls>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Other</c:v>
                </c:pt>
                <c:pt idx="1">
                  <c:v>The NIMAC does not generally receive files for Open Educational Resources (OER)</c:v>
                </c:pt>
                <c:pt idx="2">
                  <c:v>Delays in getting files assigned by Authorized User</c:v>
                </c:pt>
                <c:pt idx="3">
                  <c:v>Difficulties in working with NIMAS files (e.g., lack of conversion software)</c:v>
                </c:pt>
                <c:pt idx="4">
                  <c:v>Teacher- or district-created curricula are not provided to the NIMAC</c:v>
                </c:pt>
                <c:pt idx="5">
                  <c:v>Differences between printings of the textbook in the NIMAC and the textbook being used in the classroom (same ISBN)</c:v>
                </c:pt>
                <c:pt idx="6">
                  <c:v>Lack of understanding or awareness of the NIMAC</c:v>
                </c:pt>
                <c:pt idx="7">
                  <c:v>Misunderstandings about the NIMAC and NIMAS files</c:v>
                </c:pt>
              </c:strCache>
            </c:strRef>
          </c:cat>
          <c:val>
            <c:numRef>
              <c:f>Sheet1!$B$2:$B$9</c:f>
              <c:numCache>
                <c:formatCode>0%</c:formatCode>
                <c:ptCount val="8"/>
                <c:pt idx="0">
                  <c:v>7.6899999999999996E-2</c:v>
                </c:pt>
                <c:pt idx="1">
                  <c:v>0.28000000000000003</c:v>
                </c:pt>
                <c:pt idx="2">
                  <c:v>0.28000000000000003</c:v>
                </c:pt>
                <c:pt idx="3">
                  <c:v>0.43590000000000001</c:v>
                </c:pt>
                <c:pt idx="4">
                  <c:v>0.56410000000000005</c:v>
                </c:pt>
                <c:pt idx="5">
                  <c:v>0.5897</c:v>
                </c:pt>
                <c:pt idx="6">
                  <c:v>0.64100000000000001</c:v>
                </c:pt>
                <c:pt idx="7">
                  <c:v>0.71789999999999998</c:v>
                </c:pt>
              </c:numCache>
            </c:numRef>
          </c:val>
          <c:extLst>
            <c:ext xmlns:c16="http://schemas.microsoft.com/office/drawing/2014/chart" uri="{C3380CC4-5D6E-409C-BE32-E72D297353CC}">
              <c16:uniqueId val="{00000004-210B-413A-B3B7-1E6760E36966}"/>
            </c:ext>
          </c:extLst>
        </c:ser>
        <c:dLbls>
          <c:dLblPos val="outEnd"/>
          <c:showLegendKey val="0"/>
          <c:showVal val="1"/>
          <c:showCatName val="0"/>
          <c:showSerName val="0"/>
          <c:showPercent val="0"/>
          <c:showBubbleSize val="0"/>
        </c:dLbls>
        <c:gapWidth val="100"/>
        <c:axId val="1268204576"/>
        <c:axId val="1268204992"/>
      </c:barChart>
      <c:catAx>
        <c:axId val="126820457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268204992"/>
        <c:crosses val="autoZero"/>
        <c:auto val="1"/>
        <c:lblAlgn val="ctr"/>
        <c:lblOffset val="100"/>
        <c:noMultiLvlLbl val="0"/>
      </c:catAx>
      <c:valAx>
        <c:axId val="1268204992"/>
        <c:scaling>
          <c:orientation val="minMax"/>
        </c:scaling>
        <c:delete val="1"/>
        <c:axPos val="b"/>
        <c:numFmt formatCode="0%" sourceLinked="1"/>
        <c:majorTickMark val="none"/>
        <c:minorTickMark val="none"/>
        <c:tickLblPos val="nextTo"/>
        <c:crossAx val="1268204576"/>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6683417177019537"/>
          <c:y val="1.7044804975204782E-2"/>
          <c:w val="0.50682883846539006"/>
          <c:h val="1"/>
        </c:manualLayout>
      </c:layout>
      <c:barChart>
        <c:barDir val="bar"/>
        <c:grouping val="clustered"/>
        <c:varyColors val="0"/>
        <c:ser>
          <c:idx val="0"/>
          <c:order val="0"/>
          <c:tx>
            <c:strRef>
              <c:f>Sheet1!$B$1</c:f>
              <c:strCache>
                <c:ptCount val="1"/>
                <c:pt idx="0">
                  <c:v>Series 1</c:v>
                </c:pt>
              </c:strCache>
            </c:strRef>
          </c:tx>
          <c:spPr>
            <a:solidFill>
              <a:srgbClr val="2263A0"/>
            </a:solidFill>
            <a:ln>
              <a:noFill/>
            </a:ln>
            <a:effectLst/>
          </c:spPr>
          <c:invertIfNegative val="0"/>
          <c:dPt>
            <c:idx val="10"/>
            <c:invertIfNegative val="0"/>
            <c:bubble3D val="0"/>
            <c:spPr>
              <a:solidFill>
                <a:srgbClr val="2263A0"/>
              </a:solidFill>
              <a:ln>
                <a:noFill/>
              </a:ln>
              <a:effectLst/>
            </c:spPr>
            <c:extLst>
              <c:ext xmlns:c16="http://schemas.microsoft.com/office/drawing/2014/chart" uri="{C3380CC4-5D6E-409C-BE32-E72D297353CC}">
                <c16:uniqueId val="{00000001-2708-4A88-B442-5B9135071222}"/>
              </c:ext>
            </c:extLst>
          </c:dPt>
          <c:dPt>
            <c:idx val="11"/>
            <c:invertIfNegative val="0"/>
            <c:bubble3D val="0"/>
            <c:spPr>
              <a:solidFill>
                <a:srgbClr val="2263A0"/>
              </a:solidFill>
              <a:ln>
                <a:noFill/>
              </a:ln>
              <a:effectLst/>
            </c:spPr>
            <c:extLst>
              <c:ext xmlns:c16="http://schemas.microsoft.com/office/drawing/2014/chart" uri="{C3380CC4-5D6E-409C-BE32-E72D297353CC}">
                <c16:uniqueId val="{00000003-2708-4A88-B442-5B9135071222}"/>
              </c:ext>
            </c:extLst>
          </c:dPt>
          <c:dLbls>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Sheet1!$A$2:$A$8</c:f>
              <c:strCache>
                <c:ptCount val="7"/>
                <c:pt idx="0">
                  <c:v>Other</c:v>
                </c:pt>
                <c:pt idx="1">
                  <c:v>Accessible format requests that do not include sufficient information, which lead to delays</c:v>
                </c:pt>
                <c:pt idx="2">
                  <c:v>Limited capability of AMPs (e.g., lack of staff) to produce some accessible formats</c:v>
                </c:pt>
                <c:pt idx="3">
                  <c:v>Staffing challenges that impact the capability of AMPs to produce accessible formats</c:v>
                </c:pt>
                <c:pt idx="4">
                  <c:v>Lack of communication between those making curriculum decisions and publishers</c:v>
                </c:pt>
                <c:pt idx="5">
                  <c:v>Timelines for instructional materials adoptions (e.g., not enough lead time to produce accessible formats)</c:v>
                </c:pt>
                <c:pt idx="6">
                  <c:v>Delays associated with obtaining a physical copy of the instructional material before the accessible format can be created</c:v>
                </c:pt>
              </c:strCache>
            </c:strRef>
          </c:cat>
          <c:val>
            <c:numRef>
              <c:f>Sheet1!$B$2:$B$8</c:f>
              <c:numCache>
                <c:formatCode>0%</c:formatCode>
                <c:ptCount val="7"/>
                <c:pt idx="0">
                  <c:v>4.0300000000000002E-2</c:v>
                </c:pt>
                <c:pt idx="1">
                  <c:v>0.46310000000000001</c:v>
                </c:pt>
                <c:pt idx="2">
                  <c:v>0.61070000000000002</c:v>
                </c:pt>
                <c:pt idx="3">
                  <c:v>0.63090000000000002</c:v>
                </c:pt>
                <c:pt idx="4">
                  <c:v>0.63759999999999994</c:v>
                </c:pt>
                <c:pt idx="5">
                  <c:v>0.71140000000000003</c:v>
                </c:pt>
                <c:pt idx="6">
                  <c:v>0.7248</c:v>
                </c:pt>
              </c:numCache>
            </c:numRef>
          </c:val>
          <c:extLst>
            <c:ext xmlns:c16="http://schemas.microsoft.com/office/drawing/2014/chart" uri="{C3380CC4-5D6E-409C-BE32-E72D297353CC}">
              <c16:uniqueId val="{00000004-2708-4A88-B442-5B9135071222}"/>
            </c:ext>
          </c:extLst>
        </c:ser>
        <c:dLbls>
          <c:dLblPos val="outEnd"/>
          <c:showLegendKey val="0"/>
          <c:showVal val="1"/>
          <c:showCatName val="0"/>
          <c:showSerName val="0"/>
          <c:showPercent val="0"/>
          <c:showBubbleSize val="0"/>
        </c:dLbls>
        <c:gapWidth val="100"/>
        <c:axId val="1268204576"/>
        <c:axId val="1268204992"/>
      </c:barChart>
      <c:catAx>
        <c:axId val="126820457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268204992"/>
        <c:crosses val="autoZero"/>
        <c:auto val="1"/>
        <c:lblAlgn val="ctr"/>
        <c:lblOffset val="100"/>
        <c:noMultiLvlLbl val="0"/>
      </c:catAx>
      <c:valAx>
        <c:axId val="1268204992"/>
        <c:scaling>
          <c:orientation val="minMax"/>
        </c:scaling>
        <c:delete val="1"/>
        <c:axPos val="b"/>
        <c:numFmt formatCode="0%" sourceLinked="1"/>
        <c:majorTickMark val="none"/>
        <c:minorTickMark val="none"/>
        <c:tickLblPos val="nextTo"/>
        <c:crossAx val="1268204576"/>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3.6087901793998504E-2"/>
          <c:y val="2.7131154060287918E-2"/>
          <c:w val="0.96391209820600154"/>
          <c:h val="0.66247711763302319"/>
        </c:manualLayout>
      </c:layout>
      <c:barChart>
        <c:barDir val="col"/>
        <c:grouping val="clustered"/>
        <c:varyColors val="0"/>
        <c:ser>
          <c:idx val="2"/>
          <c:order val="0"/>
          <c:tx>
            <c:strRef>
              <c:f>Sheet1!$B$1</c:f>
              <c:strCache>
                <c:ptCount val="1"/>
                <c:pt idx="0">
                  <c:v>National Survey
(n = 58)</c:v>
                </c:pt>
              </c:strCache>
            </c:strRef>
          </c:tx>
          <c:spPr>
            <a:solidFill>
              <a:srgbClr val="1A1A1A"/>
            </a:solidFill>
            <a:ln>
              <a:solidFill>
                <a:schemeClr val="tx2">
                  <a:lumMod val="90000"/>
                  <a:lumOff val="10000"/>
                </a:schemeClr>
              </a:solidFill>
            </a:ln>
            <a:effectLst/>
          </c:spPr>
          <c:invertIfNegative val="0"/>
          <c:dPt>
            <c:idx val="0"/>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1-266A-4A4E-ACA5-EFB200867D30}"/>
              </c:ext>
            </c:extLst>
          </c:dPt>
          <c:dPt>
            <c:idx val="1"/>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3-266A-4A4E-ACA5-EFB200867D30}"/>
              </c:ext>
            </c:extLst>
          </c:dPt>
          <c:dPt>
            <c:idx val="2"/>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5-266A-4A4E-ACA5-EFB200867D30}"/>
              </c:ext>
            </c:extLst>
          </c:dPt>
          <c:dLbls>
            <c:dLbl>
              <c:idx val="0"/>
              <c:tx>
                <c:rich>
                  <a:bodyPr/>
                  <a:lstStyle/>
                  <a:p>
                    <a:fld id="{F4FF3447-5BA4-4F18-B08E-FB84131A9D62}" type="VALUE">
                      <a:rPr lang="en-US"/>
                      <a:pPr/>
                      <a:t>[VALUE]</a:t>
                    </a:fld>
                    <a:endParaRPr lang="en-US"/>
                  </a:p>
                  <a:p>
                    <a:r>
                      <a:rPr lang="en-US"/>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266A-4A4E-ACA5-EFB200867D30}"/>
                </c:ext>
              </c:extLst>
            </c:dLbl>
            <c:dLbl>
              <c:idx val="1"/>
              <c:tx>
                <c:rich>
                  <a:bodyPr/>
                  <a:lstStyle/>
                  <a:p>
                    <a:fld id="{A91B0E13-4FD1-46CF-91DB-990C013EFDF1}" type="VALUE">
                      <a:rPr lang="en-US"/>
                      <a:pPr/>
                      <a:t>[VALUE]</a:t>
                    </a:fld>
                    <a:endParaRPr lang="en-US"/>
                  </a:p>
                  <a:p>
                    <a:r>
                      <a:rPr lang="en-US"/>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266A-4A4E-ACA5-EFB200867D30}"/>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Staffing challenges that impact the capability of AMPs to produce accessible formats</c:v>
                </c:pt>
              </c:strCache>
            </c:strRef>
          </c:cat>
          <c:val>
            <c:numRef>
              <c:f>Sheet1!$B$2</c:f>
              <c:numCache>
                <c:formatCode>0%</c:formatCode>
                <c:ptCount val="1"/>
                <c:pt idx="0">
                  <c:v>0.5</c:v>
                </c:pt>
              </c:numCache>
            </c:numRef>
          </c:val>
          <c:extLst>
            <c:ext xmlns:c16="http://schemas.microsoft.com/office/drawing/2014/chart" uri="{C3380CC4-5D6E-409C-BE32-E72D297353CC}">
              <c16:uniqueId val="{00000006-266A-4A4E-ACA5-EFB200867D30}"/>
            </c:ext>
          </c:extLst>
        </c:ser>
        <c:ser>
          <c:idx val="0"/>
          <c:order val="1"/>
          <c:tx>
            <c:strRef>
              <c:f>Sheet1!$C$1</c:f>
              <c:strCache>
                <c:ptCount val="1"/>
                <c:pt idx="0">
                  <c:v>OH 
(n = 47)</c:v>
                </c:pt>
              </c:strCache>
            </c:strRef>
          </c:tx>
          <c:spPr>
            <a:solidFill>
              <a:srgbClr val="B05227"/>
            </a:solidFill>
            <a:ln w="9525">
              <a:solidFill>
                <a:sysClr val="window" lastClr="FFFFFF"/>
              </a:solidFill>
            </a:ln>
            <a:effectLst/>
          </c:spPr>
          <c:invertIfNegative val="0"/>
          <c:dPt>
            <c:idx val="0"/>
            <c:invertIfNegative val="0"/>
            <c:bubble3D val="0"/>
            <c:spPr>
              <a:solidFill>
                <a:srgbClr val="B05227"/>
              </a:solidFill>
              <a:ln w="9525">
                <a:solidFill>
                  <a:sysClr val="window" lastClr="FFFFFF"/>
                </a:solidFill>
              </a:ln>
              <a:effectLst/>
            </c:spPr>
            <c:extLst>
              <c:ext xmlns:c16="http://schemas.microsoft.com/office/drawing/2014/chart" uri="{C3380CC4-5D6E-409C-BE32-E72D297353CC}">
                <c16:uniqueId val="{00000008-266A-4A4E-ACA5-EFB200867D30}"/>
              </c:ext>
            </c:extLst>
          </c:dPt>
          <c:dLbls>
            <c:dLbl>
              <c:idx val="0"/>
              <c:tx>
                <c:rich>
                  <a:bodyPr/>
                  <a:lstStyle/>
                  <a:p>
                    <a:fld id="{2BBB892D-0651-4925-9568-2749FA6BCE38}" type="VALUE">
                      <a:rPr lang="en-US"/>
                      <a:pPr/>
                      <a:t>[VALUE]</a:t>
                    </a:fld>
                    <a:endParaRPr lang="en-US"/>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8-266A-4A4E-ACA5-EFB200867D30}"/>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Staffing challenges that impact the capability of AMPs to produce accessible formats</c:v>
                </c:pt>
              </c:strCache>
            </c:strRef>
          </c:cat>
          <c:val>
            <c:numRef>
              <c:f>Sheet1!$C$2</c:f>
              <c:numCache>
                <c:formatCode>0%</c:formatCode>
                <c:ptCount val="1"/>
                <c:pt idx="0">
                  <c:v>0.7</c:v>
                </c:pt>
              </c:numCache>
            </c:numRef>
          </c:val>
          <c:extLst>
            <c:ext xmlns:c16="http://schemas.microsoft.com/office/drawing/2014/chart" uri="{C3380CC4-5D6E-409C-BE32-E72D297353CC}">
              <c16:uniqueId val="{00000009-266A-4A4E-ACA5-EFB200867D30}"/>
            </c:ext>
          </c:extLst>
        </c:ser>
        <c:ser>
          <c:idx val="3"/>
          <c:order val="2"/>
          <c:tx>
            <c:strRef>
              <c:f>Sheet1!$D$1</c:f>
              <c:strCache>
                <c:ptCount val="1"/>
                <c:pt idx="0">
                  <c:v>OR
(n = 28)</c:v>
                </c:pt>
              </c:strCache>
            </c:strRef>
          </c:tx>
          <c:spPr>
            <a:solidFill>
              <a:srgbClr val="1F5A92"/>
            </a:solidFill>
            <a:ln>
              <a:noFill/>
            </a:ln>
            <a:effectLst/>
          </c:spPr>
          <c:invertIfNegative val="0"/>
          <c:dPt>
            <c:idx val="0"/>
            <c:invertIfNegative val="0"/>
            <c:bubble3D val="0"/>
            <c:spPr>
              <a:solidFill>
                <a:srgbClr val="1F5A92"/>
              </a:solidFill>
              <a:ln>
                <a:noFill/>
              </a:ln>
              <a:effectLst/>
            </c:spPr>
            <c:extLst>
              <c:ext xmlns:c16="http://schemas.microsoft.com/office/drawing/2014/chart" uri="{C3380CC4-5D6E-409C-BE32-E72D297353CC}">
                <c16:uniqueId val="{00000008-82F7-48A3-B888-62BAA886725D}"/>
              </c:ext>
            </c:extLst>
          </c:dPt>
          <c:dLbls>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Staffing challenges that impact the capability of AMPs to produce accessible formats</c:v>
                </c:pt>
              </c:strCache>
            </c:strRef>
          </c:cat>
          <c:val>
            <c:numRef>
              <c:f>Sheet1!$D$2</c:f>
              <c:numCache>
                <c:formatCode>0%</c:formatCode>
                <c:ptCount val="1"/>
                <c:pt idx="0">
                  <c:v>0.79</c:v>
                </c:pt>
              </c:numCache>
            </c:numRef>
          </c:val>
          <c:extLst>
            <c:ext xmlns:c16="http://schemas.microsoft.com/office/drawing/2014/chart" uri="{C3380CC4-5D6E-409C-BE32-E72D297353CC}">
              <c16:uniqueId val="{0000000A-266A-4A4E-ACA5-EFB200867D30}"/>
            </c:ext>
          </c:extLst>
        </c:ser>
        <c:ser>
          <c:idx val="1"/>
          <c:order val="3"/>
          <c:tx>
            <c:strRef>
              <c:f>Sheet1!$E$1</c:f>
              <c:strCache>
                <c:ptCount val="1"/>
                <c:pt idx="0">
                  <c:v>UT
(n= 16)</c:v>
                </c:pt>
              </c:strCache>
            </c:strRef>
          </c:tx>
          <c:spPr>
            <a:solidFill>
              <a:srgbClr val="6A1B9A"/>
            </a:solidFill>
            <a:ln>
              <a:noFill/>
            </a:ln>
            <a:effectLst/>
          </c:spPr>
          <c:invertIfNegative val="0"/>
          <c:dLbls>
            <c:dLbl>
              <c:idx val="0"/>
              <c:tx>
                <c:rich>
                  <a:bodyPr/>
                  <a:lstStyle/>
                  <a:p>
                    <a:fld id="{DC125933-8E33-4D93-A02C-A914F0AA1ADF}" type="VALUE">
                      <a:rPr lang="en-US"/>
                      <a:pPr/>
                      <a:t>[VALUE]</a:t>
                    </a:fld>
                    <a:endParaRPr lang="en-US"/>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B-266A-4A4E-ACA5-EFB200867D30}"/>
                </c:ext>
              </c:extLst>
            </c:dLbl>
            <c:dLbl>
              <c:idx val="1"/>
              <c:tx>
                <c:rich>
                  <a:bodyPr/>
                  <a:lstStyle/>
                  <a:p>
                    <a:fld id="{A8DF74C6-1DA1-4147-8ED7-80E351A1F3C9}" type="VALUE">
                      <a:rPr lang="en-US"/>
                      <a:pPr/>
                      <a:t>[VALUE]</a:t>
                    </a:fld>
                    <a:endParaRPr lang="en-US"/>
                  </a:p>
                  <a:p>
                    <a:r>
                      <a:rPr lang="en-US"/>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C-266A-4A4E-ACA5-EFB200867D30}"/>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Staffing challenges that impact the capability of AMPs to produce accessible formats</c:v>
                </c:pt>
              </c:strCache>
            </c:strRef>
          </c:cat>
          <c:val>
            <c:numRef>
              <c:f>Sheet1!$E$2</c:f>
              <c:numCache>
                <c:formatCode>0%</c:formatCode>
                <c:ptCount val="1"/>
                <c:pt idx="0">
                  <c:v>0.63</c:v>
                </c:pt>
              </c:numCache>
            </c:numRef>
          </c:val>
          <c:extLst>
            <c:ext xmlns:c16="http://schemas.microsoft.com/office/drawing/2014/chart" uri="{C3380CC4-5D6E-409C-BE32-E72D297353CC}">
              <c16:uniqueId val="{0000000D-266A-4A4E-ACA5-EFB200867D30}"/>
            </c:ext>
          </c:extLst>
        </c:ser>
        <c:dLbls>
          <c:showLegendKey val="0"/>
          <c:showVal val="0"/>
          <c:showCatName val="0"/>
          <c:showSerName val="0"/>
          <c:showPercent val="0"/>
          <c:showBubbleSize val="0"/>
        </c:dLbls>
        <c:gapWidth val="100"/>
        <c:overlap val="-69"/>
        <c:axId val="1677196128"/>
        <c:axId val="1677185088"/>
      </c:barChart>
      <c:catAx>
        <c:axId val="1677196128"/>
        <c:scaling>
          <c:orientation val="minMax"/>
        </c:scaling>
        <c:delete val="0"/>
        <c:axPos val="b"/>
        <c:numFmt formatCode="General" sourceLinked="1"/>
        <c:majorTickMark val="none"/>
        <c:minorTickMark val="none"/>
        <c:tickLblPos val="nextTo"/>
        <c:spPr>
          <a:noFill/>
          <a:ln w="9525" cap="flat" cmpd="sng" algn="ctr">
            <a:solidFill>
              <a:schemeClr val="bg2"/>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677185088"/>
        <c:crosses val="autoZero"/>
        <c:auto val="1"/>
        <c:lblAlgn val="ctr"/>
        <c:lblOffset val="100"/>
        <c:tickMarkSkip val="1"/>
        <c:noMultiLvlLbl val="0"/>
      </c:catAx>
      <c:valAx>
        <c:axId val="1677185088"/>
        <c:scaling>
          <c:orientation val="minMax"/>
          <c:max val="1"/>
          <c:min val="0"/>
        </c:scaling>
        <c:delete val="0"/>
        <c:axPos val="l"/>
        <c:numFmt formatCode="0%" sourceLinked="0"/>
        <c:majorTickMark val="none"/>
        <c:minorTickMark val="none"/>
        <c:tickLblPos val="nextTo"/>
        <c:spPr>
          <a:noFill/>
          <a:ln>
            <a:solidFill>
              <a:schemeClr val="bg2"/>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677196128"/>
        <c:crosses val="autoZero"/>
        <c:crossBetween val="between"/>
        <c:majorUnit val="0.25"/>
      </c:valAx>
      <c:spPr>
        <a:noFill/>
        <a:ln w="25400">
          <a:noFill/>
        </a:ln>
        <a:effectLst/>
      </c:spPr>
    </c:plotArea>
    <c:legend>
      <c:legendPos val="b"/>
      <c:layout>
        <c:manualLayout>
          <c:xMode val="edge"/>
          <c:yMode val="edge"/>
          <c:x val="9.7497812773403331E-2"/>
          <c:y val="0.83807287892694382"/>
          <c:w val="0.89999986642891017"/>
          <c:h val="0.13329726422234031"/>
        </c:manualLayout>
      </c:layout>
      <c:overlay val="1"/>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1100"/>
      </a:pPr>
      <a:endParaRPr lang="en-US"/>
    </a:p>
  </c:txPr>
  <c:externalData r:id="rId4">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34763953974040368"/>
          <c:y val="2.7188539682968402E-2"/>
          <c:w val="0.33186698605325299"/>
          <c:h val="0.7494046091579889"/>
        </c:manualLayout>
      </c:layout>
      <c:pieChart>
        <c:varyColors val="1"/>
        <c:ser>
          <c:idx val="0"/>
          <c:order val="0"/>
          <c:tx>
            <c:strRef>
              <c:f>Sheet1!$B$1</c:f>
              <c:strCache>
                <c:ptCount val="1"/>
                <c:pt idx="0">
                  <c:v>Agreement</c:v>
                </c:pt>
              </c:strCache>
            </c:strRef>
          </c:tx>
          <c:dPt>
            <c:idx val="0"/>
            <c:bubble3D val="0"/>
            <c:spPr>
              <a:solidFill>
                <a:srgbClr val="DCEAF7">
                  <a:alpha val="84706"/>
                </a:srgbClr>
              </a:solidFill>
              <a:ln w="19050">
                <a:solidFill>
                  <a:schemeClr val="lt1"/>
                </a:solidFill>
              </a:ln>
              <a:effectLst/>
            </c:spPr>
            <c:extLst>
              <c:ext xmlns:c16="http://schemas.microsoft.com/office/drawing/2014/chart" uri="{C3380CC4-5D6E-409C-BE32-E72D297353CC}">
                <c16:uniqueId val="{00000001-FDB1-4150-A2DF-588DFE09DA25}"/>
              </c:ext>
            </c:extLst>
          </c:dPt>
          <c:dPt>
            <c:idx val="1"/>
            <c:bubble3D val="0"/>
            <c:spPr>
              <a:solidFill>
                <a:srgbClr val="4E95D9"/>
              </a:solidFill>
              <a:ln w="19050">
                <a:solidFill>
                  <a:schemeClr val="lt1"/>
                </a:solidFill>
              </a:ln>
              <a:effectLst/>
            </c:spPr>
            <c:extLst>
              <c:ext xmlns:c16="http://schemas.microsoft.com/office/drawing/2014/chart" uri="{C3380CC4-5D6E-409C-BE32-E72D297353CC}">
                <c16:uniqueId val="{00000003-FDB1-4150-A2DF-588DFE09DA25}"/>
              </c:ext>
            </c:extLst>
          </c:dPt>
          <c:dPt>
            <c:idx val="2"/>
            <c:bubble3D val="0"/>
            <c:spPr>
              <a:solidFill>
                <a:srgbClr val="215F9A"/>
              </a:solidFill>
              <a:ln w="19050">
                <a:solidFill>
                  <a:schemeClr val="lt1"/>
                </a:solidFill>
              </a:ln>
              <a:effectLst/>
            </c:spPr>
            <c:extLst>
              <c:ext xmlns:c16="http://schemas.microsoft.com/office/drawing/2014/chart" uri="{C3380CC4-5D6E-409C-BE32-E72D297353CC}">
                <c16:uniqueId val="{00000005-FDB1-4150-A2DF-588DFE09DA25}"/>
              </c:ext>
            </c:extLst>
          </c:dPt>
          <c:dPt>
            <c:idx val="3"/>
            <c:bubble3D val="0"/>
            <c:spPr>
              <a:solidFill>
                <a:srgbClr val="163E64"/>
              </a:solidFill>
              <a:ln w="19050">
                <a:solidFill>
                  <a:schemeClr val="lt1"/>
                </a:solidFill>
              </a:ln>
              <a:effectLst/>
            </c:spPr>
            <c:extLst>
              <c:ext xmlns:c16="http://schemas.microsoft.com/office/drawing/2014/chart" uri="{C3380CC4-5D6E-409C-BE32-E72D297353CC}">
                <c16:uniqueId val="{00000007-FDB1-4150-A2DF-588DFE09DA2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FDB1-4150-A2DF-588DFE09DA25}"/>
              </c:ext>
            </c:extLst>
          </c:dPt>
          <c:dLbls>
            <c:dLbl>
              <c:idx val="0"/>
              <c:layout>
                <c:manualLayout>
                  <c:x val="6.7309427187533955E-3"/>
                  <c:y val="2.8587764436821039E-2"/>
                </c:manualLayout>
              </c:layout>
              <c:tx>
                <c:rich>
                  <a:bodyPr rot="0" spcFirstLastPara="1" vertOverflow="ellipsis" vert="horz" wrap="square" lIns="38100" tIns="19050" rIns="38100" bIns="19050" anchor="ctr" anchorCtr="1">
                    <a:noAutofit/>
                  </a:bodyPr>
                  <a:lstStyle/>
                  <a:p>
                    <a:pPr>
                      <a:defRPr sz="1100" b="1" i="0" u="none" strike="noStrike" kern="1200" baseline="0">
                        <a:solidFill>
                          <a:schemeClr val="tx1"/>
                        </a:solidFill>
                        <a:latin typeface="+mn-lt"/>
                        <a:ea typeface="+mn-ea"/>
                        <a:cs typeface="Calibri" panose="020F0502020204030204" pitchFamily="34" charset="0"/>
                      </a:defRPr>
                    </a:pPr>
                    <a:fld id="{60EC07AE-CCB1-450C-84EF-381BDBA41743}" type="CATEGORYNAME">
                      <a:rPr lang="en-US" sz="1100">
                        <a:solidFill>
                          <a:schemeClr val="tx1"/>
                        </a:solidFill>
                        <a:latin typeface="+mn-lt"/>
                      </a:rPr>
                      <a:pPr>
                        <a:defRPr sz="1100" b="1">
                          <a:solidFill>
                            <a:schemeClr val="tx1"/>
                          </a:solidFill>
                          <a:cs typeface="Calibri" panose="020F0502020204030204" pitchFamily="34" charset="0"/>
                        </a:defRPr>
                      </a:pPr>
                      <a:t>[CATEGORY NAME]</a:t>
                    </a:fld>
                    <a:r>
                      <a:rPr lang="en-US" sz="1100" baseline="0">
                        <a:solidFill>
                          <a:schemeClr val="tx1"/>
                        </a:solidFill>
                        <a:latin typeface="+mn-lt"/>
                      </a:rPr>
                      <a:t>
</a:t>
                    </a:r>
                    <a:fld id="{9FCC1CCD-F5BD-4D65-A1F5-94E5EC6F2E2A}" type="PERCENTAGE">
                      <a:rPr lang="en-US" sz="1100" baseline="0">
                        <a:solidFill>
                          <a:schemeClr val="tx1"/>
                        </a:solidFill>
                        <a:latin typeface="+mn-lt"/>
                      </a:rPr>
                      <a:pPr>
                        <a:defRPr sz="1100" b="1">
                          <a:solidFill>
                            <a:schemeClr val="tx1"/>
                          </a:solidFill>
                          <a:cs typeface="Calibri" panose="020F0502020204030204" pitchFamily="34" charset="0"/>
                        </a:defRPr>
                      </a:pPr>
                      <a:t>[PERCENTAGE]</a:t>
                    </a:fld>
                    <a:endParaRPr lang="en-US" sz="1100" baseline="0">
                      <a:solidFill>
                        <a:schemeClr val="tx1"/>
                      </a:solidFill>
                      <a:latin typeface="+mn-lt"/>
                    </a:endParaRPr>
                  </a:p>
                </c:rich>
              </c:tx>
              <c:spPr>
                <a:noFill/>
                <a:ln>
                  <a:noFill/>
                </a:ln>
                <a:effectLst/>
              </c:spPr>
              <c:txPr>
                <a:bodyPr rot="0" spcFirstLastPara="1" vertOverflow="ellipsis" vert="horz" wrap="square" lIns="38100" tIns="19050" rIns="38100" bIns="19050" anchor="ctr" anchorCtr="1">
                  <a:noAutofit/>
                </a:bodyPr>
                <a:lstStyle/>
                <a:p>
                  <a:pPr>
                    <a:defRPr sz="1100" b="1" i="0" u="none" strike="noStrike" kern="1200" baseline="0">
                      <a:solidFill>
                        <a:schemeClr val="tx1"/>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layout>
                    <c:manualLayout>
                      <c:w val="0.1426571488666461"/>
                      <c:h val="0.42160874830611866"/>
                    </c:manualLayout>
                  </c15:layout>
                  <c15:dlblFieldTable/>
                  <c15:showDataLabelsRange val="0"/>
                </c:ext>
                <c:ext xmlns:c16="http://schemas.microsoft.com/office/drawing/2014/chart" uri="{C3380CC4-5D6E-409C-BE32-E72D297353CC}">
                  <c16:uniqueId val="{00000001-FDB1-4150-A2DF-588DFE09DA25}"/>
                </c:ext>
              </c:extLst>
            </c:dLbl>
            <c:dLbl>
              <c:idx val="1"/>
              <c:layout>
                <c:manualLayout>
                  <c:x val="-6.1422705754640525E-2"/>
                  <c:y val="7.432818753573471E-2"/>
                </c:manualLayout>
              </c:layout>
              <c:tx>
                <c:rich>
                  <a:bodyPr rot="0" spcFirstLastPara="1" vertOverflow="ellipsis" vert="horz" wrap="square" lIns="38100" tIns="19050" rIns="38100" bIns="19050" anchor="ctr" anchorCtr="1">
                    <a:noAutofit/>
                  </a:bodyPr>
                  <a:lstStyle/>
                  <a:p>
                    <a:pPr>
                      <a:defRPr sz="1100" b="1" i="0" u="none" strike="noStrike" kern="1200" baseline="0">
                        <a:solidFill>
                          <a:sysClr val="windowText" lastClr="000000"/>
                        </a:solidFill>
                        <a:latin typeface="+mn-lt"/>
                        <a:ea typeface="+mn-ea"/>
                        <a:cs typeface="Calibri" panose="020F0502020204030204" pitchFamily="34" charset="0"/>
                      </a:defRPr>
                    </a:pPr>
                    <a:fld id="{9C704956-3D66-479E-A771-CB88A5C2A4C6}" type="CATEGORYNAME">
                      <a:rPr lang="en-US" sz="1100">
                        <a:solidFill>
                          <a:sysClr val="windowText" lastClr="000000"/>
                        </a:solidFill>
                        <a:latin typeface="+mn-lt"/>
                      </a:rPr>
                      <a:pPr>
                        <a:defRPr sz="1100" b="1">
                          <a:solidFill>
                            <a:sysClr val="windowText" lastClr="000000"/>
                          </a:solidFill>
                          <a:cs typeface="Calibri" panose="020F0502020204030204" pitchFamily="34" charset="0"/>
                        </a:defRPr>
                      </a:pPr>
                      <a:t>[CATEGORY NAME]</a:t>
                    </a:fld>
                    <a:r>
                      <a:rPr lang="en-US" sz="1100" baseline="0">
                        <a:solidFill>
                          <a:sysClr val="windowText" lastClr="000000"/>
                        </a:solidFill>
                        <a:latin typeface="+mn-lt"/>
                      </a:rPr>
                      <a:t>
</a:t>
                    </a:r>
                    <a:fld id="{7B132DC3-E187-49A1-A4FD-E27180FB3CB4}" type="PERCENTAGE">
                      <a:rPr lang="en-US" sz="1100" baseline="0">
                        <a:solidFill>
                          <a:sysClr val="windowText" lastClr="000000"/>
                        </a:solidFill>
                        <a:latin typeface="+mn-lt"/>
                      </a:rPr>
                      <a:pPr>
                        <a:defRPr sz="1100" b="1">
                          <a:solidFill>
                            <a:sysClr val="windowText" lastClr="000000"/>
                          </a:solidFill>
                          <a:cs typeface="Calibri" panose="020F0502020204030204" pitchFamily="34" charset="0"/>
                        </a:defRPr>
                      </a:pPr>
                      <a:t>[PERCENTAGE]</a:t>
                    </a:fld>
                    <a:endParaRPr lang="en-US" sz="1100" baseline="0">
                      <a:solidFill>
                        <a:sysClr val="windowText" lastClr="000000"/>
                      </a:solidFill>
                      <a:latin typeface="+mn-lt"/>
                    </a:endParaRPr>
                  </a:p>
                </c:rich>
              </c:tx>
              <c:spPr>
                <a:noFill/>
                <a:ln>
                  <a:noFill/>
                </a:ln>
                <a:effectLst/>
              </c:spPr>
              <c:txPr>
                <a:bodyPr rot="0" spcFirstLastPara="1" vertOverflow="ellipsis" vert="horz" wrap="square" lIns="38100" tIns="19050" rIns="38100" bIns="19050" anchor="ctr" anchorCtr="1">
                  <a:noAutofit/>
                </a:bodyPr>
                <a:lstStyle/>
                <a:p>
                  <a:pPr>
                    <a:defRPr sz="1100" b="1" i="0" u="none" strike="noStrike" kern="1200" baseline="0">
                      <a:solidFill>
                        <a:sysClr val="windowText" lastClr="000000"/>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layout>
                    <c:manualLayout>
                      <c:w val="0.16622636374782815"/>
                      <c:h val="0.30794739851343628"/>
                    </c:manualLayout>
                  </c15:layout>
                  <c15:dlblFieldTable/>
                  <c15:showDataLabelsRange val="0"/>
                </c:ext>
                <c:ext xmlns:c16="http://schemas.microsoft.com/office/drawing/2014/chart" uri="{C3380CC4-5D6E-409C-BE32-E72D297353CC}">
                  <c16:uniqueId val="{00000003-FDB1-4150-A2DF-588DFE09DA25}"/>
                </c:ext>
              </c:extLst>
            </c:dLbl>
            <c:dLbl>
              <c:idx val="2"/>
              <c:layout>
                <c:manualLayout>
                  <c:x val="-5.2663498718566085E-2"/>
                  <c:y val="-0.2915951972555747"/>
                </c:manualLayout>
              </c:layout>
              <c:tx>
                <c:rich>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mn-lt"/>
                        <a:ea typeface="+mn-ea"/>
                        <a:cs typeface="Calibri" panose="020F0502020204030204" pitchFamily="34" charset="0"/>
                      </a:defRPr>
                    </a:pPr>
                    <a:fld id="{DE812037-EBE3-4F2A-8ED1-1024D81F0AF4}" type="CATEGORYNAME">
                      <a:rPr lang="en-US" sz="1100">
                        <a:solidFill>
                          <a:schemeClr val="bg1"/>
                        </a:solidFill>
                        <a:latin typeface="+mn-lt"/>
                      </a:rPr>
                      <a:pPr>
                        <a:defRPr sz="1100" b="1">
                          <a:solidFill>
                            <a:schemeClr val="bg1"/>
                          </a:solidFill>
                          <a:cs typeface="Calibri" panose="020F0502020204030204" pitchFamily="34" charset="0"/>
                        </a:defRPr>
                      </a:pPr>
                      <a:t>[CATEGORY NAME]</a:t>
                    </a:fld>
                    <a:r>
                      <a:rPr lang="en-US" sz="1100" baseline="0">
                        <a:solidFill>
                          <a:schemeClr val="bg1"/>
                        </a:solidFill>
                        <a:latin typeface="+mn-lt"/>
                      </a:rPr>
                      <a:t>
</a:t>
                    </a:r>
                    <a:fld id="{B8553DCE-ABFA-48C4-83AC-E11F6F9F3A97}" type="PERCENTAGE">
                      <a:rPr lang="en-US" sz="1100" baseline="0">
                        <a:solidFill>
                          <a:schemeClr val="bg1"/>
                        </a:solidFill>
                        <a:latin typeface="+mn-lt"/>
                      </a:rPr>
                      <a:pPr>
                        <a:defRPr sz="1100" b="1">
                          <a:solidFill>
                            <a:schemeClr val="bg1"/>
                          </a:solidFill>
                          <a:cs typeface="Calibri" panose="020F0502020204030204" pitchFamily="34" charset="0"/>
                        </a:defRPr>
                      </a:pPr>
                      <a:t>[PERCENTAGE]</a:t>
                    </a:fld>
                    <a:endParaRPr lang="en-US" sz="1100" baseline="0">
                      <a:solidFill>
                        <a:schemeClr val="bg1"/>
                      </a:solidFill>
                      <a:latin typeface="+mn-lt"/>
                    </a:endParaRPr>
                  </a:p>
                </c:rich>
              </c:tx>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FDB1-4150-A2DF-588DFE09DA25}"/>
                </c:ext>
              </c:extLst>
            </c:dLbl>
            <c:dLbl>
              <c:idx val="3"/>
              <c:layout>
                <c:manualLayout>
                  <c:x val="-2.254685881697379E-2"/>
                  <c:y val="0.1429388221841052"/>
                </c:manualLayout>
              </c:layout>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ysClr val="windowText" lastClr="000000"/>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FDB1-4150-A2DF-588DFE09DA25}"/>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solidFill>
                    <a:latin typeface="+mn-lt"/>
                    <a:ea typeface="+mn-ea"/>
                    <a:cs typeface="Calibri" panose="020F0502020204030204" pitchFamily="34" charset="0"/>
                  </a:defRPr>
                </a:pPr>
                <a:endParaRPr lang="en-US"/>
              </a:p>
            </c:txPr>
            <c:dLblPos val="ctr"/>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Sheet1!$A$2:$A$5</c:f>
              <c:strCache>
                <c:ptCount val="4"/>
                <c:pt idx="0">
                  <c:v>Strongly Disagree</c:v>
                </c:pt>
                <c:pt idx="1">
                  <c:v>Disagree</c:v>
                </c:pt>
                <c:pt idx="2">
                  <c:v>Agree</c:v>
                </c:pt>
                <c:pt idx="3">
                  <c:v>Strongly Agree</c:v>
                </c:pt>
              </c:strCache>
            </c:strRef>
          </c:cat>
          <c:val>
            <c:numRef>
              <c:f>Sheet1!$B$2:$B$5</c:f>
              <c:numCache>
                <c:formatCode>0%</c:formatCode>
                <c:ptCount val="4"/>
                <c:pt idx="0">
                  <c:v>0.09</c:v>
                </c:pt>
                <c:pt idx="1">
                  <c:v>0.38</c:v>
                </c:pt>
                <c:pt idx="2">
                  <c:v>0.44</c:v>
                </c:pt>
                <c:pt idx="3">
                  <c:v>0.09</c:v>
                </c:pt>
              </c:numCache>
            </c:numRef>
          </c:val>
          <c:extLst>
            <c:ext xmlns:c16="http://schemas.microsoft.com/office/drawing/2014/chart" uri="{C3380CC4-5D6E-409C-BE32-E72D297353CC}">
              <c16:uniqueId val="{0000000A-FDB1-4150-A2DF-588DFE09DA25}"/>
            </c:ext>
          </c:extLst>
        </c:ser>
        <c:dLbls>
          <c:showLegendKey val="0"/>
          <c:showVal val="0"/>
          <c:showCatName val="1"/>
          <c:showSerName val="0"/>
          <c:showPercent val="1"/>
          <c:showBubbleSize val="0"/>
          <c:showLeaderLines val="1"/>
        </c:dLbls>
        <c:firstSliceAng val="270"/>
      </c:pieChart>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6683417177019537"/>
          <c:y val="1.7044804975204782E-2"/>
          <c:w val="0.50682883846539006"/>
          <c:h val="0.94030921448387939"/>
        </c:manualLayout>
      </c:layout>
      <c:barChart>
        <c:barDir val="bar"/>
        <c:grouping val="clustered"/>
        <c:varyColors val="0"/>
        <c:ser>
          <c:idx val="0"/>
          <c:order val="0"/>
          <c:tx>
            <c:strRef>
              <c:f>Sheet1!$B$1</c:f>
              <c:strCache>
                <c:ptCount val="1"/>
                <c:pt idx="0">
                  <c:v>Series 1</c:v>
                </c:pt>
              </c:strCache>
            </c:strRef>
          </c:tx>
          <c:spPr>
            <a:solidFill>
              <a:srgbClr val="2263A0"/>
            </a:solidFill>
            <a:ln>
              <a:noFill/>
            </a:ln>
            <a:effectLst/>
          </c:spPr>
          <c:invertIfNegative val="0"/>
          <c:dPt>
            <c:idx val="10"/>
            <c:invertIfNegative val="0"/>
            <c:bubble3D val="0"/>
            <c:spPr>
              <a:solidFill>
                <a:srgbClr val="2263A0"/>
              </a:solidFill>
              <a:ln>
                <a:noFill/>
              </a:ln>
              <a:effectLst/>
            </c:spPr>
            <c:extLst>
              <c:ext xmlns:c16="http://schemas.microsoft.com/office/drawing/2014/chart" uri="{C3380CC4-5D6E-409C-BE32-E72D297353CC}">
                <c16:uniqueId val="{00000001-B456-45F6-8513-E9289AAACB9B}"/>
              </c:ext>
            </c:extLst>
          </c:dPt>
          <c:dPt>
            <c:idx val="11"/>
            <c:invertIfNegative val="0"/>
            <c:bubble3D val="0"/>
            <c:spPr>
              <a:solidFill>
                <a:srgbClr val="2263A0"/>
              </a:solidFill>
              <a:ln>
                <a:noFill/>
              </a:ln>
              <a:effectLst/>
            </c:spPr>
            <c:extLst>
              <c:ext xmlns:c16="http://schemas.microsoft.com/office/drawing/2014/chart" uri="{C3380CC4-5D6E-409C-BE32-E72D297353CC}">
                <c16:uniqueId val="{00000003-B456-45F6-8513-E9289AAACB9B}"/>
              </c:ext>
            </c:extLst>
          </c:dPt>
          <c:dLbls>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Sheet1!$A$2:$A$10</c:f>
              <c:strCache>
                <c:ptCount val="9"/>
                <c:pt idx="0">
                  <c:v>Other</c:v>
                </c:pt>
                <c:pt idx="1">
                  <c:v>Open territory policies often lead to a large number of rotating requests for accessible formats for many different instructional materials</c:v>
                </c:pt>
                <c:pt idx="2">
                  <c:v>LEAs and schools need to wait for enrollment data before finalizing class offerings</c:v>
                </c:pt>
                <c:pt idx="3">
                  <c:v>High teacher turnover which negatively impacts the request for, or delivery of, accessible formats</c:v>
                </c:pt>
                <c:pt idx="4">
                  <c:v>Students change schools or districts which negatively impacts the request for, or delivery of, accessible formats</c:v>
                </c:pt>
                <c:pt idx="5">
                  <c:v>Lack of funding for the production of accessible formats</c:v>
                </c:pt>
                <c:pt idx="6">
                  <c:v>Lack of assistive technology (AT) that allows access to accessible formats</c:v>
                </c:pt>
                <c:pt idx="7">
                  <c:v>Curriculum changes at the state or district level that are not communicated to schools/teachers</c:v>
                </c:pt>
                <c:pt idx="8">
                  <c:v>District-level or itinerant teachers (e.g., TVIs) who are unlikely to learn about district curriculum decisions</c:v>
                </c:pt>
              </c:strCache>
            </c:strRef>
          </c:cat>
          <c:val>
            <c:numRef>
              <c:f>Sheet1!$B$2:$B$10</c:f>
              <c:numCache>
                <c:formatCode>0%</c:formatCode>
                <c:ptCount val="9"/>
                <c:pt idx="0">
                  <c:v>8.8099999999999998E-2</c:v>
                </c:pt>
                <c:pt idx="1">
                  <c:v>0.36480000000000001</c:v>
                </c:pt>
                <c:pt idx="2">
                  <c:v>0.40250000000000002</c:v>
                </c:pt>
                <c:pt idx="3">
                  <c:v>0.434</c:v>
                </c:pt>
                <c:pt idx="4">
                  <c:v>0.47799999999999998</c:v>
                </c:pt>
                <c:pt idx="5">
                  <c:v>0.52200000000000002</c:v>
                </c:pt>
                <c:pt idx="6">
                  <c:v>0.53459999999999996</c:v>
                </c:pt>
                <c:pt idx="7">
                  <c:v>0.67300000000000004</c:v>
                </c:pt>
                <c:pt idx="8">
                  <c:v>0.7107</c:v>
                </c:pt>
              </c:numCache>
            </c:numRef>
          </c:val>
          <c:extLst>
            <c:ext xmlns:c16="http://schemas.microsoft.com/office/drawing/2014/chart" uri="{C3380CC4-5D6E-409C-BE32-E72D297353CC}">
              <c16:uniqueId val="{00000004-B456-45F6-8513-E9289AAACB9B}"/>
            </c:ext>
          </c:extLst>
        </c:ser>
        <c:dLbls>
          <c:dLblPos val="outEnd"/>
          <c:showLegendKey val="0"/>
          <c:showVal val="1"/>
          <c:showCatName val="0"/>
          <c:showSerName val="0"/>
          <c:showPercent val="0"/>
          <c:showBubbleSize val="0"/>
        </c:dLbls>
        <c:gapWidth val="100"/>
        <c:axId val="1268204576"/>
        <c:axId val="1268204992"/>
      </c:barChart>
      <c:catAx>
        <c:axId val="126820457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268204992"/>
        <c:crosses val="autoZero"/>
        <c:auto val="1"/>
        <c:lblAlgn val="ctr"/>
        <c:lblOffset val="100"/>
        <c:noMultiLvlLbl val="0"/>
      </c:catAx>
      <c:valAx>
        <c:axId val="1268204992"/>
        <c:scaling>
          <c:orientation val="minMax"/>
        </c:scaling>
        <c:delete val="1"/>
        <c:axPos val="b"/>
        <c:numFmt formatCode="0%" sourceLinked="1"/>
        <c:majorTickMark val="none"/>
        <c:minorTickMark val="none"/>
        <c:tickLblPos val="nextTo"/>
        <c:crossAx val="1268204576"/>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3.6087901793998504E-2"/>
          <c:y val="2.7131154060287918E-2"/>
          <c:w val="0.96391209820600154"/>
          <c:h val="0.66247711763302319"/>
        </c:manualLayout>
      </c:layout>
      <c:barChart>
        <c:barDir val="col"/>
        <c:grouping val="clustered"/>
        <c:varyColors val="0"/>
        <c:ser>
          <c:idx val="2"/>
          <c:order val="0"/>
          <c:tx>
            <c:strRef>
              <c:f>Sheet1!$B$1</c:f>
              <c:strCache>
                <c:ptCount val="1"/>
                <c:pt idx="0">
                  <c:v>National Survey
(n = 61)</c:v>
                </c:pt>
              </c:strCache>
            </c:strRef>
          </c:tx>
          <c:spPr>
            <a:solidFill>
              <a:srgbClr val="1A1A1A"/>
            </a:solidFill>
            <a:ln>
              <a:solidFill>
                <a:schemeClr val="tx2">
                  <a:lumMod val="90000"/>
                  <a:lumOff val="10000"/>
                </a:schemeClr>
              </a:solidFill>
            </a:ln>
            <a:effectLst/>
          </c:spPr>
          <c:invertIfNegative val="0"/>
          <c:dPt>
            <c:idx val="0"/>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1-E43A-4B65-8AAA-393E75917F28}"/>
              </c:ext>
            </c:extLst>
          </c:dPt>
          <c:dPt>
            <c:idx val="1"/>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3-E43A-4B65-8AAA-393E75917F28}"/>
              </c:ext>
            </c:extLst>
          </c:dPt>
          <c:dPt>
            <c:idx val="2"/>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5-E43A-4B65-8AAA-393E75917F28}"/>
              </c:ext>
            </c:extLst>
          </c:dPt>
          <c:dLbls>
            <c:dLbl>
              <c:idx val="0"/>
              <c:tx>
                <c:rich>
                  <a:bodyPr/>
                  <a:lstStyle/>
                  <a:p>
                    <a:fld id="{F4FF3447-5BA4-4F18-B08E-FB84131A9D62}" type="VALUE">
                      <a:rPr lang="en-US"/>
                      <a:pPr/>
                      <a:t>[VALUE]</a:t>
                    </a:fld>
                    <a:endParaRPr lang="en-US"/>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E43A-4B65-8AAA-393E75917F28}"/>
                </c:ext>
              </c:extLst>
            </c:dLbl>
            <c:dLbl>
              <c:idx val="1"/>
              <c:tx>
                <c:rich>
                  <a:bodyPr/>
                  <a:lstStyle/>
                  <a:p>
                    <a:fld id="{A91B0E13-4FD1-46CF-91DB-990C013EFDF1}" type="VALUE">
                      <a:rPr lang="en-US"/>
                      <a:pPr/>
                      <a:t>[VALUE]</a:t>
                    </a:fld>
                    <a:endParaRPr lang="en-US"/>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E43A-4B65-8AAA-393E75917F28}"/>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Lack of AT that allows access to accessible formats</c:v>
                </c:pt>
                <c:pt idx="1">
                  <c:v>Lack of funding for the production of accessible formats</c:v>
                </c:pt>
              </c:strCache>
            </c:strRef>
          </c:cat>
          <c:val>
            <c:numRef>
              <c:f>Sheet1!$B$2:$B$3</c:f>
              <c:numCache>
                <c:formatCode>0%</c:formatCode>
                <c:ptCount val="2"/>
                <c:pt idx="0">
                  <c:v>0.43</c:v>
                </c:pt>
                <c:pt idx="1">
                  <c:v>0.44</c:v>
                </c:pt>
              </c:numCache>
            </c:numRef>
          </c:val>
          <c:extLst>
            <c:ext xmlns:c16="http://schemas.microsoft.com/office/drawing/2014/chart" uri="{C3380CC4-5D6E-409C-BE32-E72D297353CC}">
              <c16:uniqueId val="{00000006-E43A-4B65-8AAA-393E75917F28}"/>
            </c:ext>
          </c:extLst>
        </c:ser>
        <c:ser>
          <c:idx val="0"/>
          <c:order val="1"/>
          <c:tx>
            <c:strRef>
              <c:f>Sheet1!$C$1</c:f>
              <c:strCache>
                <c:ptCount val="1"/>
                <c:pt idx="0">
                  <c:v>OH 
(n = 50)</c:v>
                </c:pt>
              </c:strCache>
            </c:strRef>
          </c:tx>
          <c:spPr>
            <a:solidFill>
              <a:srgbClr val="B05227"/>
            </a:solidFill>
            <a:ln w="9525">
              <a:solidFill>
                <a:sysClr val="window" lastClr="FFFFFF"/>
              </a:solidFill>
            </a:ln>
            <a:effectLst/>
          </c:spPr>
          <c:invertIfNegative val="0"/>
          <c:dPt>
            <c:idx val="0"/>
            <c:invertIfNegative val="0"/>
            <c:bubble3D val="0"/>
            <c:spPr>
              <a:solidFill>
                <a:srgbClr val="B05227"/>
              </a:solidFill>
              <a:ln w="9525">
                <a:solidFill>
                  <a:sysClr val="window" lastClr="FFFFFF"/>
                </a:solidFill>
              </a:ln>
              <a:effectLst/>
            </c:spPr>
            <c:extLst>
              <c:ext xmlns:c16="http://schemas.microsoft.com/office/drawing/2014/chart" uri="{C3380CC4-5D6E-409C-BE32-E72D297353CC}">
                <c16:uniqueId val="{00000008-E43A-4B65-8AAA-393E75917F28}"/>
              </c:ext>
            </c:extLst>
          </c:dPt>
          <c:dLbls>
            <c:dLbl>
              <c:idx val="0"/>
              <c:tx>
                <c:rich>
                  <a:bodyPr/>
                  <a:lstStyle/>
                  <a:p>
                    <a:fld id="{2BBB892D-0651-4925-9568-2749FA6BCE38}" type="VALUE">
                      <a:rPr lang="en-US"/>
                      <a:pPr/>
                      <a:t>[VALUE]</a:t>
                    </a:fld>
                    <a:endParaRPr lang="en-US"/>
                  </a:p>
                  <a:p>
                    <a:r>
                      <a:rPr lang="en-US"/>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8-E43A-4B65-8AAA-393E75917F28}"/>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Lack of AT that allows access to accessible formats</c:v>
                </c:pt>
                <c:pt idx="1">
                  <c:v>Lack of funding for the production of accessible formats</c:v>
                </c:pt>
              </c:strCache>
            </c:strRef>
          </c:cat>
          <c:val>
            <c:numRef>
              <c:f>Sheet1!$C$2:$C$3</c:f>
              <c:numCache>
                <c:formatCode>0%</c:formatCode>
                <c:ptCount val="2"/>
                <c:pt idx="0">
                  <c:v>0.74</c:v>
                </c:pt>
                <c:pt idx="1">
                  <c:v>0.6</c:v>
                </c:pt>
              </c:numCache>
            </c:numRef>
          </c:val>
          <c:extLst>
            <c:ext xmlns:c16="http://schemas.microsoft.com/office/drawing/2014/chart" uri="{C3380CC4-5D6E-409C-BE32-E72D297353CC}">
              <c16:uniqueId val="{00000009-E43A-4B65-8AAA-393E75917F28}"/>
            </c:ext>
          </c:extLst>
        </c:ser>
        <c:ser>
          <c:idx val="3"/>
          <c:order val="2"/>
          <c:tx>
            <c:strRef>
              <c:f>Sheet1!$D$1</c:f>
              <c:strCache>
                <c:ptCount val="1"/>
                <c:pt idx="0">
                  <c:v>OR
(n = 30)</c:v>
                </c:pt>
              </c:strCache>
            </c:strRef>
          </c:tx>
          <c:spPr>
            <a:solidFill>
              <a:srgbClr val="1F5A92"/>
            </a:solidFill>
            <a:ln>
              <a:noFill/>
            </a:ln>
            <a:effectLst/>
          </c:spPr>
          <c:invertIfNegative val="0"/>
          <c:dLbls>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Lack of AT that allows access to accessible formats</c:v>
                </c:pt>
                <c:pt idx="1">
                  <c:v>Lack of funding for the production of accessible formats</c:v>
                </c:pt>
              </c:strCache>
            </c:strRef>
          </c:cat>
          <c:val>
            <c:numRef>
              <c:f>Sheet1!$D$2:$D$3</c:f>
              <c:numCache>
                <c:formatCode>0%</c:formatCode>
                <c:ptCount val="2"/>
                <c:pt idx="0">
                  <c:v>0.53</c:v>
                </c:pt>
                <c:pt idx="1">
                  <c:v>0.77</c:v>
                </c:pt>
              </c:numCache>
            </c:numRef>
          </c:val>
          <c:extLst>
            <c:ext xmlns:c16="http://schemas.microsoft.com/office/drawing/2014/chart" uri="{C3380CC4-5D6E-409C-BE32-E72D297353CC}">
              <c16:uniqueId val="{0000000A-E43A-4B65-8AAA-393E75917F28}"/>
            </c:ext>
          </c:extLst>
        </c:ser>
        <c:ser>
          <c:idx val="1"/>
          <c:order val="3"/>
          <c:tx>
            <c:strRef>
              <c:f>Sheet1!$E$1</c:f>
              <c:strCache>
                <c:ptCount val="1"/>
                <c:pt idx="0">
                  <c:v>UT
(n= 18)</c:v>
                </c:pt>
              </c:strCache>
            </c:strRef>
          </c:tx>
          <c:spPr>
            <a:solidFill>
              <a:srgbClr val="6A1B9A"/>
            </a:solidFill>
            <a:ln>
              <a:noFill/>
            </a:ln>
            <a:effectLst/>
          </c:spPr>
          <c:invertIfNegative val="0"/>
          <c:dLbls>
            <c:dLbl>
              <c:idx val="0"/>
              <c:tx>
                <c:rich>
                  <a:bodyPr/>
                  <a:lstStyle/>
                  <a:p>
                    <a:fld id="{DC125933-8E33-4D93-A02C-A914F0AA1ADF}" type="VALUE">
                      <a:rPr lang="en-US"/>
                      <a:pPr/>
                      <a:t>[VALUE]</a:t>
                    </a:fld>
                    <a:endParaRPr lang="en-US"/>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B-E43A-4B65-8AAA-393E75917F28}"/>
                </c:ext>
              </c:extLst>
            </c:dLbl>
            <c:dLbl>
              <c:idx val="1"/>
              <c:tx>
                <c:rich>
                  <a:bodyPr/>
                  <a:lstStyle/>
                  <a:p>
                    <a:fld id="{A8DF74C6-1DA1-4147-8ED7-80E351A1F3C9}" type="VALUE">
                      <a:rPr lang="en-US"/>
                      <a:pPr/>
                      <a:t>[VALUE]</a:t>
                    </a:fld>
                    <a:endParaRPr lang="en-US"/>
                  </a:p>
                  <a:p>
                    <a:r>
                      <a:rPr lang="en-US"/>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C-E43A-4B65-8AAA-393E75917F28}"/>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Lack of AT that allows access to accessible formats</c:v>
                </c:pt>
                <c:pt idx="1">
                  <c:v>Lack of funding for the production of accessible formats</c:v>
                </c:pt>
              </c:strCache>
            </c:strRef>
          </c:cat>
          <c:val>
            <c:numRef>
              <c:f>Sheet1!$E$2:$E$3</c:f>
              <c:numCache>
                <c:formatCode>0%</c:formatCode>
                <c:ptCount val="2"/>
                <c:pt idx="0">
                  <c:v>0.33</c:v>
                </c:pt>
                <c:pt idx="1">
                  <c:v>0.17</c:v>
                </c:pt>
              </c:numCache>
            </c:numRef>
          </c:val>
          <c:extLst>
            <c:ext xmlns:c16="http://schemas.microsoft.com/office/drawing/2014/chart" uri="{C3380CC4-5D6E-409C-BE32-E72D297353CC}">
              <c16:uniqueId val="{0000000D-E43A-4B65-8AAA-393E75917F28}"/>
            </c:ext>
          </c:extLst>
        </c:ser>
        <c:dLbls>
          <c:showLegendKey val="0"/>
          <c:showVal val="0"/>
          <c:showCatName val="0"/>
          <c:showSerName val="0"/>
          <c:showPercent val="0"/>
          <c:showBubbleSize val="0"/>
        </c:dLbls>
        <c:gapWidth val="100"/>
        <c:overlap val="-69"/>
        <c:axId val="1677196128"/>
        <c:axId val="1677185088"/>
      </c:barChart>
      <c:catAx>
        <c:axId val="1677196128"/>
        <c:scaling>
          <c:orientation val="minMax"/>
        </c:scaling>
        <c:delete val="0"/>
        <c:axPos val="b"/>
        <c:numFmt formatCode="General" sourceLinked="1"/>
        <c:majorTickMark val="none"/>
        <c:minorTickMark val="none"/>
        <c:tickLblPos val="nextTo"/>
        <c:spPr>
          <a:noFill/>
          <a:ln w="9525" cap="flat" cmpd="sng" algn="ctr">
            <a:solidFill>
              <a:schemeClr val="bg2"/>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677185088"/>
        <c:crosses val="autoZero"/>
        <c:auto val="1"/>
        <c:lblAlgn val="ctr"/>
        <c:lblOffset val="100"/>
        <c:tickMarkSkip val="1"/>
        <c:noMultiLvlLbl val="0"/>
      </c:catAx>
      <c:valAx>
        <c:axId val="1677185088"/>
        <c:scaling>
          <c:orientation val="minMax"/>
          <c:max val="1"/>
          <c:min val="0"/>
        </c:scaling>
        <c:delete val="0"/>
        <c:axPos val="l"/>
        <c:numFmt formatCode="0%" sourceLinked="0"/>
        <c:majorTickMark val="none"/>
        <c:minorTickMark val="none"/>
        <c:tickLblPos val="nextTo"/>
        <c:spPr>
          <a:noFill/>
          <a:ln>
            <a:solidFill>
              <a:schemeClr val="bg2"/>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677196128"/>
        <c:crosses val="autoZero"/>
        <c:crossBetween val="between"/>
        <c:majorUnit val="0.25"/>
      </c:valAx>
      <c:spPr>
        <a:noFill/>
        <a:ln w="25400">
          <a:noFill/>
        </a:ln>
        <a:effectLst/>
      </c:spPr>
    </c:plotArea>
    <c:legend>
      <c:legendPos val="b"/>
      <c:layout>
        <c:manualLayout>
          <c:xMode val="edge"/>
          <c:yMode val="edge"/>
          <c:x val="5.9721867194885377E-2"/>
          <c:y val="0.83807287892694382"/>
          <c:w val="0.93777584849467888"/>
          <c:h val="0.16192700050424733"/>
        </c:manualLayout>
      </c:layout>
      <c:overlay val="1"/>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1100"/>
      </a:pPr>
      <a:endParaRPr lang="en-US"/>
    </a:p>
  </c:txPr>
  <c:externalData r:id="rId4">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6683417177019537"/>
          <c:y val="1.7044804975204782E-2"/>
          <c:w val="0.50682883846539006"/>
          <c:h val="0.94030921448387939"/>
        </c:manualLayout>
      </c:layout>
      <c:barChart>
        <c:barDir val="bar"/>
        <c:grouping val="clustered"/>
        <c:varyColors val="0"/>
        <c:ser>
          <c:idx val="0"/>
          <c:order val="0"/>
          <c:tx>
            <c:strRef>
              <c:f>Sheet1!$B$1</c:f>
              <c:strCache>
                <c:ptCount val="1"/>
                <c:pt idx="0">
                  <c:v>Series 1</c:v>
                </c:pt>
              </c:strCache>
            </c:strRef>
          </c:tx>
          <c:spPr>
            <a:solidFill>
              <a:srgbClr val="2263A0"/>
            </a:solidFill>
            <a:ln>
              <a:noFill/>
            </a:ln>
            <a:effectLst/>
          </c:spPr>
          <c:invertIfNegative val="0"/>
          <c:dPt>
            <c:idx val="10"/>
            <c:invertIfNegative val="0"/>
            <c:bubble3D val="0"/>
            <c:spPr>
              <a:solidFill>
                <a:srgbClr val="2263A0"/>
              </a:solidFill>
              <a:ln>
                <a:noFill/>
              </a:ln>
              <a:effectLst/>
            </c:spPr>
            <c:extLst>
              <c:ext xmlns:c16="http://schemas.microsoft.com/office/drawing/2014/chart" uri="{C3380CC4-5D6E-409C-BE32-E72D297353CC}">
                <c16:uniqueId val="{00000001-D868-4541-9F92-76B0FB225071}"/>
              </c:ext>
            </c:extLst>
          </c:dPt>
          <c:dPt>
            <c:idx val="11"/>
            <c:invertIfNegative val="0"/>
            <c:bubble3D val="0"/>
            <c:spPr>
              <a:solidFill>
                <a:srgbClr val="2263A0"/>
              </a:solidFill>
              <a:ln>
                <a:noFill/>
              </a:ln>
              <a:effectLst/>
            </c:spPr>
            <c:extLst>
              <c:ext xmlns:c16="http://schemas.microsoft.com/office/drawing/2014/chart" uri="{C3380CC4-5D6E-409C-BE32-E72D297353CC}">
                <c16:uniqueId val="{00000003-D868-4541-9F92-76B0FB225071}"/>
              </c:ext>
            </c:extLst>
          </c:dPt>
          <c:dLbls>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Other</c:v>
                </c:pt>
                <c:pt idx="1">
                  <c:v>Lack of accountability systems to promote timely delivery of accessible formats</c:v>
                </c:pt>
                <c:pt idx="2">
                  <c:v>Lack of resources needed to obtain accessible formats</c:v>
                </c:pt>
                <c:pt idx="3">
                  <c:v>Lack of familiarity with special education and the process for obtaining accessible formats among charter school administrators</c:v>
                </c:pt>
              </c:strCache>
            </c:strRef>
          </c:cat>
          <c:val>
            <c:numRef>
              <c:f>Sheet1!$B$2:$B$5</c:f>
              <c:numCache>
                <c:formatCode>0%</c:formatCode>
                <c:ptCount val="4"/>
                <c:pt idx="0">
                  <c:v>4.9500000000000002E-2</c:v>
                </c:pt>
                <c:pt idx="1">
                  <c:v>0.68320000000000003</c:v>
                </c:pt>
                <c:pt idx="2">
                  <c:v>0.69310000000000005</c:v>
                </c:pt>
                <c:pt idx="3">
                  <c:v>0.7228</c:v>
                </c:pt>
              </c:numCache>
            </c:numRef>
          </c:val>
          <c:extLst>
            <c:ext xmlns:c16="http://schemas.microsoft.com/office/drawing/2014/chart" uri="{C3380CC4-5D6E-409C-BE32-E72D297353CC}">
              <c16:uniqueId val="{00000004-D868-4541-9F92-76B0FB225071}"/>
            </c:ext>
          </c:extLst>
        </c:ser>
        <c:dLbls>
          <c:dLblPos val="outEnd"/>
          <c:showLegendKey val="0"/>
          <c:showVal val="1"/>
          <c:showCatName val="0"/>
          <c:showSerName val="0"/>
          <c:showPercent val="0"/>
          <c:showBubbleSize val="0"/>
        </c:dLbls>
        <c:gapWidth val="100"/>
        <c:axId val="1268204576"/>
        <c:axId val="1268204992"/>
      </c:barChart>
      <c:catAx>
        <c:axId val="126820457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268204992"/>
        <c:crosses val="autoZero"/>
        <c:auto val="1"/>
        <c:lblAlgn val="ctr"/>
        <c:lblOffset val="100"/>
        <c:noMultiLvlLbl val="0"/>
      </c:catAx>
      <c:valAx>
        <c:axId val="1268204992"/>
        <c:scaling>
          <c:orientation val="minMax"/>
        </c:scaling>
        <c:delete val="1"/>
        <c:axPos val="b"/>
        <c:numFmt formatCode="0%" sourceLinked="1"/>
        <c:majorTickMark val="none"/>
        <c:minorTickMark val="none"/>
        <c:tickLblPos val="nextTo"/>
        <c:crossAx val="1268204576"/>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3.6087901793998504E-2"/>
          <c:y val="2.7131154060287918E-2"/>
          <c:w val="0.96391209820600154"/>
          <c:h val="0.66247711763302319"/>
        </c:manualLayout>
      </c:layout>
      <c:barChart>
        <c:barDir val="col"/>
        <c:grouping val="clustered"/>
        <c:varyColors val="0"/>
        <c:ser>
          <c:idx val="2"/>
          <c:order val="0"/>
          <c:tx>
            <c:strRef>
              <c:f>Sheet1!$B$1</c:f>
              <c:strCache>
                <c:ptCount val="1"/>
                <c:pt idx="0">
                  <c:v>National Survey
(n = 29)</c:v>
                </c:pt>
              </c:strCache>
            </c:strRef>
          </c:tx>
          <c:spPr>
            <a:solidFill>
              <a:srgbClr val="1A1A1A"/>
            </a:solidFill>
            <a:ln>
              <a:solidFill>
                <a:schemeClr val="tx2">
                  <a:lumMod val="90000"/>
                  <a:lumOff val="10000"/>
                </a:schemeClr>
              </a:solidFill>
            </a:ln>
            <a:effectLst/>
          </c:spPr>
          <c:invertIfNegative val="0"/>
          <c:dPt>
            <c:idx val="0"/>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1-23A3-4AD7-A86B-A0EF33A07DF7}"/>
              </c:ext>
            </c:extLst>
          </c:dPt>
          <c:dPt>
            <c:idx val="1"/>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3-23A3-4AD7-A86B-A0EF33A07DF7}"/>
              </c:ext>
            </c:extLst>
          </c:dPt>
          <c:dPt>
            <c:idx val="2"/>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5-23A3-4AD7-A86B-A0EF33A07DF7}"/>
              </c:ext>
            </c:extLst>
          </c:dPt>
          <c:dLbls>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Sheet1!$A$2:$A$2</c:f>
              <c:strCache>
                <c:ptCount val="1"/>
                <c:pt idx="0">
                  <c:v>Lack of familiarity with special education and the process for obtaining accessible formats among charter school administrators</c:v>
                </c:pt>
              </c:strCache>
            </c:strRef>
          </c:cat>
          <c:val>
            <c:numRef>
              <c:f>Sheet1!$B$2:$B$2</c:f>
              <c:numCache>
                <c:formatCode>0%</c:formatCode>
                <c:ptCount val="1"/>
                <c:pt idx="0">
                  <c:v>0.66</c:v>
                </c:pt>
              </c:numCache>
            </c:numRef>
          </c:val>
          <c:extLst>
            <c:ext xmlns:c16="http://schemas.microsoft.com/office/drawing/2014/chart" uri="{C3380CC4-5D6E-409C-BE32-E72D297353CC}">
              <c16:uniqueId val="{00000006-23A3-4AD7-A86B-A0EF33A07DF7}"/>
            </c:ext>
          </c:extLst>
        </c:ser>
        <c:ser>
          <c:idx val="0"/>
          <c:order val="1"/>
          <c:tx>
            <c:strRef>
              <c:f>Sheet1!$C$1</c:f>
              <c:strCache>
                <c:ptCount val="1"/>
                <c:pt idx="0">
                  <c:v>OH 
(n = 32)</c:v>
                </c:pt>
              </c:strCache>
            </c:strRef>
          </c:tx>
          <c:spPr>
            <a:solidFill>
              <a:srgbClr val="B05227"/>
            </a:solidFill>
            <a:ln w="9525">
              <a:solidFill>
                <a:sysClr val="window" lastClr="FFFFFF"/>
              </a:solidFill>
            </a:ln>
            <a:effectLst/>
          </c:spPr>
          <c:invertIfNegative val="0"/>
          <c:dPt>
            <c:idx val="0"/>
            <c:invertIfNegative val="0"/>
            <c:bubble3D val="0"/>
            <c:spPr>
              <a:solidFill>
                <a:srgbClr val="B05227"/>
              </a:solidFill>
              <a:ln w="9525">
                <a:solidFill>
                  <a:sysClr val="window" lastClr="FFFFFF"/>
                </a:solidFill>
              </a:ln>
              <a:effectLst/>
            </c:spPr>
            <c:extLst>
              <c:ext xmlns:c16="http://schemas.microsoft.com/office/drawing/2014/chart" uri="{C3380CC4-5D6E-409C-BE32-E72D297353CC}">
                <c16:uniqueId val="{00000008-23A3-4AD7-A86B-A0EF33A07DF7}"/>
              </c:ext>
            </c:extLst>
          </c:dPt>
          <c:dLbls>
            <c:dLbl>
              <c:idx val="0"/>
              <c:tx>
                <c:rich>
                  <a:bodyPr/>
                  <a:lstStyle/>
                  <a:p>
                    <a:fld id="{2BBB892D-0651-4925-9568-2749FA6BCE38}" type="VALUE">
                      <a:rPr lang="en-US"/>
                      <a:pPr/>
                      <a:t>[VALUE]</a:t>
                    </a:fld>
                    <a:endParaRPr lang="en-US"/>
                  </a:p>
                  <a:p>
                    <a:r>
                      <a:rPr lang="en-US"/>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8-23A3-4AD7-A86B-A0EF33A07DF7}"/>
                </c:ext>
              </c:extLst>
            </c:dLbl>
            <c:dLbl>
              <c:idx val="1"/>
              <c:tx>
                <c:rich>
                  <a:bodyPr/>
                  <a:lstStyle/>
                  <a:p>
                    <a:fld id="{313E12A2-3287-4002-B281-F02F753EBA95}" type="VALUE">
                      <a:rPr lang="en-US"/>
                      <a:pPr/>
                      <a:t>[VALUE]</a:t>
                    </a:fld>
                    <a:endParaRPr lang="en-US"/>
                  </a:p>
                  <a:p>
                    <a:r>
                      <a:rPr lang="en-US"/>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8-BF23-4DB0-B482-FB0A544591CD}"/>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Sheet1!$A$2:$A$2</c:f>
              <c:strCache>
                <c:ptCount val="1"/>
                <c:pt idx="0">
                  <c:v>Lack of familiarity with special education and the process for obtaining accessible formats among charter school administrators</c:v>
                </c:pt>
              </c:strCache>
            </c:strRef>
          </c:cat>
          <c:val>
            <c:numRef>
              <c:f>Sheet1!$C$2:$C$2</c:f>
              <c:numCache>
                <c:formatCode>0%</c:formatCode>
                <c:ptCount val="1"/>
                <c:pt idx="0">
                  <c:v>0.91</c:v>
                </c:pt>
              </c:numCache>
            </c:numRef>
          </c:val>
          <c:extLst>
            <c:ext xmlns:c16="http://schemas.microsoft.com/office/drawing/2014/chart" uri="{C3380CC4-5D6E-409C-BE32-E72D297353CC}">
              <c16:uniqueId val="{00000009-23A3-4AD7-A86B-A0EF33A07DF7}"/>
            </c:ext>
          </c:extLst>
        </c:ser>
        <c:ser>
          <c:idx val="3"/>
          <c:order val="2"/>
          <c:tx>
            <c:strRef>
              <c:f>Sheet1!$D$1</c:f>
              <c:strCache>
                <c:ptCount val="1"/>
                <c:pt idx="0">
                  <c:v>OR
(n = 23)</c:v>
                </c:pt>
              </c:strCache>
            </c:strRef>
          </c:tx>
          <c:spPr>
            <a:solidFill>
              <a:srgbClr val="1F5A92"/>
            </a:solidFill>
            <a:ln>
              <a:noFill/>
            </a:ln>
            <a:effectLst/>
          </c:spPr>
          <c:invertIfNegative val="0"/>
          <c:dLbls>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Sheet1!$A$2:$A$2</c:f>
              <c:strCache>
                <c:ptCount val="1"/>
                <c:pt idx="0">
                  <c:v>Lack of familiarity with special education and the process for obtaining accessible formats among charter school administrators</c:v>
                </c:pt>
              </c:strCache>
            </c:strRef>
          </c:cat>
          <c:val>
            <c:numRef>
              <c:f>Sheet1!$D$2:$D$2</c:f>
              <c:numCache>
                <c:formatCode>0%</c:formatCode>
                <c:ptCount val="1"/>
                <c:pt idx="0">
                  <c:v>0.65</c:v>
                </c:pt>
              </c:numCache>
            </c:numRef>
          </c:val>
          <c:extLst>
            <c:ext xmlns:c16="http://schemas.microsoft.com/office/drawing/2014/chart" uri="{C3380CC4-5D6E-409C-BE32-E72D297353CC}">
              <c16:uniqueId val="{0000000A-23A3-4AD7-A86B-A0EF33A07DF7}"/>
            </c:ext>
          </c:extLst>
        </c:ser>
        <c:ser>
          <c:idx val="1"/>
          <c:order val="3"/>
          <c:tx>
            <c:strRef>
              <c:f>Sheet1!$E$1</c:f>
              <c:strCache>
                <c:ptCount val="1"/>
                <c:pt idx="0">
                  <c:v>UT
(n= 17)</c:v>
                </c:pt>
              </c:strCache>
            </c:strRef>
          </c:tx>
          <c:spPr>
            <a:solidFill>
              <a:srgbClr val="6A1B9A"/>
            </a:solidFill>
            <a:ln>
              <a:noFill/>
            </a:ln>
            <a:effectLst/>
          </c:spPr>
          <c:invertIfNegative val="0"/>
          <c:dLbls>
            <c:dLbl>
              <c:idx val="0"/>
              <c:tx>
                <c:rich>
                  <a:bodyPr/>
                  <a:lstStyle/>
                  <a:p>
                    <a:fld id="{715D9631-CEE4-49F1-A65B-DB3CE2A1F5FE}" type="VALUE">
                      <a:rPr lang="en-US"/>
                      <a:pPr/>
                      <a:t>[VALUE]</a:t>
                    </a:fld>
                    <a:endParaRPr lang="en-US"/>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C-23A3-4AD7-A86B-A0EF33A07DF7}"/>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Sheet1!$A$2:$A$2</c:f>
              <c:strCache>
                <c:ptCount val="1"/>
                <c:pt idx="0">
                  <c:v>Lack of familiarity with special education and the process for obtaining accessible formats among charter school administrators</c:v>
                </c:pt>
              </c:strCache>
            </c:strRef>
          </c:cat>
          <c:val>
            <c:numRef>
              <c:f>Sheet1!$E$2:$E$2</c:f>
              <c:numCache>
                <c:formatCode>0%</c:formatCode>
                <c:ptCount val="1"/>
                <c:pt idx="0">
                  <c:v>0.59</c:v>
                </c:pt>
              </c:numCache>
            </c:numRef>
          </c:val>
          <c:extLst>
            <c:ext xmlns:c16="http://schemas.microsoft.com/office/drawing/2014/chart" uri="{C3380CC4-5D6E-409C-BE32-E72D297353CC}">
              <c16:uniqueId val="{0000000B-23A3-4AD7-A86B-A0EF33A07DF7}"/>
            </c:ext>
          </c:extLst>
        </c:ser>
        <c:dLbls>
          <c:showLegendKey val="0"/>
          <c:showVal val="0"/>
          <c:showCatName val="0"/>
          <c:showSerName val="0"/>
          <c:showPercent val="0"/>
          <c:showBubbleSize val="0"/>
        </c:dLbls>
        <c:gapWidth val="100"/>
        <c:overlap val="-69"/>
        <c:axId val="1677196128"/>
        <c:axId val="1677185088"/>
      </c:barChart>
      <c:catAx>
        <c:axId val="1677196128"/>
        <c:scaling>
          <c:orientation val="minMax"/>
        </c:scaling>
        <c:delete val="0"/>
        <c:axPos val="b"/>
        <c:numFmt formatCode="General" sourceLinked="1"/>
        <c:majorTickMark val="none"/>
        <c:minorTickMark val="none"/>
        <c:tickLblPos val="nextTo"/>
        <c:spPr>
          <a:noFill/>
          <a:ln w="9525" cap="flat" cmpd="sng" algn="ctr">
            <a:solidFill>
              <a:schemeClr val="bg2"/>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677185088"/>
        <c:crosses val="autoZero"/>
        <c:auto val="1"/>
        <c:lblAlgn val="ctr"/>
        <c:lblOffset val="100"/>
        <c:noMultiLvlLbl val="0"/>
      </c:catAx>
      <c:valAx>
        <c:axId val="1677185088"/>
        <c:scaling>
          <c:orientation val="minMax"/>
          <c:max val="1"/>
          <c:min val="0"/>
        </c:scaling>
        <c:delete val="0"/>
        <c:axPos val="l"/>
        <c:numFmt formatCode="0%" sourceLinked="0"/>
        <c:majorTickMark val="none"/>
        <c:minorTickMark val="none"/>
        <c:tickLblPos val="nextTo"/>
        <c:spPr>
          <a:noFill/>
          <a:ln>
            <a:solidFill>
              <a:schemeClr val="bg2"/>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677196128"/>
        <c:crosses val="autoZero"/>
        <c:crossBetween val="between"/>
        <c:majorUnit val="0.25"/>
      </c:valAx>
      <c:spPr>
        <a:noFill/>
        <a:ln w="25400">
          <a:noFill/>
        </a:ln>
        <a:effectLst/>
      </c:spPr>
    </c:plotArea>
    <c:legend>
      <c:legendPos val="b"/>
      <c:layout>
        <c:manualLayout>
          <c:xMode val="edge"/>
          <c:yMode val="edge"/>
          <c:x val="9.7497712355539487E-2"/>
          <c:y val="0.90306355368996016"/>
          <c:w val="0.89999986642891017"/>
          <c:h val="9.5671109351454217E-2"/>
        </c:manualLayout>
      </c:layout>
      <c:overlay val="1"/>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1100"/>
      </a:pPr>
      <a:endParaRPr lang="en-US"/>
    </a:p>
  </c:txPr>
  <c:externalData r:id="rId4">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34763953974040368"/>
          <c:y val="2.7188539682968402E-2"/>
          <c:w val="0.33186698605325299"/>
          <c:h val="0.7494046091579889"/>
        </c:manualLayout>
      </c:layout>
      <c:pieChart>
        <c:varyColors val="1"/>
        <c:ser>
          <c:idx val="0"/>
          <c:order val="0"/>
          <c:tx>
            <c:strRef>
              <c:f>Sheet1!$B$1</c:f>
              <c:strCache>
                <c:ptCount val="1"/>
                <c:pt idx="0">
                  <c:v>Agreement</c:v>
                </c:pt>
              </c:strCache>
            </c:strRef>
          </c:tx>
          <c:dPt>
            <c:idx val="0"/>
            <c:bubble3D val="0"/>
            <c:spPr>
              <a:solidFill>
                <a:srgbClr val="DCEAF7">
                  <a:alpha val="84706"/>
                </a:srgbClr>
              </a:solidFill>
              <a:ln w="19050">
                <a:solidFill>
                  <a:schemeClr val="lt1"/>
                </a:solidFill>
              </a:ln>
              <a:effectLst/>
            </c:spPr>
            <c:extLst>
              <c:ext xmlns:c16="http://schemas.microsoft.com/office/drawing/2014/chart" uri="{C3380CC4-5D6E-409C-BE32-E72D297353CC}">
                <c16:uniqueId val="{00000001-BD85-4136-B087-AE08DC94A5B1}"/>
              </c:ext>
            </c:extLst>
          </c:dPt>
          <c:dPt>
            <c:idx val="1"/>
            <c:bubble3D val="0"/>
            <c:spPr>
              <a:solidFill>
                <a:srgbClr val="4E95D9"/>
              </a:solidFill>
              <a:ln w="19050">
                <a:solidFill>
                  <a:schemeClr val="lt1"/>
                </a:solidFill>
              </a:ln>
              <a:effectLst/>
            </c:spPr>
            <c:extLst>
              <c:ext xmlns:c16="http://schemas.microsoft.com/office/drawing/2014/chart" uri="{C3380CC4-5D6E-409C-BE32-E72D297353CC}">
                <c16:uniqueId val="{00000003-BD85-4136-B087-AE08DC94A5B1}"/>
              </c:ext>
            </c:extLst>
          </c:dPt>
          <c:dPt>
            <c:idx val="2"/>
            <c:bubble3D val="0"/>
            <c:spPr>
              <a:solidFill>
                <a:srgbClr val="215F9A"/>
              </a:solidFill>
              <a:ln w="19050">
                <a:solidFill>
                  <a:schemeClr val="lt1"/>
                </a:solidFill>
              </a:ln>
              <a:effectLst/>
            </c:spPr>
            <c:extLst>
              <c:ext xmlns:c16="http://schemas.microsoft.com/office/drawing/2014/chart" uri="{C3380CC4-5D6E-409C-BE32-E72D297353CC}">
                <c16:uniqueId val="{00000005-BD85-4136-B087-AE08DC94A5B1}"/>
              </c:ext>
            </c:extLst>
          </c:dPt>
          <c:dPt>
            <c:idx val="3"/>
            <c:bubble3D val="0"/>
            <c:spPr>
              <a:solidFill>
                <a:srgbClr val="163E64"/>
              </a:solidFill>
              <a:ln w="19050">
                <a:solidFill>
                  <a:schemeClr val="lt1"/>
                </a:solidFill>
              </a:ln>
              <a:effectLst/>
            </c:spPr>
            <c:extLst>
              <c:ext xmlns:c16="http://schemas.microsoft.com/office/drawing/2014/chart" uri="{C3380CC4-5D6E-409C-BE32-E72D297353CC}">
                <c16:uniqueId val="{00000007-BD85-4136-B087-AE08DC94A5B1}"/>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D85-4136-B087-AE08DC94A5B1}"/>
              </c:ext>
            </c:extLst>
          </c:dPt>
          <c:dLbls>
            <c:dLbl>
              <c:idx val="0"/>
              <c:layout>
                <c:manualLayout>
                  <c:x val="6.2434096611451863E-2"/>
                  <c:y val="0.10863372996042733"/>
                </c:manualLayout>
              </c:layout>
              <c:tx>
                <c:rich>
                  <a:bodyPr rot="0" spcFirstLastPara="1" vertOverflow="ellipsis" vert="horz" wrap="square" lIns="38100" tIns="19050" rIns="38100" bIns="19050" anchor="ctr" anchorCtr="1">
                    <a:noAutofit/>
                  </a:bodyPr>
                  <a:lstStyle/>
                  <a:p>
                    <a:pPr>
                      <a:defRPr sz="1100" b="1" i="0" u="none" strike="noStrike" kern="1200" baseline="0">
                        <a:solidFill>
                          <a:sysClr val="windowText" lastClr="000000"/>
                        </a:solidFill>
                        <a:latin typeface="+mn-lt"/>
                        <a:ea typeface="+mn-ea"/>
                        <a:cs typeface="Calibri" panose="020F0502020204030204" pitchFamily="34" charset="0"/>
                      </a:defRPr>
                    </a:pPr>
                    <a:fld id="{60EC07AE-CCB1-450C-84EF-381BDBA41743}" type="CATEGORYNAME">
                      <a:rPr lang="en-US" sz="1100">
                        <a:solidFill>
                          <a:sysClr val="windowText" lastClr="000000"/>
                        </a:solidFill>
                        <a:latin typeface="+mn-lt"/>
                      </a:rPr>
                      <a:pPr>
                        <a:defRPr sz="1100" b="1">
                          <a:solidFill>
                            <a:sysClr val="windowText" lastClr="000000"/>
                          </a:solidFill>
                          <a:cs typeface="Calibri" panose="020F0502020204030204" pitchFamily="34" charset="0"/>
                        </a:defRPr>
                      </a:pPr>
                      <a:t>[CATEGORY NAME]</a:t>
                    </a:fld>
                    <a:r>
                      <a:rPr lang="en-US" sz="1100" baseline="0">
                        <a:solidFill>
                          <a:sysClr val="windowText" lastClr="000000"/>
                        </a:solidFill>
                        <a:latin typeface="+mn-lt"/>
                      </a:rPr>
                      <a:t>
</a:t>
                    </a:r>
                    <a:fld id="{9FCC1CCD-F5BD-4D65-A1F5-94E5EC6F2E2A}" type="PERCENTAGE">
                      <a:rPr lang="en-US" sz="1100" baseline="0">
                        <a:solidFill>
                          <a:sysClr val="windowText" lastClr="000000"/>
                        </a:solidFill>
                        <a:latin typeface="+mn-lt"/>
                      </a:rPr>
                      <a:pPr>
                        <a:defRPr sz="1100" b="1">
                          <a:solidFill>
                            <a:sysClr val="windowText" lastClr="000000"/>
                          </a:solidFill>
                          <a:cs typeface="Calibri" panose="020F0502020204030204" pitchFamily="34" charset="0"/>
                        </a:defRPr>
                      </a:pPr>
                      <a:t>[PERCENTAGE]</a:t>
                    </a:fld>
                    <a:endParaRPr lang="en-US" sz="1100" baseline="0">
                      <a:solidFill>
                        <a:sysClr val="windowText" lastClr="000000"/>
                      </a:solidFill>
                      <a:latin typeface="+mn-lt"/>
                    </a:endParaRPr>
                  </a:p>
                </c:rich>
              </c:tx>
              <c:spPr>
                <a:noFill/>
                <a:ln>
                  <a:noFill/>
                </a:ln>
                <a:effectLst/>
              </c:spPr>
              <c:txPr>
                <a:bodyPr rot="0" spcFirstLastPara="1" vertOverflow="ellipsis" vert="horz" wrap="square" lIns="38100" tIns="19050" rIns="38100" bIns="19050" anchor="ctr" anchorCtr="1">
                  <a:noAutofit/>
                </a:bodyPr>
                <a:lstStyle/>
                <a:p>
                  <a:pPr>
                    <a:defRPr sz="1100" b="1" i="0" u="none" strike="noStrike" kern="1200" baseline="0">
                      <a:solidFill>
                        <a:sysClr val="windowText" lastClr="000000"/>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layout>
                    <c:manualLayout>
                      <c:w val="0.16291287743988325"/>
                      <c:h val="0.22149439724837136"/>
                    </c:manualLayout>
                  </c15:layout>
                  <c15:dlblFieldTable/>
                  <c15:showDataLabelsRange val="0"/>
                </c:ext>
                <c:ext xmlns:c16="http://schemas.microsoft.com/office/drawing/2014/chart" uri="{C3380CC4-5D6E-409C-BE32-E72D297353CC}">
                  <c16:uniqueId val="{00000001-BD85-4136-B087-AE08DC94A5B1}"/>
                </c:ext>
              </c:extLst>
            </c:dLbl>
            <c:dLbl>
              <c:idx val="1"/>
              <c:layout>
                <c:manualLayout>
                  <c:x val="-0.12345597419388291"/>
                  <c:y val="-0.22870211549456831"/>
                </c:manualLayout>
              </c:layout>
              <c:tx>
                <c:rich>
                  <a:bodyPr rot="0" spcFirstLastPara="1" vertOverflow="ellipsis" vert="horz" wrap="square" lIns="38100" tIns="19050" rIns="38100" bIns="19050" anchor="ctr" anchorCtr="1">
                    <a:noAutofit/>
                  </a:bodyPr>
                  <a:lstStyle/>
                  <a:p>
                    <a:pPr>
                      <a:defRPr sz="1100" b="1" i="0" u="none" strike="noStrike" kern="1200" baseline="0">
                        <a:solidFill>
                          <a:sysClr val="windowText" lastClr="000000"/>
                        </a:solidFill>
                        <a:latin typeface="+mn-lt"/>
                        <a:ea typeface="+mn-ea"/>
                        <a:cs typeface="Calibri" panose="020F0502020204030204" pitchFamily="34" charset="0"/>
                      </a:defRPr>
                    </a:pPr>
                    <a:fld id="{9C704956-3D66-479E-A771-CB88A5C2A4C6}" type="CATEGORYNAME">
                      <a:rPr lang="en-US" sz="1100">
                        <a:solidFill>
                          <a:sysClr val="windowText" lastClr="000000"/>
                        </a:solidFill>
                        <a:latin typeface="+mn-lt"/>
                      </a:rPr>
                      <a:pPr>
                        <a:defRPr sz="1100" b="1">
                          <a:solidFill>
                            <a:sysClr val="windowText" lastClr="000000"/>
                          </a:solidFill>
                          <a:cs typeface="Calibri" panose="020F0502020204030204" pitchFamily="34" charset="0"/>
                        </a:defRPr>
                      </a:pPr>
                      <a:t>[CATEGORY NAME]</a:t>
                    </a:fld>
                    <a:r>
                      <a:rPr lang="en-US" sz="1100" baseline="0">
                        <a:solidFill>
                          <a:sysClr val="windowText" lastClr="000000"/>
                        </a:solidFill>
                        <a:latin typeface="+mn-lt"/>
                      </a:rPr>
                      <a:t>
</a:t>
                    </a:r>
                    <a:fld id="{7B132DC3-E187-49A1-A4FD-E27180FB3CB4}" type="PERCENTAGE">
                      <a:rPr lang="en-US" sz="1100" baseline="0">
                        <a:solidFill>
                          <a:sysClr val="windowText" lastClr="000000"/>
                        </a:solidFill>
                        <a:latin typeface="+mn-lt"/>
                      </a:rPr>
                      <a:pPr>
                        <a:defRPr sz="1100" b="1">
                          <a:solidFill>
                            <a:sysClr val="windowText" lastClr="000000"/>
                          </a:solidFill>
                          <a:cs typeface="Calibri" panose="020F0502020204030204" pitchFamily="34" charset="0"/>
                        </a:defRPr>
                      </a:pPr>
                      <a:t>[PERCENTAGE]</a:t>
                    </a:fld>
                    <a:endParaRPr lang="en-US" sz="1100" baseline="0">
                      <a:solidFill>
                        <a:sysClr val="windowText" lastClr="000000"/>
                      </a:solidFill>
                      <a:latin typeface="+mn-lt"/>
                    </a:endParaRPr>
                  </a:p>
                </c:rich>
              </c:tx>
              <c:spPr>
                <a:noFill/>
                <a:ln>
                  <a:noFill/>
                </a:ln>
                <a:effectLst/>
              </c:spPr>
              <c:txPr>
                <a:bodyPr rot="0" spcFirstLastPara="1" vertOverflow="ellipsis" vert="horz" wrap="square" lIns="38100" tIns="19050" rIns="38100" bIns="19050" anchor="ctr" anchorCtr="1">
                  <a:noAutofit/>
                </a:bodyPr>
                <a:lstStyle/>
                <a:p>
                  <a:pPr>
                    <a:defRPr sz="1100" b="1" i="0" u="none" strike="noStrike" kern="1200" baseline="0">
                      <a:solidFill>
                        <a:sysClr val="windowText" lastClr="000000"/>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layout>
                    <c:manualLayout>
                      <c:w val="0.13331073446327685"/>
                      <c:h val="0.30794739851343628"/>
                    </c:manualLayout>
                  </c15:layout>
                  <c15:dlblFieldTable/>
                  <c15:showDataLabelsRange val="0"/>
                </c:ext>
                <c:ext xmlns:c16="http://schemas.microsoft.com/office/drawing/2014/chart" uri="{C3380CC4-5D6E-409C-BE32-E72D297353CC}">
                  <c16:uniqueId val="{00000003-BD85-4136-B087-AE08DC94A5B1}"/>
                </c:ext>
              </c:extLst>
            </c:dLbl>
            <c:dLbl>
              <c:idx val="2"/>
              <c:layout>
                <c:manualLayout>
                  <c:x val="-3.2407770145328869E-2"/>
                  <c:y val="-6.8906866916078127E-2"/>
                </c:manualLayout>
              </c:layout>
              <c:tx>
                <c:rich>
                  <a:bodyPr rot="0" spcFirstLastPara="1" vertOverflow="ellipsis" vert="horz" wrap="square" lIns="38100" tIns="19050" rIns="38100" bIns="19050" anchor="ctr" anchorCtr="1">
                    <a:spAutoFit/>
                  </a:bodyPr>
                  <a:lstStyle/>
                  <a:p>
                    <a:pPr>
                      <a:defRPr sz="1100" b="1" i="0" u="none" strike="noStrike" kern="1200" baseline="0">
                        <a:solidFill>
                          <a:sysClr val="windowText" lastClr="000000"/>
                        </a:solidFill>
                        <a:latin typeface="+mn-lt"/>
                        <a:ea typeface="+mn-ea"/>
                        <a:cs typeface="Calibri" panose="020F0502020204030204" pitchFamily="34" charset="0"/>
                      </a:defRPr>
                    </a:pPr>
                    <a:fld id="{DE812037-EBE3-4F2A-8ED1-1024D81F0AF4}" type="CATEGORYNAME">
                      <a:rPr lang="en-US" sz="1100">
                        <a:solidFill>
                          <a:sysClr val="windowText" lastClr="000000"/>
                        </a:solidFill>
                        <a:latin typeface="+mn-lt"/>
                      </a:rPr>
                      <a:pPr>
                        <a:defRPr sz="1100" b="1">
                          <a:solidFill>
                            <a:sysClr val="windowText" lastClr="000000"/>
                          </a:solidFill>
                          <a:cs typeface="Calibri" panose="020F0502020204030204" pitchFamily="34" charset="0"/>
                        </a:defRPr>
                      </a:pPr>
                      <a:t>[CATEGORY NAME]</a:t>
                    </a:fld>
                    <a:r>
                      <a:rPr lang="en-US" sz="1100" baseline="0">
                        <a:solidFill>
                          <a:sysClr val="windowText" lastClr="000000"/>
                        </a:solidFill>
                        <a:latin typeface="+mn-lt"/>
                      </a:rPr>
                      <a:t>
</a:t>
                    </a:r>
                    <a:fld id="{B8553DCE-ABFA-48C4-83AC-E11F6F9F3A97}" type="PERCENTAGE">
                      <a:rPr lang="en-US" sz="1100" baseline="0">
                        <a:solidFill>
                          <a:sysClr val="windowText" lastClr="000000"/>
                        </a:solidFill>
                        <a:latin typeface="+mn-lt"/>
                      </a:rPr>
                      <a:pPr>
                        <a:defRPr sz="1100" b="1">
                          <a:solidFill>
                            <a:sysClr val="windowText" lastClr="000000"/>
                          </a:solidFill>
                          <a:cs typeface="Calibri" panose="020F0502020204030204" pitchFamily="34" charset="0"/>
                        </a:defRPr>
                      </a:pPr>
                      <a:t>[PERCENTAGE]</a:t>
                    </a:fld>
                    <a:endParaRPr lang="en-US" sz="1100" baseline="0">
                      <a:solidFill>
                        <a:sysClr val="windowText" lastClr="000000"/>
                      </a:solidFill>
                      <a:latin typeface="+mn-lt"/>
                    </a:endParaRPr>
                  </a:p>
                </c:rich>
              </c:tx>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ysClr val="windowText" lastClr="000000"/>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BD85-4136-B087-AE08DC94A5B1}"/>
                </c:ext>
              </c:extLst>
            </c:dLbl>
            <c:dLbl>
              <c:idx val="3"/>
              <c:layout>
                <c:manualLayout>
                  <c:x val="-9.8870284587005437E-3"/>
                  <c:y val="-2.8587764436821091E-2"/>
                </c:manualLayout>
              </c:layout>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ysClr val="windowText" lastClr="000000"/>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BD85-4136-B087-AE08DC94A5B1}"/>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solidFill>
                    <a:latin typeface="+mn-lt"/>
                    <a:ea typeface="+mn-ea"/>
                    <a:cs typeface="Calibri" panose="020F0502020204030204" pitchFamily="34" charset="0"/>
                  </a:defRPr>
                </a:pPr>
                <a:endParaRPr lang="en-US"/>
              </a:p>
            </c:txPr>
            <c:dLblPos val="ctr"/>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Sheet1!$A$2:$A$5</c:f>
              <c:strCache>
                <c:ptCount val="4"/>
                <c:pt idx="0">
                  <c:v>Not Familiar</c:v>
                </c:pt>
                <c:pt idx="1">
                  <c:v>Slightly Familiar</c:v>
                </c:pt>
                <c:pt idx="2">
                  <c:v>Moderately Familiar</c:v>
                </c:pt>
                <c:pt idx="3">
                  <c:v>Very Familiar</c:v>
                </c:pt>
              </c:strCache>
            </c:strRef>
          </c:cat>
          <c:val>
            <c:numRef>
              <c:f>Sheet1!$B$2:$B$5</c:f>
              <c:numCache>
                <c:formatCode>0%</c:formatCode>
                <c:ptCount val="4"/>
                <c:pt idx="0">
                  <c:v>0.45</c:v>
                </c:pt>
                <c:pt idx="1">
                  <c:v>0.31</c:v>
                </c:pt>
                <c:pt idx="2">
                  <c:v>0.17</c:v>
                </c:pt>
                <c:pt idx="3">
                  <c:v>7.0000000000000007E-2</c:v>
                </c:pt>
              </c:numCache>
            </c:numRef>
          </c:val>
          <c:extLst>
            <c:ext xmlns:c16="http://schemas.microsoft.com/office/drawing/2014/chart" uri="{C3380CC4-5D6E-409C-BE32-E72D297353CC}">
              <c16:uniqueId val="{0000000A-BD85-4136-B087-AE08DC94A5B1}"/>
            </c:ext>
          </c:extLst>
        </c:ser>
        <c:dLbls>
          <c:showLegendKey val="0"/>
          <c:showVal val="0"/>
          <c:showCatName val="1"/>
          <c:showSerName val="0"/>
          <c:showPercent val="1"/>
          <c:showBubbleSize val="0"/>
          <c:showLeaderLines val="1"/>
        </c:dLbls>
        <c:firstSliceAng val="270"/>
      </c:pieChart>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3.7464331381654219E-2"/>
          <c:y val="2.8381067751146492E-2"/>
          <c:w val="0.96253566861834583"/>
          <c:h val="0.64419632457185461"/>
        </c:manualLayout>
      </c:layout>
      <c:barChart>
        <c:barDir val="col"/>
        <c:grouping val="clustered"/>
        <c:varyColors val="0"/>
        <c:ser>
          <c:idx val="2"/>
          <c:order val="0"/>
          <c:tx>
            <c:strRef>
              <c:f>Sheet1!$B$1</c:f>
              <c:strCache>
                <c:ptCount val="1"/>
                <c:pt idx="0">
                  <c:v>LEA/ESD, Regional, 
&amp; Cooperative Staff
(n = 102)</c:v>
                </c:pt>
              </c:strCache>
            </c:strRef>
          </c:tx>
          <c:spPr>
            <a:solidFill>
              <a:srgbClr val="1A1A1A"/>
            </a:solidFill>
            <a:ln>
              <a:solidFill>
                <a:schemeClr val="tx2">
                  <a:lumMod val="90000"/>
                  <a:lumOff val="10000"/>
                </a:schemeClr>
              </a:solidFill>
            </a:ln>
            <a:effectLst/>
          </c:spPr>
          <c:invertIfNegative val="0"/>
          <c:dPt>
            <c:idx val="0"/>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1-212D-4E92-BFFE-22084C526346}"/>
              </c:ext>
            </c:extLst>
          </c:dPt>
          <c:dPt>
            <c:idx val="1"/>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3-212D-4E92-BFFE-22084C526346}"/>
              </c:ext>
            </c:extLst>
          </c:dPt>
          <c:dPt>
            <c:idx val="2"/>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5-212D-4E92-BFFE-22084C526346}"/>
              </c:ext>
            </c:extLst>
          </c:dPt>
          <c:dLbls>
            <c:dLbl>
              <c:idx val="0"/>
              <c:tx>
                <c:rich>
                  <a:bodyPr/>
                  <a:lstStyle/>
                  <a:p>
                    <a:fld id="{CFD23BEA-0B1F-44AA-B543-4D112F05C815}" type="VALUE">
                      <a:rPr lang="en-US"/>
                      <a:pPr/>
                      <a:t>[VALUE]</a:t>
                    </a:fld>
                    <a:endParaRPr lang="en-US"/>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212D-4E92-BFFE-22084C526346}"/>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c:f>
              <c:numCache>
                <c:formatCode>General</c:formatCode>
                <c:ptCount val="1"/>
              </c:numCache>
            </c:numRef>
          </c:cat>
          <c:val>
            <c:numRef>
              <c:f>Sheet1!$B$2</c:f>
              <c:numCache>
                <c:formatCode>0.0</c:formatCode>
                <c:ptCount val="1"/>
                <c:pt idx="0">
                  <c:v>1.9</c:v>
                </c:pt>
              </c:numCache>
            </c:numRef>
          </c:val>
          <c:extLst>
            <c:ext xmlns:c16="http://schemas.microsoft.com/office/drawing/2014/chart" uri="{C3380CC4-5D6E-409C-BE32-E72D297353CC}">
              <c16:uniqueId val="{00000006-212D-4E92-BFFE-22084C526346}"/>
            </c:ext>
          </c:extLst>
        </c:ser>
        <c:ser>
          <c:idx val="0"/>
          <c:order val="1"/>
          <c:tx>
            <c:strRef>
              <c:f>Sheet1!$C$1</c:f>
              <c:strCache>
                <c:ptCount val="1"/>
                <c:pt idx="0">
                  <c:v>School 
Staff 
(n = 63)</c:v>
                </c:pt>
              </c:strCache>
            </c:strRef>
          </c:tx>
          <c:spPr>
            <a:solidFill>
              <a:srgbClr val="B05227"/>
            </a:solidFill>
            <a:ln w="9525">
              <a:solidFill>
                <a:sysClr val="window" lastClr="FFFFFF"/>
              </a:solidFill>
            </a:ln>
            <a:effectLst/>
          </c:spPr>
          <c:invertIfNegative val="0"/>
          <c:dPt>
            <c:idx val="0"/>
            <c:invertIfNegative val="0"/>
            <c:bubble3D val="0"/>
            <c:spPr>
              <a:solidFill>
                <a:srgbClr val="B05227"/>
              </a:solidFill>
              <a:ln w="9525">
                <a:solidFill>
                  <a:sysClr val="window" lastClr="FFFFFF"/>
                </a:solidFill>
              </a:ln>
              <a:effectLst/>
            </c:spPr>
            <c:extLst>
              <c:ext xmlns:c16="http://schemas.microsoft.com/office/drawing/2014/chart" uri="{C3380CC4-5D6E-409C-BE32-E72D297353CC}">
                <c16:uniqueId val="{00000008-212D-4E92-BFFE-22084C526346}"/>
              </c:ext>
            </c:extLst>
          </c:dPt>
          <c:dLbls>
            <c:dLbl>
              <c:idx val="0"/>
              <c:layout>
                <c:manualLayout>
                  <c:x val="2.1031024927498969E-8"/>
                  <c:y val="0.17851830992674139"/>
                </c:manualLayout>
              </c:layout>
              <c:tx>
                <c:rich>
                  <a:bodyPr/>
                  <a:lstStyle/>
                  <a:p>
                    <a:fld id="{2BBB892D-0651-4925-9568-2749FA6BCE38}" type="VALUE">
                      <a:rPr lang="en-US"/>
                      <a:pPr/>
                      <a:t>[VALUE]</a:t>
                    </a:fld>
                    <a:endParaRPr lang="en-US"/>
                  </a:p>
                  <a:p>
                    <a:r>
                      <a:rPr lang="en-US"/>
                      <a:t>*</a:t>
                    </a:r>
                  </a:p>
                </c:rich>
              </c:tx>
              <c:dLblPos val="outEnd"/>
              <c:showLegendKey val="0"/>
              <c:showVal val="1"/>
              <c:showCatName val="0"/>
              <c:showSerName val="0"/>
              <c:showPercent val="0"/>
              <c:showBubbleSize val="0"/>
              <c:extLst>
                <c:ext xmlns:c15="http://schemas.microsoft.com/office/drawing/2012/chart" uri="{CE6537A1-D6FC-4f65-9D91-7224C49458BB}">
                  <c15:layout>
                    <c:manualLayout>
                      <c:w val="4.4978674540682412E-2"/>
                      <c:h val="0.17628729411304978"/>
                    </c:manualLayout>
                  </c15:layout>
                  <c15:dlblFieldTable/>
                  <c15:showDataLabelsRange val="0"/>
                </c:ext>
                <c:ext xmlns:c16="http://schemas.microsoft.com/office/drawing/2014/chart" uri="{C3380CC4-5D6E-409C-BE32-E72D297353CC}">
                  <c16:uniqueId val="{00000008-212D-4E92-BFFE-22084C526346}"/>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c:f>
              <c:numCache>
                <c:formatCode>General</c:formatCode>
                <c:ptCount val="1"/>
              </c:numCache>
            </c:numRef>
          </c:cat>
          <c:val>
            <c:numRef>
              <c:f>Sheet1!$C$2</c:f>
              <c:numCache>
                <c:formatCode>0.0</c:formatCode>
                <c:ptCount val="1"/>
                <c:pt idx="0">
                  <c:v>1.6</c:v>
                </c:pt>
              </c:numCache>
            </c:numRef>
          </c:val>
          <c:extLst>
            <c:ext xmlns:c16="http://schemas.microsoft.com/office/drawing/2014/chart" uri="{C3380CC4-5D6E-409C-BE32-E72D297353CC}">
              <c16:uniqueId val="{00000009-212D-4E92-BFFE-22084C526346}"/>
            </c:ext>
          </c:extLst>
        </c:ser>
        <c:ser>
          <c:idx val="3"/>
          <c:order val="2"/>
          <c:tx>
            <c:strRef>
              <c:f>Sheet1!$D$1</c:f>
              <c:strCache>
                <c:ptCount val="1"/>
                <c:pt idx="0">
                  <c:v>IMR/IRC 
Staff
(n = 26)</c:v>
                </c:pt>
              </c:strCache>
            </c:strRef>
          </c:tx>
          <c:spPr>
            <a:solidFill>
              <a:srgbClr val="1F5A92"/>
            </a:solidFill>
            <a:ln>
              <a:noFill/>
            </a:ln>
            <a:effectLst/>
          </c:spPr>
          <c:invertIfNegative val="0"/>
          <c:dLbls>
            <c:dLbl>
              <c:idx val="0"/>
              <c:tx>
                <c:rich>
                  <a:bodyPr/>
                  <a:lstStyle/>
                  <a:p>
                    <a:fld id="{A64C0563-0742-4573-A56A-3A927C1CAACA}" type="VALUE">
                      <a:rPr lang="en-US"/>
                      <a:pPr/>
                      <a:t>[VALUE]</a:t>
                    </a:fld>
                    <a:endParaRPr lang="en-US"/>
                  </a:p>
                  <a:p>
                    <a:r>
                      <a:rPr lang="en-US"/>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A-212D-4E92-BFFE-22084C526346}"/>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c:f>
              <c:numCache>
                <c:formatCode>General</c:formatCode>
                <c:ptCount val="1"/>
              </c:numCache>
            </c:numRef>
          </c:cat>
          <c:val>
            <c:numRef>
              <c:f>Sheet1!$D$2</c:f>
              <c:numCache>
                <c:formatCode>0.0</c:formatCode>
                <c:ptCount val="1"/>
                <c:pt idx="0">
                  <c:v>2.4</c:v>
                </c:pt>
              </c:numCache>
            </c:numRef>
          </c:val>
          <c:extLst>
            <c:ext xmlns:c16="http://schemas.microsoft.com/office/drawing/2014/chart" uri="{C3380CC4-5D6E-409C-BE32-E72D297353CC}">
              <c16:uniqueId val="{0000000B-212D-4E92-BFFE-22084C526346}"/>
            </c:ext>
          </c:extLst>
        </c:ser>
        <c:ser>
          <c:idx val="1"/>
          <c:order val="3"/>
          <c:tx>
            <c:strRef>
              <c:f>Sheet1!$E$1</c:f>
              <c:strCache>
                <c:ptCount val="1"/>
                <c:pt idx="0">
                  <c:v>SEA 
Staff
(n = 26)</c:v>
                </c:pt>
              </c:strCache>
            </c:strRef>
          </c:tx>
          <c:spPr>
            <a:solidFill>
              <a:srgbClr val="6A1B9A"/>
            </a:solidFill>
            <a:ln>
              <a:noFill/>
            </a:ln>
            <a:effectLst/>
          </c:spPr>
          <c:invertIfNegative val="0"/>
          <c:dLbls>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c:f>
              <c:numCache>
                <c:formatCode>General</c:formatCode>
                <c:ptCount val="1"/>
              </c:numCache>
            </c:numRef>
          </c:cat>
          <c:val>
            <c:numRef>
              <c:f>Sheet1!$E$2</c:f>
              <c:numCache>
                <c:formatCode>0.0</c:formatCode>
                <c:ptCount val="1"/>
                <c:pt idx="0">
                  <c:v>1.8</c:v>
                </c:pt>
              </c:numCache>
            </c:numRef>
          </c:val>
          <c:extLst>
            <c:ext xmlns:c16="http://schemas.microsoft.com/office/drawing/2014/chart" uri="{C3380CC4-5D6E-409C-BE32-E72D297353CC}">
              <c16:uniqueId val="{0000000C-212D-4E92-BFFE-22084C526346}"/>
            </c:ext>
          </c:extLst>
        </c:ser>
        <c:ser>
          <c:idx val="4"/>
          <c:order val="4"/>
          <c:tx>
            <c:strRef>
              <c:f>Sheet1!$F$1</c:f>
              <c:strCache>
                <c:ptCount val="1"/>
                <c:pt idx="0">
                  <c:v>AMPS, Publishers, 
&amp; Vendors
(n = 14)</c:v>
                </c:pt>
              </c:strCache>
            </c:strRef>
          </c:tx>
          <c:spPr>
            <a:solidFill>
              <a:srgbClr val="2E7D6B"/>
            </a:solidFill>
            <a:ln>
              <a:noFill/>
            </a:ln>
            <a:effectLst/>
          </c:spPr>
          <c:invertIfNegative val="0"/>
          <c:dPt>
            <c:idx val="0"/>
            <c:invertIfNegative val="0"/>
            <c:bubble3D val="0"/>
            <c:spPr>
              <a:solidFill>
                <a:srgbClr val="2E7D6B"/>
              </a:solidFill>
              <a:ln>
                <a:noFill/>
              </a:ln>
              <a:effectLst/>
            </c:spPr>
            <c:extLst>
              <c:ext xmlns:c16="http://schemas.microsoft.com/office/drawing/2014/chart" uri="{C3380CC4-5D6E-409C-BE32-E72D297353CC}">
                <c16:uniqueId val="{0000000E-212D-4E92-BFFE-22084C526346}"/>
              </c:ext>
            </c:extLst>
          </c:dPt>
          <c:dLbls>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c:f>
              <c:numCache>
                <c:formatCode>General</c:formatCode>
                <c:ptCount val="1"/>
              </c:numCache>
            </c:numRef>
          </c:cat>
          <c:val>
            <c:numRef>
              <c:f>Sheet1!$F$2</c:f>
              <c:numCache>
                <c:formatCode>0.0</c:formatCode>
                <c:ptCount val="1"/>
                <c:pt idx="0">
                  <c:v>2.1</c:v>
                </c:pt>
              </c:numCache>
            </c:numRef>
          </c:val>
          <c:extLst>
            <c:ext xmlns:c16="http://schemas.microsoft.com/office/drawing/2014/chart" uri="{C3380CC4-5D6E-409C-BE32-E72D297353CC}">
              <c16:uniqueId val="{0000000F-212D-4E92-BFFE-22084C526346}"/>
            </c:ext>
          </c:extLst>
        </c:ser>
        <c:dLbls>
          <c:showLegendKey val="0"/>
          <c:showVal val="0"/>
          <c:showCatName val="0"/>
          <c:showSerName val="0"/>
          <c:showPercent val="0"/>
          <c:showBubbleSize val="0"/>
        </c:dLbls>
        <c:gapWidth val="316"/>
        <c:overlap val="-100"/>
        <c:axId val="1677196128"/>
        <c:axId val="1677185088"/>
      </c:barChart>
      <c:catAx>
        <c:axId val="1677196128"/>
        <c:scaling>
          <c:orientation val="minMax"/>
        </c:scaling>
        <c:delete val="0"/>
        <c:axPos val="b"/>
        <c:numFmt formatCode="General" sourceLinked="1"/>
        <c:majorTickMark val="none"/>
        <c:minorTickMark val="none"/>
        <c:tickLblPos val="nextTo"/>
        <c:spPr>
          <a:noFill/>
          <a:ln w="9525" cap="flat" cmpd="sng" algn="ctr">
            <a:solidFill>
              <a:schemeClr val="bg2"/>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677185088"/>
        <c:crosses val="autoZero"/>
        <c:auto val="1"/>
        <c:lblAlgn val="ctr"/>
        <c:lblOffset val="100"/>
        <c:noMultiLvlLbl val="0"/>
      </c:catAx>
      <c:valAx>
        <c:axId val="1677185088"/>
        <c:scaling>
          <c:orientation val="minMax"/>
          <c:max val="4"/>
          <c:min val="1"/>
        </c:scaling>
        <c:delete val="0"/>
        <c:axPos val="l"/>
        <c:numFmt formatCode="#,##0" sourceLinked="0"/>
        <c:majorTickMark val="none"/>
        <c:minorTickMark val="none"/>
        <c:tickLblPos val="nextTo"/>
        <c:spPr>
          <a:noFill/>
          <a:ln>
            <a:solidFill>
              <a:schemeClr val="bg2"/>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677196128"/>
        <c:crosses val="autoZero"/>
        <c:crossBetween val="between"/>
        <c:majorUnit val="1"/>
      </c:valAx>
      <c:spPr>
        <a:noFill/>
        <a:ln w="25400">
          <a:noFill/>
        </a:ln>
        <a:effectLst/>
      </c:spPr>
    </c:plotArea>
    <c:legend>
      <c:legendPos val="b"/>
      <c:layout>
        <c:manualLayout>
          <c:xMode val="edge"/>
          <c:yMode val="edge"/>
          <c:x val="7.5068308769096162E-2"/>
          <c:y val="0.73939936502020087"/>
          <c:w val="0.90895147721919378"/>
          <c:h val="0.26060061350891933"/>
        </c:manualLayout>
      </c:layout>
      <c:overlay val="1"/>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1100"/>
      </a:pPr>
      <a:endParaRPr lang="en-US"/>
    </a:p>
  </c:txPr>
  <c:externalData r:id="rId4">
    <c:autoUpdate val="0"/>
  </c:externalData>
</c:chartSpace>
</file>

<file path=word/charts/chart3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32231987902385728"/>
          <c:y val="2.7188539682968402E-2"/>
          <c:w val="0.3571866467697995"/>
          <c:h val="0.8065801380316312"/>
        </c:manualLayout>
      </c:layout>
      <c:pieChart>
        <c:varyColors val="1"/>
        <c:ser>
          <c:idx val="0"/>
          <c:order val="0"/>
          <c:tx>
            <c:strRef>
              <c:f>Sheet1!$B$1</c:f>
              <c:strCache>
                <c:ptCount val="1"/>
                <c:pt idx="0">
                  <c:v>Agreement</c:v>
                </c:pt>
              </c:strCache>
            </c:strRef>
          </c:tx>
          <c:dPt>
            <c:idx val="0"/>
            <c:bubble3D val="0"/>
            <c:spPr>
              <a:solidFill>
                <a:srgbClr val="DCEAF7">
                  <a:alpha val="84706"/>
                </a:srgbClr>
              </a:solidFill>
              <a:ln w="19050">
                <a:solidFill>
                  <a:schemeClr val="lt1"/>
                </a:solidFill>
              </a:ln>
              <a:effectLst/>
            </c:spPr>
            <c:extLst>
              <c:ext xmlns:c16="http://schemas.microsoft.com/office/drawing/2014/chart" uri="{C3380CC4-5D6E-409C-BE32-E72D297353CC}">
                <c16:uniqueId val="{00000001-1FEF-46FB-A620-603F28E984B9}"/>
              </c:ext>
            </c:extLst>
          </c:dPt>
          <c:dPt>
            <c:idx val="1"/>
            <c:bubble3D val="0"/>
            <c:spPr>
              <a:solidFill>
                <a:srgbClr val="4E95D9"/>
              </a:solidFill>
              <a:ln w="19050">
                <a:solidFill>
                  <a:schemeClr val="lt1"/>
                </a:solidFill>
              </a:ln>
              <a:effectLst/>
            </c:spPr>
            <c:extLst>
              <c:ext xmlns:c16="http://schemas.microsoft.com/office/drawing/2014/chart" uri="{C3380CC4-5D6E-409C-BE32-E72D297353CC}">
                <c16:uniqueId val="{00000003-1FEF-46FB-A620-603F28E984B9}"/>
              </c:ext>
            </c:extLst>
          </c:dPt>
          <c:dPt>
            <c:idx val="2"/>
            <c:bubble3D val="0"/>
            <c:spPr>
              <a:solidFill>
                <a:srgbClr val="215F9A"/>
              </a:solidFill>
              <a:ln w="19050">
                <a:solidFill>
                  <a:schemeClr val="lt1"/>
                </a:solidFill>
              </a:ln>
              <a:effectLst/>
            </c:spPr>
            <c:extLst>
              <c:ext xmlns:c16="http://schemas.microsoft.com/office/drawing/2014/chart" uri="{C3380CC4-5D6E-409C-BE32-E72D297353CC}">
                <c16:uniqueId val="{00000005-1FEF-46FB-A620-603F28E984B9}"/>
              </c:ext>
            </c:extLst>
          </c:dPt>
          <c:dPt>
            <c:idx val="3"/>
            <c:bubble3D val="0"/>
            <c:spPr>
              <a:solidFill>
                <a:srgbClr val="163E64"/>
              </a:solidFill>
              <a:ln w="19050">
                <a:solidFill>
                  <a:schemeClr val="lt1"/>
                </a:solidFill>
              </a:ln>
              <a:effectLst/>
            </c:spPr>
            <c:extLst>
              <c:ext xmlns:c16="http://schemas.microsoft.com/office/drawing/2014/chart" uri="{C3380CC4-5D6E-409C-BE32-E72D297353CC}">
                <c16:uniqueId val="{00000007-1FEF-46FB-A620-603F28E984B9}"/>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FEF-46FB-A620-603F28E984B9}"/>
              </c:ext>
            </c:extLst>
          </c:dPt>
          <c:dLbls>
            <c:dLbl>
              <c:idx val="0"/>
              <c:layout>
                <c:manualLayout>
                  <c:x val="-0.20848627305559461"/>
                  <c:y val="0.10863372996042733"/>
                </c:manualLayout>
              </c:layout>
              <c:tx>
                <c:rich>
                  <a:bodyPr rot="0" spcFirstLastPara="1" vertOverflow="ellipsis" vert="horz" wrap="square" lIns="38100" tIns="19050" rIns="38100" bIns="19050" anchor="ctr" anchorCtr="1">
                    <a:noAutofit/>
                  </a:bodyPr>
                  <a:lstStyle/>
                  <a:p>
                    <a:pPr>
                      <a:defRPr sz="1100" b="1" i="0" u="none" strike="noStrike" kern="1200" baseline="0">
                        <a:solidFill>
                          <a:sysClr val="windowText" lastClr="000000"/>
                        </a:solidFill>
                        <a:latin typeface="+mn-lt"/>
                        <a:ea typeface="+mn-ea"/>
                        <a:cs typeface="Calibri" panose="020F0502020204030204" pitchFamily="34" charset="0"/>
                      </a:defRPr>
                    </a:pPr>
                    <a:fld id="{60EC07AE-CCB1-450C-84EF-381BDBA41743}" type="CATEGORYNAME">
                      <a:rPr lang="en-US" sz="1100">
                        <a:solidFill>
                          <a:sysClr val="windowText" lastClr="000000"/>
                        </a:solidFill>
                        <a:latin typeface="+mn-lt"/>
                      </a:rPr>
                      <a:pPr>
                        <a:defRPr sz="1100" b="1">
                          <a:solidFill>
                            <a:sysClr val="windowText" lastClr="000000"/>
                          </a:solidFill>
                          <a:cs typeface="Calibri" panose="020F0502020204030204" pitchFamily="34" charset="0"/>
                        </a:defRPr>
                      </a:pPr>
                      <a:t>[CATEGORY NAME]</a:t>
                    </a:fld>
                    <a:r>
                      <a:rPr lang="en-US" sz="1100" baseline="0">
                        <a:solidFill>
                          <a:sysClr val="windowText" lastClr="000000"/>
                        </a:solidFill>
                        <a:latin typeface="+mn-lt"/>
                      </a:rPr>
                      <a:t>
</a:t>
                    </a:r>
                    <a:fld id="{9FCC1CCD-F5BD-4D65-A1F5-94E5EC6F2E2A}" type="PERCENTAGE">
                      <a:rPr lang="en-US" sz="1100" baseline="0">
                        <a:solidFill>
                          <a:sysClr val="windowText" lastClr="000000"/>
                        </a:solidFill>
                        <a:latin typeface="+mn-lt"/>
                      </a:rPr>
                      <a:pPr>
                        <a:defRPr sz="1100" b="1">
                          <a:solidFill>
                            <a:sysClr val="windowText" lastClr="000000"/>
                          </a:solidFill>
                          <a:cs typeface="Calibri" panose="020F0502020204030204" pitchFamily="34" charset="0"/>
                        </a:defRPr>
                      </a:pPr>
                      <a:t>[PERCENTAGE]</a:t>
                    </a:fld>
                    <a:endParaRPr lang="en-US" sz="1100" baseline="0">
                      <a:solidFill>
                        <a:sysClr val="windowText" lastClr="000000"/>
                      </a:solidFill>
                      <a:latin typeface="+mn-lt"/>
                    </a:endParaRPr>
                  </a:p>
                </c:rich>
              </c:tx>
              <c:spPr>
                <a:noFill/>
                <a:ln>
                  <a:noFill/>
                </a:ln>
                <a:effectLst/>
              </c:spPr>
              <c:txPr>
                <a:bodyPr rot="0" spcFirstLastPara="1" vertOverflow="ellipsis" vert="horz" wrap="square" lIns="38100" tIns="19050" rIns="38100" bIns="19050" anchor="ctr" anchorCtr="1">
                  <a:noAutofit/>
                </a:bodyPr>
                <a:lstStyle/>
                <a:p>
                  <a:pPr>
                    <a:defRPr sz="1100" b="1" i="0" u="none" strike="noStrike" kern="1200" baseline="0">
                      <a:solidFill>
                        <a:sysClr val="windowText" lastClr="000000"/>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layout>
                    <c:manualLayout>
                      <c:w val="0.16291287743988325"/>
                      <c:h val="0.22149439724837136"/>
                    </c:manualLayout>
                  </c15:layout>
                  <c15:dlblFieldTable/>
                  <c15:showDataLabelsRange val="0"/>
                </c:ext>
                <c:ext xmlns:c16="http://schemas.microsoft.com/office/drawing/2014/chart" uri="{C3380CC4-5D6E-409C-BE32-E72D297353CC}">
                  <c16:uniqueId val="{00000001-1FEF-46FB-A620-603F28E984B9}"/>
                </c:ext>
              </c:extLst>
            </c:dLbl>
            <c:dLbl>
              <c:idx val="1"/>
              <c:layout>
                <c:manualLayout>
                  <c:x val="0.12467670082827194"/>
                  <c:y val="-0.25806467587777948"/>
                </c:manualLayout>
              </c:layout>
              <c:tx>
                <c:rich>
                  <a:bodyPr rot="0" spcFirstLastPara="1" vertOverflow="ellipsis" vert="horz" wrap="square" lIns="38100" tIns="19050" rIns="38100" bIns="19050" anchor="ctr" anchorCtr="1">
                    <a:noAutofit/>
                  </a:bodyPr>
                  <a:lstStyle/>
                  <a:p>
                    <a:pPr>
                      <a:defRPr sz="1100" b="1" i="0" u="none" strike="noStrike" kern="1200" baseline="0">
                        <a:solidFill>
                          <a:sysClr val="windowText" lastClr="000000"/>
                        </a:solidFill>
                        <a:latin typeface="+mn-lt"/>
                        <a:ea typeface="+mn-ea"/>
                        <a:cs typeface="Calibri" panose="020F0502020204030204" pitchFamily="34" charset="0"/>
                      </a:defRPr>
                    </a:pPr>
                    <a:fld id="{9C704956-3D66-479E-A771-CB88A5C2A4C6}" type="CATEGORYNAME">
                      <a:rPr lang="en-US" sz="1100">
                        <a:solidFill>
                          <a:sysClr val="windowText" lastClr="000000"/>
                        </a:solidFill>
                        <a:latin typeface="+mn-lt"/>
                      </a:rPr>
                      <a:pPr>
                        <a:defRPr sz="1100" b="1">
                          <a:solidFill>
                            <a:sysClr val="windowText" lastClr="000000"/>
                          </a:solidFill>
                          <a:cs typeface="Calibri" panose="020F0502020204030204" pitchFamily="34" charset="0"/>
                        </a:defRPr>
                      </a:pPr>
                      <a:t>[CATEGORY NAME]</a:t>
                    </a:fld>
                    <a:r>
                      <a:rPr lang="en-US" sz="1100" baseline="0">
                        <a:solidFill>
                          <a:sysClr val="windowText" lastClr="000000"/>
                        </a:solidFill>
                        <a:latin typeface="+mn-lt"/>
                      </a:rPr>
                      <a:t>
</a:t>
                    </a:r>
                    <a:fld id="{7B132DC3-E187-49A1-A4FD-E27180FB3CB4}" type="PERCENTAGE">
                      <a:rPr lang="en-US" sz="1100" baseline="0">
                        <a:solidFill>
                          <a:sysClr val="windowText" lastClr="000000"/>
                        </a:solidFill>
                        <a:latin typeface="+mn-lt"/>
                      </a:rPr>
                      <a:pPr>
                        <a:defRPr sz="1100" b="1">
                          <a:solidFill>
                            <a:sysClr val="windowText" lastClr="000000"/>
                          </a:solidFill>
                          <a:cs typeface="Calibri" panose="020F0502020204030204" pitchFamily="34" charset="0"/>
                        </a:defRPr>
                      </a:pPr>
                      <a:t>[PERCENTAGE]</a:t>
                    </a:fld>
                    <a:endParaRPr lang="en-US" sz="1100" baseline="0">
                      <a:solidFill>
                        <a:sysClr val="windowText" lastClr="000000"/>
                      </a:solidFill>
                      <a:latin typeface="+mn-lt"/>
                    </a:endParaRPr>
                  </a:p>
                </c:rich>
              </c:tx>
              <c:spPr>
                <a:noFill/>
                <a:ln>
                  <a:noFill/>
                </a:ln>
                <a:effectLst/>
              </c:spPr>
              <c:txPr>
                <a:bodyPr rot="0" spcFirstLastPara="1" vertOverflow="ellipsis" vert="horz" wrap="square" lIns="38100" tIns="19050" rIns="38100" bIns="19050" anchor="ctr" anchorCtr="1">
                  <a:noAutofit/>
                </a:bodyPr>
                <a:lstStyle/>
                <a:p>
                  <a:pPr>
                    <a:defRPr sz="1100" b="1" i="0" u="none" strike="noStrike" kern="1200" baseline="0">
                      <a:solidFill>
                        <a:sysClr val="windowText" lastClr="000000"/>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layout>
                    <c:manualLayout>
                      <c:w val="0.13331073446327685"/>
                      <c:h val="0.30794739851343628"/>
                    </c:manualLayout>
                  </c15:layout>
                  <c15:dlblFieldTable/>
                  <c15:showDataLabelsRange val="0"/>
                </c:ext>
                <c:ext xmlns:c16="http://schemas.microsoft.com/office/drawing/2014/chart" uri="{C3380CC4-5D6E-409C-BE32-E72D297353CC}">
                  <c16:uniqueId val="{00000003-1FEF-46FB-A620-603F28E984B9}"/>
                </c:ext>
              </c:extLst>
            </c:dLbl>
            <c:dLbl>
              <c:idx val="2"/>
              <c:layout>
                <c:manualLayout>
                  <c:x val="6.8870872720856763E-2"/>
                  <c:y val="-0.24013722126929674"/>
                </c:manualLayout>
              </c:layout>
              <c:tx>
                <c:rich>
                  <a:bodyPr/>
                  <a:lstStyle/>
                  <a:p>
                    <a:fld id="{DE812037-EBE3-4F2A-8ED1-1024D81F0AF4}" type="CATEGORYNAME">
                      <a:rPr lang="en-US" sz="1100">
                        <a:solidFill>
                          <a:sysClr val="windowText" lastClr="000000"/>
                        </a:solidFill>
                        <a:latin typeface="Aptos" panose="020B0004020202020204" pitchFamily="34" charset="0"/>
                      </a:rPr>
                      <a:pPr/>
                      <a:t>[CATEGORY NAME]</a:t>
                    </a:fld>
                    <a:r>
                      <a:rPr lang="en-US" sz="1100" baseline="0">
                        <a:solidFill>
                          <a:sysClr val="windowText" lastClr="000000"/>
                        </a:solidFill>
                        <a:latin typeface="Aptos" panose="020B0004020202020204" pitchFamily="34" charset="0"/>
                      </a:rPr>
                      <a:t>
</a:t>
                    </a:r>
                    <a:fld id="{B8553DCE-ABFA-48C4-83AC-E11F6F9F3A97}" type="PERCENTAGE">
                      <a:rPr lang="en-US" sz="1100" baseline="0">
                        <a:solidFill>
                          <a:sysClr val="windowText" lastClr="000000"/>
                        </a:solidFill>
                        <a:latin typeface="Aptos" panose="020B0004020202020204" pitchFamily="34" charset="0"/>
                      </a:rPr>
                      <a:pPr/>
                      <a:t>[PERCENTAGE]</a:t>
                    </a:fld>
                    <a:endParaRPr lang="en-US" sz="1100" baseline="0">
                      <a:solidFill>
                        <a:sysClr val="windowText" lastClr="000000"/>
                      </a:solidFill>
                      <a:latin typeface="Aptos" panose="020B0004020202020204" pitchFamily="34" charset="0"/>
                    </a:endParaRPr>
                  </a:p>
                </c:rich>
              </c:tx>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1FEF-46FB-A620-603F28E984B9}"/>
                </c:ext>
              </c:extLst>
            </c:dLbl>
            <c:dLbl>
              <c:idx val="3"/>
              <c:layout>
                <c:manualLayout>
                  <c:x val="0.13190307155395928"/>
                  <c:y val="0.16580903373356204"/>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1FEF-46FB-A620-603F28E984B9}"/>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ysClr val="windowText" lastClr="000000"/>
                    </a:solidFill>
                    <a:latin typeface="+mn-lt"/>
                    <a:ea typeface="+mn-ea"/>
                    <a:cs typeface="Calibri" panose="020F0502020204030204" pitchFamily="34" charset="0"/>
                  </a:defRPr>
                </a:pPr>
                <a:endParaRPr lang="en-US"/>
              </a:p>
            </c:txPr>
            <c:dLblPos val="ctr"/>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Sheet1!$A$2:$A$3</c:f>
              <c:strCache>
                <c:ptCount val="2"/>
                <c:pt idx="0">
                  <c:v>No</c:v>
                </c:pt>
                <c:pt idx="1">
                  <c:v>Yes</c:v>
                </c:pt>
              </c:strCache>
            </c:strRef>
          </c:cat>
          <c:val>
            <c:numRef>
              <c:f>Sheet1!$B$2:$B$3</c:f>
              <c:numCache>
                <c:formatCode>0%</c:formatCode>
                <c:ptCount val="2"/>
                <c:pt idx="0">
                  <c:v>0.77</c:v>
                </c:pt>
                <c:pt idx="1">
                  <c:v>0.23</c:v>
                </c:pt>
              </c:numCache>
            </c:numRef>
          </c:val>
          <c:extLst>
            <c:ext xmlns:c16="http://schemas.microsoft.com/office/drawing/2014/chart" uri="{C3380CC4-5D6E-409C-BE32-E72D297353CC}">
              <c16:uniqueId val="{0000000A-1FEF-46FB-A620-603F28E984B9}"/>
            </c:ext>
          </c:extLst>
        </c:ser>
        <c:dLbls>
          <c:showLegendKey val="0"/>
          <c:showVal val="0"/>
          <c:showCatName val="1"/>
          <c:showSerName val="0"/>
          <c:showPercent val="1"/>
          <c:showBubbleSize val="0"/>
          <c:showLeaderLines val="1"/>
        </c:dLbls>
        <c:firstSliceAng val="270"/>
      </c:pieChart>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hart3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8180842187738309"/>
          <c:y val="2.7188539682968402E-2"/>
          <c:w val="0.43567759499109326"/>
          <c:h val="0.97281146031703158"/>
        </c:manualLayout>
      </c:layout>
      <c:pieChart>
        <c:varyColors val="1"/>
        <c:ser>
          <c:idx val="0"/>
          <c:order val="0"/>
          <c:tx>
            <c:strRef>
              <c:f>Sheet1!$B$1</c:f>
              <c:strCache>
                <c:ptCount val="1"/>
                <c:pt idx="0">
                  <c:v>Agreement</c:v>
                </c:pt>
              </c:strCache>
            </c:strRef>
          </c:tx>
          <c:dPt>
            <c:idx val="0"/>
            <c:bubble3D val="0"/>
            <c:spPr>
              <a:solidFill>
                <a:srgbClr val="DCEAF7">
                  <a:alpha val="84706"/>
                </a:srgbClr>
              </a:solidFill>
              <a:ln w="19050">
                <a:solidFill>
                  <a:schemeClr val="lt1"/>
                </a:solidFill>
              </a:ln>
              <a:effectLst/>
            </c:spPr>
            <c:extLst>
              <c:ext xmlns:c16="http://schemas.microsoft.com/office/drawing/2014/chart" uri="{C3380CC4-5D6E-409C-BE32-E72D297353CC}">
                <c16:uniqueId val="{00000001-B2D2-4133-AC26-BF31CAA573B5}"/>
              </c:ext>
            </c:extLst>
          </c:dPt>
          <c:dPt>
            <c:idx val="1"/>
            <c:bubble3D val="0"/>
            <c:spPr>
              <a:solidFill>
                <a:srgbClr val="4E95D9"/>
              </a:solidFill>
              <a:ln w="19050">
                <a:solidFill>
                  <a:schemeClr val="lt1"/>
                </a:solidFill>
              </a:ln>
              <a:effectLst/>
            </c:spPr>
            <c:extLst>
              <c:ext xmlns:c16="http://schemas.microsoft.com/office/drawing/2014/chart" uri="{C3380CC4-5D6E-409C-BE32-E72D297353CC}">
                <c16:uniqueId val="{00000003-B2D2-4133-AC26-BF31CAA573B5}"/>
              </c:ext>
            </c:extLst>
          </c:dPt>
          <c:dPt>
            <c:idx val="2"/>
            <c:bubble3D val="0"/>
            <c:spPr>
              <a:solidFill>
                <a:srgbClr val="215F9A"/>
              </a:solidFill>
              <a:ln w="19050">
                <a:solidFill>
                  <a:schemeClr val="lt1"/>
                </a:solidFill>
              </a:ln>
              <a:effectLst/>
            </c:spPr>
            <c:extLst>
              <c:ext xmlns:c16="http://schemas.microsoft.com/office/drawing/2014/chart" uri="{C3380CC4-5D6E-409C-BE32-E72D297353CC}">
                <c16:uniqueId val="{00000005-B2D2-4133-AC26-BF31CAA573B5}"/>
              </c:ext>
            </c:extLst>
          </c:dPt>
          <c:dPt>
            <c:idx val="3"/>
            <c:bubble3D val="0"/>
            <c:spPr>
              <a:solidFill>
                <a:srgbClr val="163E64"/>
              </a:solidFill>
              <a:ln w="19050">
                <a:solidFill>
                  <a:schemeClr val="lt1"/>
                </a:solidFill>
              </a:ln>
              <a:effectLst/>
            </c:spPr>
            <c:extLst>
              <c:ext xmlns:c16="http://schemas.microsoft.com/office/drawing/2014/chart" uri="{C3380CC4-5D6E-409C-BE32-E72D297353CC}">
                <c16:uniqueId val="{00000007-B2D2-4133-AC26-BF31CAA573B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2D2-4133-AC26-BF31CAA573B5}"/>
              </c:ext>
            </c:extLst>
          </c:dPt>
          <c:dLbls>
            <c:dLbl>
              <c:idx val="0"/>
              <c:tx>
                <c:rich>
                  <a:bodyPr rot="0" spcFirstLastPara="1" vertOverflow="ellipsis" vert="horz" wrap="square" lIns="38100" tIns="19050" rIns="38100" bIns="19050" anchor="ctr" anchorCtr="1">
                    <a:noAutofit/>
                  </a:bodyPr>
                  <a:lstStyle/>
                  <a:p>
                    <a:pPr>
                      <a:defRPr sz="1100" b="1" i="0" u="none" strike="noStrike" kern="1200" baseline="0">
                        <a:solidFill>
                          <a:schemeClr val="tx1"/>
                        </a:solidFill>
                        <a:latin typeface="+mn-lt"/>
                        <a:ea typeface="+mn-ea"/>
                        <a:cs typeface="Calibri" panose="020F0502020204030204" pitchFamily="34" charset="0"/>
                      </a:defRPr>
                    </a:pPr>
                    <a:fld id="{60EC07AE-CCB1-450C-84EF-381BDBA41743}" type="CATEGORYNAME">
                      <a:rPr lang="en-US" sz="1100">
                        <a:solidFill>
                          <a:schemeClr val="tx1"/>
                        </a:solidFill>
                        <a:latin typeface="+mn-lt"/>
                      </a:rPr>
                      <a:pPr>
                        <a:defRPr sz="1100" b="1">
                          <a:solidFill>
                            <a:schemeClr val="tx1"/>
                          </a:solidFill>
                          <a:cs typeface="Calibri" panose="020F0502020204030204" pitchFamily="34" charset="0"/>
                        </a:defRPr>
                      </a:pPr>
                      <a:t>[CATEGORY NAME]</a:t>
                    </a:fld>
                    <a:r>
                      <a:rPr lang="en-US" sz="1100" baseline="0">
                        <a:solidFill>
                          <a:schemeClr val="tx1"/>
                        </a:solidFill>
                        <a:latin typeface="+mn-lt"/>
                      </a:rPr>
                      <a:t>
</a:t>
                    </a:r>
                    <a:fld id="{9FCC1CCD-F5BD-4D65-A1F5-94E5EC6F2E2A}" type="PERCENTAGE">
                      <a:rPr lang="en-US" sz="1100" baseline="0">
                        <a:solidFill>
                          <a:schemeClr val="tx1"/>
                        </a:solidFill>
                        <a:latin typeface="+mn-lt"/>
                      </a:rPr>
                      <a:pPr>
                        <a:defRPr sz="1100" b="1">
                          <a:solidFill>
                            <a:schemeClr val="tx1"/>
                          </a:solidFill>
                          <a:cs typeface="Calibri" panose="020F0502020204030204" pitchFamily="34" charset="0"/>
                        </a:defRPr>
                      </a:pPr>
                      <a:t>[PERCENTAGE]</a:t>
                    </a:fld>
                    <a:endParaRPr lang="en-US" sz="1100" baseline="0">
                      <a:solidFill>
                        <a:schemeClr val="tx1"/>
                      </a:solidFill>
                      <a:latin typeface="+mn-lt"/>
                    </a:endParaRPr>
                  </a:p>
                </c:rich>
              </c:tx>
              <c:spPr>
                <a:noFill/>
                <a:ln>
                  <a:noFill/>
                </a:ln>
                <a:effectLst/>
              </c:spPr>
              <c:txPr>
                <a:bodyPr rot="0" spcFirstLastPara="1" vertOverflow="ellipsis" vert="horz" wrap="square" lIns="38100" tIns="19050" rIns="38100" bIns="19050" anchor="ctr" anchorCtr="1">
                  <a:noAutofit/>
                </a:bodyPr>
                <a:lstStyle/>
                <a:p>
                  <a:pPr>
                    <a:defRPr sz="1100" b="1" i="0" u="none" strike="noStrike" kern="1200" baseline="0">
                      <a:solidFill>
                        <a:schemeClr val="tx1"/>
                      </a:solidFill>
                      <a:latin typeface="+mn-lt"/>
                      <a:ea typeface="+mn-ea"/>
                      <a:cs typeface="Calibri" panose="020F0502020204030204" pitchFamily="34" charset="0"/>
                    </a:defRPr>
                  </a:pPr>
                  <a:endParaRPr lang="en-US"/>
                </a:p>
              </c:txPr>
              <c:dLblPos val="ctr"/>
              <c:showLegendKey val="0"/>
              <c:showVal val="0"/>
              <c:showCatName val="1"/>
              <c:showSerName val="0"/>
              <c:showPercent val="1"/>
              <c:showBubbleSize val="0"/>
              <c:extLst>
                <c:ext xmlns:c15="http://schemas.microsoft.com/office/drawing/2012/chart" uri="{CE6537A1-D6FC-4f65-9D91-7224C49458BB}">
                  <c15:layout>
                    <c:manualLayout>
                      <c:w val="0.26419152030606885"/>
                      <c:h val="0.22149439724837136"/>
                    </c:manualLayout>
                  </c15:layout>
                  <c15:dlblFieldTable/>
                  <c15:showDataLabelsRange val="0"/>
                </c:ext>
                <c:ext xmlns:c16="http://schemas.microsoft.com/office/drawing/2014/chart" uri="{C3380CC4-5D6E-409C-BE32-E72D297353CC}">
                  <c16:uniqueId val="{00000001-B2D2-4133-AC26-BF31CAA573B5}"/>
                </c:ext>
              </c:extLst>
            </c:dLbl>
            <c:dLbl>
              <c:idx val="1"/>
              <c:layout>
                <c:manualLayout>
                  <c:x val="-0.11203331828109418"/>
                  <c:y val="-6.2824089923542159E-2"/>
                </c:manualLayout>
              </c:layout>
              <c:tx>
                <c:rich>
                  <a:bodyPr rot="0" spcFirstLastPara="1" vertOverflow="ellipsis" vert="horz" wrap="square" lIns="38100" tIns="19050" rIns="38100" bIns="19050" anchor="ctr" anchorCtr="1">
                    <a:noAutofit/>
                  </a:bodyPr>
                  <a:lstStyle/>
                  <a:p>
                    <a:pPr>
                      <a:defRPr sz="1100" b="1" i="0" u="none" strike="noStrike" kern="1200" baseline="0">
                        <a:solidFill>
                          <a:sysClr val="windowText" lastClr="000000"/>
                        </a:solidFill>
                        <a:latin typeface="+mn-lt"/>
                        <a:ea typeface="+mn-ea"/>
                        <a:cs typeface="Calibri" panose="020F0502020204030204" pitchFamily="34" charset="0"/>
                      </a:defRPr>
                    </a:pPr>
                    <a:fld id="{9C704956-3D66-479E-A771-CB88A5C2A4C6}" type="CATEGORYNAME">
                      <a:rPr lang="en-US" sz="1100">
                        <a:solidFill>
                          <a:sysClr val="windowText" lastClr="000000"/>
                        </a:solidFill>
                        <a:latin typeface="+mn-lt"/>
                      </a:rPr>
                      <a:pPr>
                        <a:defRPr sz="1100" b="1">
                          <a:solidFill>
                            <a:sysClr val="windowText" lastClr="000000"/>
                          </a:solidFill>
                          <a:cs typeface="Calibri" panose="020F0502020204030204" pitchFamily="34" charset="0"/>
                        </a:defRPr>
                      </a:pPr>
                      <a:t>[CATEGORY NAME]</a:t>
                    </a:fld>
                    <a:r>
                      <a:rPr lang="en-US" sz="1100" baseline="0">
                        <a:solidFill>
                          <a:sysClr val="windowText" lastClr="000000"/>
                        </a:solidFill>
                        <a:latin typeface="+mn-lt"/>
                      </a:rPr>
                      <a:t>
</a:t>
                    </a:r>
                    <a:fld id="{7B132DC3-E187-49A1-A4FD-E27180FB3CB4}" type="PERCENTAGE">
                      <a:rPr lang="en-US" sz="1100" baseline="0">
                        <a:solidFill>
                          <a:sysClr val="windowText" lastClr="000000"/>
                        </a:solidFill>
                        <a:latin typeface="+mn-lt"/>
                      </a:rPr>
                      <a:pPr>
                        <a:defRPr sz="1100" b="1">
                          <a:solidFill>
                            <a:sysClr val="windowText" lastClr="000000"/>
                          </a:solidFill>
                          <a:cs typeface="Calibri" panose="020F0502020204030204" pitchFamily="34" charset="0"/>
                        </a:defRPr>
                      </a:pPr>
                      <a:t>[PERCENTAGE]</a:t>
                    </a:fld>
                    <a:endParaRPr lang="en-US" sz="1100" baseline="0">
                      <a:solidFill>
                        <a:sysClr val="windowText" lastClr="000000"/>
                      </a:solidFill>
                      <a:latin typeface="+mn-lt"/>
                    </a:endParaRPr>
                  </a:p>
                </c:rich>
              </c:tx>
              <c:spPr>
                <a:noFill/>
                <a:ln>
                  <a:noFill/>
                </a:ln>
                <a:effectLst/>
              </c:spPr>
              <c:txPr>
                <a:bodyPr rot="0" spcFirstLastPara="1" vertOverflow="ellipsis" vert="horz" wrap="square" lIns="38100" tIns="19050" rIns="38100" bIns="19050" anchor="ctr" anchorCtr="1">
                  <a:noAutofit/>
                </a:bodyPr>
                <a:lstStyle/>
                <a:p>
                  <a:pPr>
                    <a:defRPr sz="1100" b="1" i="0" u="none" strike="noStrike" kern="1200" baseline="0">
                      <a:solidFill>
                        <a:sysClr val="windowText" lastClr="000000"/>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layout>
                    <c:manualLayout>
                      <c:w val="0.16622636374782815"/>
                      <c:h val="0.30794739851343628"/>
                    </c:manualLayout>
                  </c15:layout>
                  <c15:dlblFieldTable/>
                  <c15:showDataLabelsRange val="0"/>
                </c:ext>
                <c:ext xmlns:c16="http://schemas.microsoft.com/office/drawing/2014/chart" uri="{C3380CC4-5D6E-409C-BE32-E72D297353CC}">
                  <c16:uniqueId val="{00000003-B2D2-4133-AC26-BF31CAA573B5}"/>
                </c:ext>
              </c:extLst>
            </c:dLbl>
            <c:dLbl>
              <c:idx val="2"/>
              <c:tx>
                <c:rich>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mn-lt"/>
                        <a:ea typeface="+mn-ea"/>
                        <a:cs typeface="Calibri" panose="020F0502020204030204" pitchFamily="34" charset="0"/>
                      </a:defRPr>
                    </a:pPr>
                    <a:fld id="{DE812037-EBE3-4F2A-8ED1-1024D81F0AF4}" type="CATEGORYNAME">
                      <a:rPr lang="en-US" sz="1100">
                        <a:solidFill>
                          <a:schemeClr val="bg1"/>
                        </a:solidFill>
                        <a:latin typeface="+mn-lt"/>
                      </a:rPr>
                      <a:pPr>
                        <a:defRPr sz="1100" b="1">
                          <a:solidFill>
                            <a:schemeClr val="bg1"/>
                          </a:solidFill>
                          <a:cs typeface="Calibri" panose="020F0502020204030204" pitchFamily="34" charset="0"/>
                        </a:defRPr>
                      </a:pPr>
                      <a:t>[CATEGORY NAME]</a:t>
                    </a:fld>
                    <a:r>
                      <a:rPr lang="en-US" sz="1100" baseline="0">
                        <a:solidFill>
                          <a:schemeClr val="bg1"/>
                        </a:solidFill>
                        <a:latin typeface="+mn-lt"/>
                      </a:rPr>
                      <a:t>
</a:t>
                    </a:r>
                    <a:fld id="{B8553DCE-ABFA-48C4-83AC-E11F6F9F3A97}" type="PERCENTAGE">
                      <a:rPr lang="en-US" sz="1100" baseline="0">
                        <a:solidFill>
                          <a:schemeClr val="bg1"/>
                        </a:solidFill>
                        <a:latin typeface="+mn-lt"/>
                      </a:rPr>
                      <a:pPr>
                        <a:defRPr sz="1100" b="1">
                          <a:solidFill>
                            <a:schemeClr val="bg1"/>
                          </a:solidFill>
                          <a:cs typeface="Calibri" panose="020F0502020204030204" pitchFamily="34" charset="0"/>
                        </a:defRPr>
                      </a:pPr>
                      <a:t>[PERCENTAGE]</a:t>
                    </a:fld>
                    <a:endParaRPr lang="en-US" sz="1100" baseline="0">
                      <a:solidFill>
                        <a:schemeClr val="bg1"/>
                      </a:solidFill>
                      <a:latin typeface="+mn-lt"/>
                    </a:endParaRPr>
                  </a:p>
                </c:rich>
              </c:tx>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B2D2-4133-AC26-BF31CAA573B5}"/>
                </c:ext>
              </c:extLst>
            </c:dLbl>
            <c:dLbl>
              <c:idx val="3"/>
              <c:layout>
                <c:manualLayout>
                  <c:x val="2.1930414793859084E-6"/>
                  <c:y val="1.4201757389022689E-3"/>
                </c:manualLayout>
              </c:layout>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ysClr val="windowText" lastClr="000000"/>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B2D2-4133-AC26-BF31CAA573B5}"/>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Sheet1!$A$2:$A$5</c:f>
              <c:strCache>
                <c:ptCount val="4"/>
                <c:pt idx="0">
                  <c:v>Never or Rarely</c:v>
                </c:pt>
                <c:pt idx="1">
                  <c:v>Sometimes</c:v>
                </c:pt>
                <c:pt idx="2">
                  <c:v>Often</c:v>
                </c:pt>
                <c:pt idx="3">
                  <c:v>Always</c:v>
                </c:pt>
              </c:strCache>
            </c:strRef>
          </c:cat>
          <c:val>
            <c:numRef>
              <c:f>Sheet1!$B$2:$B$5</c:f>
              <c:numCache>
                <c:formatCode>0%</c:formatCode>
                <c:ptCount val="4"/>
                <c:pt idx="0">
                  <c:v>0.54</c:v>
                </c:pt>
                <c:pt idx="1">
                  <c:v>0.25</c:v>
                </c:pt>
                <c:pt idx="2">
                  <c:v>0.15</c:v>
                </c:pt>
                <c:pt idx="3">
                  <c:v>0.06</c:v>
                </c:pt>
              </c:numCache>
            </c:numRef>
          </c:val>
          <c:extLst>
            <c:ext xmlns:c16="http://schemas.microsoft.com/office/drawing/2014/chart" uri="{C3380CC4-5D6E-409C-BE32-E72D297353CC}">
              <c16:uniqueId val="{0000000A-B2D2-4133-AC26-BF31CAA573B5}"/>
            </c:ext>
          </c:extLst>
        </c:ser>
        <c:dLbls>
          <c:showLegendKey val="0"/>
          <c:showVal val="0"/>
          <c:showCatName val="1"/>
          <c:showSerName val="0"/>
          <c:showPercent val="1"/>
          <c:showBubbleSize val="0"/>
          <c:showLeaderLines val="1"/>
        </c:dLbls>
        <c:firstSliceAng val="268"/>
      </c:pieChart>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hart3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8940432009234696"/>
          <c:y val="2.7188539682968402E-2"/>
          <c:w val="0.42048579856116541"/>
          <c:h val="0.94951896021573634"/>
        </c:manualLayout>
      </c:layout>
      <c:pieChart>
        <c:varyColors val="1"/>
        <c:ser>
          <c:idx val="0"/>
          <c:order val="0"/>
          <c:tx>
            <c:strRef>
              <c:f>Sheet1!$B$1</c:f>
              <c:strCache>
                <c:ptCount val="1"/>
                <c:pt idx="0">
                  <c:v>Agreement</c:v>
                </c:pt>
              </c:strCache>
            </c:strRef>
          </c:tx>
          <c:dPt>
            <c:idx val="0"/>
            <c:bubble3D val="0"/>
            <c:spPr>
              <a:solidFill>
                <a:srgbClr val="DCEAF7">
                  <a:alpha val="84706"/>
                </a:srgbClr>
              </a:solidFill>
              <a:ln w="19050">
                <a:solidFill>
                  <a:schemeClr val="lt1"/>
                </a:solidFill>
              </a:ln>
              <a:effectLst/>
            </c:spPr>
            <c:extLst>
              <c:ext xmlns:c16="http://schemas.microsoft.com/office/drawing/2014/chart" uri="{C3380CC4-5D6E-409C-BE32-E72D297353CC}">
                <c16:uniqueId val="{00000001-E628-48E1-83E6-C04AE2832B64}"/>
              </c:ext>
            </c:extLst>
          </c:dPt>
          <c:dPt>
            <c:idx val="1"/>
            <c:bubble3D val="0"/>
            <c:spPr>
              <a:solidFill>
                <a:srgbClr val="4E95D9"/>
              </a:solidFill>
              <a:ln w="19050">
                <a:solidFill>
                  <a:schemeClr val="lt1"/>
                </a:solidFill>
              </a:ln>
              <a:effectLst/>
            </c:spPr>
            <c:extLst>
              <c:ext xmlns:c16="http://schemas.microsoft.com/office/drawing/2014/chart" uri="{C3380CC4-5D6E-409C-BE32-E72D297353CC}">
                <c16:uniqueId val="{00000003-E628-48E1-83E6-C04AE2832B64}"/>
              </c:ext>
            </c:extLst>
          </c:dPt>
          <c:dPt>
            <c:idx val="2"/>
            <c:bubble3D val="0"/>
            <c:spPr>
              <a:solidFill>
                <a:srgbClr val="215F9A"/>
              </a:solidFill>
              <a:ln w="19050">
                <a:solidFill>
                  <a:schemeClr val="lt1"/>
                </a:solidFill>
              </a:ln>
              <a:effectLst/>
            </c:spPr>
            <c:extLst>
              <c:ext xmlns:c16="http://schemas.microsoft.com/office/drawing/2014/chart" uri="{C3380CC4-5D6E-409C-BE32-E72D297353CC}">
                <c16:uniqueId val="{00000005-E628-48E1-83E6-C04AE2832B64}"/>
              </c:ext>
            </c:extLst>
          </c:dPt>
          <c:dPt>
            <c:idx val="3"/>
            <c:bubble3D val="0"/>
            <c:spPr>
              <a:solidFill>
                <a:srgbClr val="163E64"/>
              </a:solidFill>
              <a:ln w="19050">
                <a:solidFill>
                  <a:schemeClr val="lt1"/>
                </a:solidFill>
              </a:ln>
              <a:effectLst/>
            </c:spPr>
            <c:extLst>
              <c:ext xmlns:c16="http://schemas.microsoft.com/office/drawing/2014/chart" uri="{C3380CC4-5D6E-409C-BE32-E72D297353CC}">
                <c16:uniqueId val="{00000007-E628-48E1-83E6-C04AE2832B6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E628-48E1-83E6-C04AE2832B64}"/>
              </c:ext>
            </c:extLst>
          </c:dPt>
          <c:dLbls>
            <c:dLbl>
              <c:idx val="0"/>
              <c:layout>
                <c:manualLayout>
                  <c:x val="-3.3970212515687607E-3"/>
                  <c:y val="0.16009170594670519"/>
                </c:manualLayout>
              </c:layout>
              <c:tx>
                <c:rich>
                  <a:bodyPr rot="0" spcFirstLastPara="1" vertOverflow="ellipsis" vert="horz" wrap="square" lIns="38100" tIns="19050" rIns="38100" bIns="19050" anchor="ctr" anchorCtr="1">
                    <a:noAutofit/>
                  </a:bodyPr>
                  <a:lstStyle/>
                  <a:p>
                    <a:pPr>
                      <a:defRPr sz="1100" b="1" i="0" u="none" strike="noStrike" kern="1200" baseline="0">
                        <a:solidFill>
                          <a:schemeClr val="tx1"/>
                        </a:solidFill>
                        <a:latin typeface="+mn-lt"/>
                        <a:ea typeface="+mn-ea"/>
                        <a:cs typeface="Calibri" panose="020F0502020204030204" pitchFamily="34" charset="0"/>
                      </a:defRPr>
                    </a:pPr>
                    <a:fld id="{60EC07AE-CCB1-450C-84EF-381BDBA41743}" type="CATEGORYNAME">
                      <a:rPr lang="en-US" sz="1100">
                        <a:solidFill>
                          <a:schemeClr val="tx1"/>
                        </a:solidFill>
                        <a:latin typeface="+mn-lt"/>
                      </a:rPr>
                      <a:pPr>
                        <a:defRPr sz="1100" b="1">
                          <a:solidFill>
                            <a:schemeClr val="tx1"/>
                          </a:solidFill>
                          <a:cs typeface="Calibri" panose="020F0502020204030204" pitchFamily="34" charset="0"/>
                        </a:defRPr>
                      </a:pPr>
                      <a:t>[CATEGORY NAME]</a:t>
                    </a:fld>
                    <a:r>
                      <a:rPr lang="en-US" sz="1100" baseline="0">
                        <a:solidFill>
                          <a:schemeClr val="tx1"/>
                        </a:solidFill>
                        <a:latin typeface="+mn-lt"/>
                      </a:rPr>
                      <a:t>
</a:t>
                    </a:r>
                    <a:fld id="{9FCC1CCD-F5BD-4D65-A1F5-94E5EC6F2E2A}" type="PERCENTAGE">
                      <a:rPr lang="en-US" sz="1100" baseline="0">
                        <a:solidFill>
                          <a:schemeClr val="tx1"/>
                        </a:solidFill>
                        <a:latin typeface="+mn-lt"/>
                      </a:rPr>
                      <a:pPr>
                        <a:defRPr sz="1100" b="1">
                          <a:solidFill>
                            <a:schemeClr val="tx1"/>
                          </a:solidFill>
                          <a:cs typeface="Calibri" panose="020F0502020204030204" pitchFamily="34" charset="0"/>
                        </a:defRPr>
                      </a:pPr>
                      <a:t>[PERCENTAGE]</a:t>
                    </a:fld>
                    <a:endParaRPr lang="en-US" sz="1100" baseline="0">
                      <a:solidFill>
                        <a:schemeClr val="tx1"/>
                      </a:solidFill>
                      <a:latin typeface="+mn-lt"/>
                    </a:endParaRPr>
                  </a:p>
                </c:rich>
              </c:tx>
              <c:spPr>
                <a:noFill/>
                <a:ln>
                  <a:noFill/>
                </a:ln>
                <a:effectLst/>
              </c:spPr>
              <c:txPr>
                <a:bodyPr rot="0" spcFirstLastPara="1" vertOverflow="ellipsis" vert="horz" wrap="square" lIns="38100" tIns="19050" rIns="38100" bIns="19050" anchor="ctr" anchorCtr="1">
                  <a:noAutofit/>
                </a:bodyPr>
                <a:lstStyle/>
                <a:p>
                  <a:pPr>
                    <a:defRPr sz="1100" b="1" i="0" u="none" strike="noStrike" kern="1200" baseline="0">
                      <a:solidFill>
                        <a:schemeClr val="tx1"/>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layout>
                    <c:manualLayout>
                      <c:w val="0.26419152030606885"/>
                      <c:h val="0.22149439724837136"/>
                    </c:manualLayout>
                  </c15:layout>
                  <c15:dlblFieldTable/>
                  <c15:showDataLabelsRange val="0"/>
                </c:ext>
                <c:ext xmlns:c16="http://schemas.microsoft.com/office/drawing/2014/chart" uri="{C3380CC4-5D6E-409C-BE32-E72D297353CC}">
                  <c16:uniqueId val="{00000001-E628-48E1-83E6-C04AE2832B64}"/>
                </c:ext>
              </c:extLst>
            </c:dLbl>
            <c:dLbl>
              <c:idx val="1"/>
              <c:tx>
                <c:rich>
                  <a:bodyPr rot="0" spcFirstLastPara="1" vertOverflow="ellipsis" vert="horz" wrap="square" lIns="38100" tIns="19050" rIns="38100" bIns="19050" anchor="ctr" anchorCtr="1">
                    <a:noAutofit/>
                  </a:bodyPr>
                  <a:lstStyle/>
                  <a:p>
                    <a:pPr>
                      <a:defRPr sz="1100" b="1" i="0" u="none" strike="noStrike" kern="1200" baseline="0">
                        <a:solidFill>
                          <a:sysClr val="windowText" lastClr="000000"/>
                        </a:solidFill>
                        <a:latin typeface="+mn-lt"/>
                        <a:ea typeface="+mn-ea"/>
                        <a:cs typeface="Calibri" panose="020F0502020204030204" pitchFamily="34" charset="0"/>
                      </a:defRPr>
                    </a:pPr>
                    <a:fld id="{9C704956-3D66-479E-A771-CB88A5C2A4C6}" type="CATEGORYNAME">
                      <a:rPr lang="en-US" sz="1100">
                        <a:solidFill>
                          <a:sysClr val="windowText" lastClr="000000"/>
                        </a:solidFill>
                        <a:latin typeface="+mn-lt"/>
                      </a:rPr>
                      <a:pPr>
                        <a:defRPr sz="1100" b="1">
                          <a:solidFill>
                            <a:sysClr val="windowText" lastClr="000000"/>
                          </a:solidFill>
                          <a:cs typeface="Calibri" panose="020F0502020204030204" pitchFamily="34" charset="0"/>
                        </a:defRPr>
                      </a:pPr>
                      <a:t>[CATEGORY NAME]</a:t>
                    </a:fld>
                    <a:r>
                      <a:rPr lang="en-US" sz="1100" baseline="0">
                        <a:solidFill>
                          <a:sysClr val="windowText" lastClr="000000"/>
                        </a:solidFill>
                        <a:latin typeface="+mn-lt"/>
                      </a:rPr>
                      <a:t>
</a:t>
                    </a:r>
                    <a:fld id="{7B132DC3-E187-49A1-A4FD-E27180FB3CB4}" type="PERCENTAGE">
                      <a:rPr lang="en-US" sz="1100" baseline="0">
                        <a:solidFill>
                          <a:sysClr val="windowText" lastClr="000000"/>
                        </a:solidFill>
                        <a:latin typeface="+mn-lt"/>
                      </a:rPr>
                      <a:pPr>
                        <a:defRPr sz="1100" b="1">
                          <a:solidFill>
                            <a:sysClr val="windowText" lastClr="000000"/>
                          </a:solidFill>
                          <a:cs typeface="Calibri" panose="020F0502020204030204" pitchFamily="34" charset="0"/>
                        </a:defRPr>
                      </a:pPr>
                      <a:t>[PERCENTAGE]</a:t>
                    </a:fld>
                    <a:endParaRPr lang="en-US" sz="1100" baseline="0">
                      <a:solidFill>
                        <a:sysClr val="windowText" lastClr="000000"/>
                      </a:solidFill>
                      <a:latin typeface="+mn-lt"/>
                    </a:endParaRPr>
                  </a:p>
                </c:rich>
              </c:tx>
              <c:spPr>
                <a:noFill/>
                <a:ln>
                  <a:noFill/>
                </a:ln>
                <a:effectLst/>
              </c:spPr>
              <c:txPr>
                <a:bodyPr rot="0" spcFirstLastPara="1" vertOverflow="ellipsis" vert="horz" wrap="square" lIns="38100" tIns="19050" rIns="38100" bIns="19050" anchor="ctr" anchorCtr="1">
                  <a:noAutofit/>
                </a:bodyPr>
                <a:lstStyle/>
                <a:p>
                  <a:pPr>
                    <a:defRPr sz="1100" b="1" i="0" u="none" strike="noStrike" kern="1200" baseline="0">
                      <a:solidFill>
                        <a:sysClr val="windowText" lastClr="000000"/>
                      </a:solidFill>
                      <a:latin typeface="+mn-lt"/>
                      <a:ea typeface="+mn-ea"/>
                      <a:cs typeface="Calibri" panose="020F0502020204030204" pitchFamily="34" charset="0"/>
                    </a:defRPr>
                  </a:pPr>
                  <a:endParaRPr lang="en-US"/>
                </a:p>
              </c:txPr>
              <c:dLblPos val="ctr"/>
              <c:showLegendKey val="0"/>
              <c:showVal val="0"/>
              <c:showCatName val="1"/>
              <c:showSerName val="0"/>
              <c:showPercent val="1"/>
              <c:showBubbleSize val="0"/>
              <c:extLst>
                <c:ext xmlns:c15="http://schemas.microsoft.com/office/drawing/2012/chart" uri="{CE6537A1-D6FC-4f65-9D91-7224C49458BB}">
                  <c15:layout>
                    <c:manualLayout>
                      <c:w val="0.16622636374782815"/>
                      <c:h val="0.30794739851343628"/>
                    </c:manualLayout>
                  </c15:layout>
                  <c15:dlblFieldTable/>
                  <c15:showDataLabelsRange val="0"/>
                </c:ext>
                <c:ext xmlns:c16="http://schemas.microsoft.com/office/drawing/2014/chart" uri="{C3380CC4-5D6E-409C-BE32-E72D297353CC}">
                  <c16:uniqueId val="{00000003-E628-48E1-83E6-C04AE2832B64}"/>
                </c:ext>
              </c:extLst>
            </c:dLbl>
            <c:dLbl>
              <c:idx val="2"/>
              <c:tx>
                <c:rich>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mn-lt"/>
                        <a:ea typeface="+mn-ea"/>
                        <a:cs typeface="Calibri" panose="020F0502020204030204" pitchFamily="34" charset="0"/>
                      </a:defRPr>
                    </a:pPr>
                    <a:fld id="{DE812037-EBE3-4F2A-8ED1-1024D81F0AF4}" type="CATEGORYNAME">
                      <a:rPr lang="en-US" sz="1100">
                        <a:solidFill>
                          <a:schemeClr val="bg1"/>
                        </a:solidFill>
                        <a:latin typeface="+mn-lt"/>
                      </a:rPr>
                      <a:pPr>
                        <a:defRPr sz="1100" b="1">
                          <a:solidFill>
                            <a:schemeClr val="bg1"/>
                          </a:solidFill>
                          <a:cs typeface="Calibri" panose="020F0502020204030204" pitchFamily="34" charset="0"/>
                        </a:defRPr>
                      </a:pPr>
                      <a:t>[CATEGORY NAME]</a:t>
                    </a:fld>
                    <a:r>
                      <a:rPr lang="en-US" sz="1100" baseline="0">
                        <a:solidFill>
                          <a:schemeClr val="bg1"/>
                        </a:solidFill>
                        <a:latin typeface="+mn-lt"/>
                      </a:rPr>
                      <a:t>
</a:t>
                    </a:r>
                    <a:fld id="{B8553DCE-ABFA-48C4-83AC-E11F6F9F3A97}" type="PERCENTAGE">
                      <a:rPr lang="en-US" sz="1100" baseline="0">
                        <a:solidFill>
                          <a:schemeClr val="bg1"/>
                        </a:solidFill>
                        <a:latin typeface="+mn-lt"/>
                      </a:rPr>
                      <a:pPr>
                        <a:defRPr sz="1100" b="1">
                          <a:solidFill>
                            <a:schemeClr val="bg1"/>
                          </a:solidFill>
                          <a:cs typeface="Calibri" panose="020F0502020204030204" pitchFamily="34" charset="0"/>
                        </a:defRPr>
                      </a:pPr>
                      <a:t>[PERCENTAGE]</a:t>
                    </a:fld>
                    <a:endParaRPr lang="en-US" sz="1100" baseline="0">
                      <a:solidFill>
                        <a:schemeClr val="bg1"/>
                      </a:solidFill>
                      <a:latin typeface="+mn-lt"/>
                    </a:endParaRPr>
                  </a:p>
                </c:rich>
              </c:tx>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mn-lt"/>
                      <a:ea typeface="+mn-ea"/>
                      <a:cs typeface="Calibri" panose="020F0502020204030204" pitchFamily="34" charset="0"/>
                    </a:defRPr>
                  </a:pPr>
                  <a:endParaRPr lang="en-US"/>
                </a:p>
              </c:txPr>
              <c:dLblPos val="ctr"/>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E628-48E1-83E6-C04AE2832B64}"/>
                </c:ext>
              </c:extLst>
            </c:dLbl>
            <c:dLbl>
              <c:idx val="3"/>
              <c:layout>
                <c:manualLayout>
                  <c:x val="-1.2418994530355183E-2"/>
                  <c:y val="5.7175528873642079E-2"/>
                </c:manualLayout>
              </c:layout>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ysClr val="windowText" lastClr="000000"/>
                      </a:solidFill>
                      <a:latin typeface="+mn-lt"/>
                      <a:ea typeface="+mn-ea"/>
                      <a:cs typeface="Calibri" panose="020F0502020204030204" pitchFamily="34"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E628-48E1-83E6-C04AE2832B64}"/>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solidFill>
                    <a:latin typeface="+mn-lt"/>
                    <a:ea typeface="+mn-ea"/>
                    <a:cs typeface="Calibri" panose="020F0502020204030204" pitchFamily="34" charset="0"/>
                  </a:defRPr>
                </a:pPr>
                <a:endParaRPr lang="en-US"/>
              </a:p>
            </c:txPr>
            <c:dLblPos val="ctr"/>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Sheet1!$A$2:$A$5</c:f>
              <c:strCache>
                <c:ptCount val="4"/>
                <c:pt idx="0">
                  <c:v>Strongly Disagree</c:v>
                </c:pt>
                <c:pt idx="1">
                  <c:v>Disagree</c:v>
                </c:pt>
                <c:pt idx="2">
                  <c:v>Agree</c:v>
                </c:pt>
                <c:pt idx="3">
                  <c:v>Strongly Agree</c:v>
                </c:pt>
              </c:strCache>
            </c:strRef>
          </c:cat>
          <c:val>
            <c:numRef>
              <c:f>Sheet1!$B$2:$B$5</c:f>
              <c:numCache>
                <c:formatCode>0%</c:formatCode>
                <c:ptCount val="4"/>
                <c:pt idx="0">
                  <c:v>0.16</c:v>
                </c:pt>
                <c:pt idx="1">
                  <c:v>0.33</c:v>
                </c:pt>
                <c:pt idx="2">
                  <c:v>0.4</c:v>
                </c:pt>
                <c:pt idx="3">
                  <c:v>0.11</c:v>
                </c:pt>
              </c:numCache>
            </c:numRef>
          </c:val>
          <c:extLst>
            <c:ext xmlns:c16="http://schemas.microsoft.com/office/drawing/2014/chart" uri="{C3380CC4-5D6E-409C-BE32-E72D297353CC}">
              <c16:uniqueId val="{0000000A-E628-48E1-83E6-C04AE2832B64}"/>
            </c:ext>
          </c:extLst>
        </c:ser>
        <c:dLbls>
          <c:showLegendKey val="0"/>
          <c:showVal val="0"/>
          <c:showCatName val="1"/>
          <c:showSerName val="0"/>
          <c:showPercent val="1"/>
          <c:showBubbleSize val="0"/>
          <c:showLeaderLines val="1"/>
        </c:dLbls>
        <c:firstSliceAng val="271"/>
      </c:pieChart>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hart3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3.7464331381654219E-2"/>
          <c:y val="3.254160712343717E-2"/>
          <c:w val="0.96253566861834583"/>
          <c:h val="0.72547674332082368"/>
        </c:manualLayout>
      </c:layout>
      <c:barChart>
        <c:barDir val="col"/>
        <c:grouping val="clustered"/>
        <c:varyColors val="0"/>
        <c:ser>
          <c:idx val="2"/>
          <c:order val="0"/>
          <c:tx>
            <c:strRef>
              <c:f>Sheet1!$B$1</c:f>
              <c:strCache>
                <c:ptCount val="1"/>
                <c:pt idx="0">
                  <c:v>LEA/ESD, Regional, 
&amp; Cooperative Staff
(n = 62)</c:v>
                </c:pt>
              </c:strCache>
            </c:strRef>
          </c:tx>
          <c:spPr>
            <a:solidFill>
              <a:srgbClr val="1A1A1A"/>
            </a:solidFill>
            <a:ln>
              <a:solidFill>
                <a:schemeClr val="tx2">
                  <a:lumMod val="90000"/>
                  <a:lumOff val="10000"/>
                </a:schemeClr>
              </a:solidFill>
            </a:ln>
            <a:effectLst/>
          </c:spPr>
          <c:invertIfNegative val="0"/>
          <c:dPt>
            <c:idx val="0"/>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1-345F-46B7-80DB-C6368E8A7E64}"/>
              </c:ext>
            </c:extLst>
          </c:dPt>
          <c:dPt>
            <c:idx val="1"/>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3-345F-46B7-80DB-C6368E8A7E64}"/>
              </c:ext>
            </c:extLst>
          </c:dPt>
          <c:dPt>
            <c:idx val="2"/>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5-345F-46B7-80DB-C6368E8A7E64}"/>
              </c:ext>
            </c:extLst>
          </c:dPt>
          <c:dLbls>
            <c:dLbl>
              <c:idx val="0"/>
              <c:tx>
                <c:rich>
                  <a:bodyPr/>
                  <a:lstStyle/>
                  <a:p>
                    <a:fld id="{CFD23BEA-0B1F-44AA-B543-4D112F05C815}" type="VALUE">
                      <a:rPr lang="en-US"/>
                      <a:pPr/>
                      <a:t>[VALUE]</a:t>
                    </a:fld>
                    <a:endParaRPr lang="en-US"/>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345F-46B7-80DB-C6368E8A7E64}"/>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c:f>
              <c:numCache>
                <c:formatCode>General</c:formatCode>
                <c:ptCount val="1"/>
              </c:numCache>
            </c:numRef>
          </c:cat>
          <c:val>
            <c:numRef>
              <c:f>Sheet1!$B$2</c:f>
              <c:numCache>
                <c:formatCode>0.0</c:formatCode>
                <c:ptCount val="1"/>
                <c:pt idx="0">
                  <c:v>2.2999999999999998</c:v>
                </c:pt>
              </c:numCache>
            </c:numRef>
          </c:val>
          <c:extLst>
            <c:ext xmlns:c16="http://schemas.microsoft.com/office/drawing/2014/chart" uri="{C3380CC4-5D6E-409C-BE32-E72D297353CC}">
              <c16:uniqueId val="{00000006-345F-46B7-80DB-C6368E8A7E64}"/>
            </c:ext>
          </c:extLst>
        </c:ser>
        <c:ser>
          <c:idx val="0"/>
          <c:order val="1"/>
          <c:tx>
            <c:strRef>
              <c:f>Sheet1!$C$1</c:f>
              <c:strCache>
                <c:ptCount val="1"/>
                <c:pt idx="0">
                  <c:v>School 
Staff 
(n = 38)</c:v>
                </c:pt>
              </c:strCache>
            </c:strRef>
          </c:tx>
          <c:spPr>
            <a:solidFill>
              <a:srgbClr val="B05227"/>
            </a:solidFill>
            <a:ln w="9525">
              <a:solidFill>
                <a:sysClr val="window" lastClr="FFFFFF"/>
              </a:solidFill>
            </a:ln>
            <a:effectLst/>
          </c:spPr>
          <c:invertIfNegative val="0"/>
          <c:dPt>
            <c:idx val="0"/>
            <c:invertIfNegative val="0"/>
            <c:bubble3D val="0"/>
            <c:spPr>
              <a:solidFill>
                <a:srgbClr val="B05227"/>
              </a:solidFill>
              <a:ln w="9525">
                <a:solidFill>
                  <a:sysClr val="window" lastClr="FFFFFF"/>
                </a:solidFill>
              </a:ln>
              <a:effectLst/>
            </c:spPr>
            <c:extLst>
              <c:ext xmlns:c16="http://schemas.microsoft.com/office/drawing/2014/chart" uri="{C3380CC4-5D6E-409C-BE32-E72D297353CC}">
                <c16:uniqueId val="{00000008-345F-46B7-80DB-C6368E8A7E64}"/>
              </c:ext>
            </c:extLst>
          </c:dPt>
          <c:dLbls>
            <c:dLbl>
              <c:idx val="0"/>
              <c:tx>
                <c:rich>
                  <a:bodyPr/>
                  <a:lstStyle/>
                  <a:p>
                    <a:fld id="{2BBB892D-0651-4925-9568-2749FA6BCE38}" type="VALUE">
                      <a:rPr lang="en-US"/>
                      <a:pPr/>
                      <a:t>[VALUE]</a:t>
                    </a:fld>
                    <a:endParaRPr lang="en-US"/>
                  </a:p>
                  <a:p>
                    <a:r>
                      <a:rPr lang="en-US"/>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8-345F-46B7-80DB-C6368E8A7E64}"/>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c:f>
              <c:numCache>
                <c:formatCode>General</c:formatCode>
                <c:ptCount val="1"/>
              </c:numCache>
            </c:numRef>
          </c:cat>
          <c:val>
            <c:numRef>
              <c:f>Sheet1!$C$2</c:f>
              <c:numCache>
                <c:formatCode>0.0</c:formatCode>
                <c:ptCount val="1"/>
                <c:pt idx="0">
                  <c:v>2.1</c:v>
                </c:pt>
              </c:numCache>
            </c:numRef>
          </c:val>
          <c:extLst>
            <c:ext xmlns:c16="http://schemas.microsoft.com/office/drawing/2014/chart" uri="{C3380CC4-5D6E-409C-BE32-E72D297353CC}">
              <c16:uniqueId val="{00000009-345F-46B7-80DB-C6368E8A7E64}"/>
            </c:ext>
          </c:extLst>
        </c:ser>
        <c:ser>
          <c:idx val="3"/>
          <c:order val="2"/>
          <c:tx>
            <c:strRef>
              <c:f>Sheet1!$D$1</c:f>
              <c:strCache>
                <c:ptCount val="1"/>
                <c:pt idx="0">
                  <c:v>IMR/IRC 
Staff
(n = 15)</c:v>
                </c:pt>
              </c:strCache>
            </c:strRef>
          </c:tx>
          <c:spPr>
            <a:solidFill>
              <a:srgbClr val="1F5A92"/>
            </a:solidFill>
            <a:ln>
              <a:noFill/>
            </a:ln>
            <a:effectLst/>
          </c:spPr>
          <c:invertIfNegative val="0"/>
          <c:dLbls>
            <c:dLbl>
              <c:idx val="0"/>
              <c:tx>
                <c:rich>
                  <a:bodyPr/>
                  <a:lstStyle/>
                  <a:p>
                    <a:fld id="{A64C0563-0742-4573-A56A-3A927C1CAACA}" type="VALUE">
                      <a:rPr lang="en-US"/>
                      <a:pPr/>
                      <a:t>[VALUE]</a:t>
                    </a:fld>
                    <a:endParaRPr lang="en-US"/>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A-345F-46B7-80DB-C6368E8A7E64}"/>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c:f>
              <c:numCache>
                <c:formatCode>General</c:formatCode>
                <c:ptCount val="1"/>
              </c:numCache>
            </c:numRef>
          </c:cat>
          <c:val>
            <c:numRef>
              <c:f>Sheet1!$D$2</c:f>
              <c:numCache>
                <c:formatCode>0.0</c:formatCode>
                <c:ptCount val="1"/>
                <c:pt idx="0">
                  <c:v>2.8</c:v>
                </c:pt>
              </c:numCache>
            </c:numRef>
          </c:val>
          <c:extLst>
            <c:ext xmlns:c16="http://schemas.microsoft.com/office/drawing/2014/chart" uri="{C3380CC4-5D6E-409C-BE32-E72D297353CC}">
              <c16:uniqueId val="{0000000B-345F-46B7-80DB-C6368E8A7E64}"/>
            </c:ext>
          </c:extLst>
        </c:ser>
        <c:ser>
          <c:idx val="1"/>
          <c:order val="3"/>
          <c:tx>
            <c:strRef>
              <c:f>Sheet1!$E$1</c:f>
              <c:strCache>
                <c:ptCount val="1"/>
                <c:pt idx="0">
                  <c:v>SEA 
Staff
(n =14)</c:v>
                </c:pt>
              </c:strCache>
            </c:strRef>
          </c:tx>
          <c:spPr>
            <a:solidFill>
              <a:srgbClr val="6A1B9A"/>
            </a:solidFill>
            <a:ln>
              <a:noFill/>
            </a:ln>
            <a:effectLst/>
          </c:spPr>
          <c:invertIfNegative val="0"/>
          <c:dLbls>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c:f>
              <c:numCache>
                <c:formatCode>General</c:formatCode>
                <c:ptCount val="1"/>
              </c:numCache>
            </c:numRef>
          </c:cat>
          <c:val>
            <c:numRef>
              <c:f>Sheet1!$E$2</c:f>
              <c:numCache>
                <c:formatCode>0.0</c:formatCode>
                <c:ptCount val="1"/>
                <c:pt idx="0">
                  <c:v>2.9</c:v>
                </c:pt>
              </c:numCache>
            </c:numRef>
          </c:val>
          <c:extLst>
            <c:ext xmlns:c16="http://schemas.microsoft.com/office/drawing/2014/chart" uri="{C3380CC4-5D6E-409C-BE32-E72D297353CC}">
              <c16:uniqueId val="{0000000C-345F-46B7-80DB-C6368E8A7E64}"/>
            </c:ext>
          </c:extLst>
        </c:ser>
        <c:ser>
          <c:idx val="4"/>
          <c:order val="4"/>
          <c:tx>
            <c:strRef>
              <c:f>Sheet1!$F$1</c:f>
              <c:strCache>
                <c:ptCount val="1"/>
                <c:pt idx="0">
                  <c:v>AMPS, Publishers, 
&amp; Vendors
(n = 17)</c:v>
                </c:pt>
              </c:strCache>
            </c:strRef>
          </c:tx>
          <c:spPr>
            <a:solidFill>
              <a:srgbClr val="2E7D6B"/>
            </a:solidFill>
            <a:ln>
              <a:noFill/>
            </a:ln>
            <a:effectLst/>
          </c:spPr>
          <c:invertIfNegative val="0"/>
          <c:dPt>
            <c:idx val="0"/>
            <c:invertIfNegative val="0"/>
            <c:bubble3D val="0"/>
            <c:spPr>
              <a:solidFill>
                <a:srgbClr val="2E7D6B"/>
              </a:solidFill>
              <a:ln>
                <a:noFill/>
              </a:ln>
              <a:effectLst/>
            </c:spPr>
            <c:extLst>
              <c:ext xmlns:c16="http://schemas.microsoft.com/office/drawing/2014/chart" uri="{C3380CC4-5D6E-409C-BE32-E72D297353CC}">
                <c16:uniqueId val="{0000000E-345F-46B7-80DB-C6368E8A7E64}"/>
              </c:ext>
            </c:extLst>
          </c:dPt>
          <c:dLbls>
            <c:dLbl>
              <c:idx val="0"/>
              <c:tx>
                <c:rich>
                  <a:bodyPr/>
                  <a:lstStyle/>
                  <a:p>
                    <a:fld id="{6957718F-69C7-41AA-8B14-DECD812386FD}" type="VALUE">
                      <a:rPr lang="en-US"/>
                      <a:pPr/>
                      <a:t>[VALUE]</a:t>
                    </a:fld>
                    <a:endParaRPr lang="en-US"/>
                  </a:p>
                  <a:p>
                    <a:r>
                      <a:rPr lang="en-US"/>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E-345F-46B7-80DB-C6368E8A7E64}"/>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c:f>
              <c:numCache>
                <c:formatCode>General</c:formatCode>
                <c:ptCount val="1"/>
              </c:numCache>
            </c:numRef>
          </c:cat>
          <c:val>
            <c:numRef>
              <c:f>Sheet1!$F$2</c:f>
              <c:numCache>
                <c:formatCode>0.0</c:formatCode>
                <c:ptCount val="1"/>
                <c:pt idx="0">
                  <c:v>3.1</c:v>
                </c:pt>
              </c:numCache>
            </c:numRef>
          </c:val>
          <c:extLst>
            <c:ext xmlns:c16="http://schemas.microsoft.com/office/drawing/2014/chart" uri="{C3380CC4-5D6E-409C-BE32-E72D297353CC}">
              <c16:uniqueId val="{0000000F-345F-46B7-80DB-C6368E8A7E64}"/>
            </c:ext>
          </c:extLst>
        </c:ser>
        <c:dLbls>
          <c:showLegendKey val="0"/>
          <c:showVal val="0"/>
          <c:showCatName val="0"/>
          <c:showSerName val="0"/>
          <c:showPercent val="0"/>
          <c:showBubbleSize val="0"/>
        </c:dLbls>
        <c:gapWidth val="316"/>
        <c:overlap val="-100"/>
        <c:axId val="1677196128"/>
        <c:axId val="1677185088"/>
      </c:barChart>
      <c:catAx>
        <c:axId val="1677196128"/>
        <c:scaling>
          <c:orientation val="minMax"/>
        </c:scaling>
        <c:delete val="0"/>
        <c:axPos val="b"/>
        <c:numFmt formatCode="General" sourceLinked="1"/>
        <c:majorTickMark val="none"/>
        <c:minorTickMark val="none"/>
        <c:tickLblPos val="nextTo"/>
        <c:spPr>
          <a:noFill/>
          <a:ln w="9525" cap="flat" cmpd="sng" algn="ctr">
            <a:solidFill>
              <a:schemeClr val="bg2"/>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677185088"/>
        <c:crosses val="autoZero"/>
        <c:auto val="1"/>
        <c:lblAlgn val="ctr"/>
        <c:lblOffset val="100"/>
        <c:noMultiLvlLbl val="0"/>
      </c:catAx>
      <c:valAx>
        <c:axId val="1677185088"/>
        <c:scaling>
          <c:orientation val="minMax"/>
          <c:max val="4"/>
          <c:min val="1"/>
        </c:scaling>
        <c:delete val="0"/>
        <c:axPos val="l"/>
        <c:numFmt formatCode="#,##0" sourceLinked="0"/>
        <c:majorTickMark val="none"/>
        <c:minorTickMark val="none"/>
        <c:tickLblPos val="nextTo"/>
        <c:spPr>
          <a:noFill/>
          <a:ln>
            <a:solidFill>
              <a:schemeClr val="bg2"/>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677196128"/>
        <c:crosses val="autoZero"/>
        <c:crossBetween val="between"/>
        <c:majorUnit val="1"/>
      </c:valAx>
      <c:spPr>
        <a:noFill/>
        <a:ln w="25400">
          <a:noFill/>
        </a:ln>
        <a:effectLst/>
      </c:spPr>
    </c:plotArea>
    <c:legend>
      <c:legendPos val="b"/>
      <c:layout>
        <c:manualLayout>
          <c:xMode val="edge"/>
          <c:yMode val="edge"/>
          <c:x val="4.7290530991318393E-2"/>
          <c:y val="0.79857095630221797"/>
          <c:w val="0.95168651995423648"/>
          <c:h val="0.20142904369778206"/>
        </c:manualLayout>
      </c:layout>
      <c:overlay val="1"/>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1100"/>
      </a:pPr>
      <a:endParaRPr lang="en-US"/>
    </a:p>
  </c:txPr>
  <c:externalData r:id="rId4">
    <c:autoUpdate val="0"/>
  </c:externalData>
</c:chartSpace>
</file>

<file path=word/charts/chart3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6683417177019537"/>
          <c:y val="1.7044804975204782E-2"/>
          <c:w val="0.50682883846539006"/>
          <c:h val="0.98747087048402038"/>
        </c:manualLayout>
      </c:layout>
      <c:barChart>
        <c:barDir val="bar"/>
        <c:grouping val="clustered"/>
        <c:varyColors val="0"/>
        <c:ser>
          <c:idx val="0"/>
          <c:order val="0"/>
          <c:tx>
            <c:strRef>
              <c:f>Sheet1!$B$1</c:f>
              <c:strCache>
                <c:ptCount val="1"/>
                <c:pt idx="0">
                  <c:v>Series 1</c:v>
                </c:pt>
              </c:strCache>
            </c:strRef>
          </c:tx>
          <c:spPr>
            <a:solidFill>
              <a:srgbClr val="2263A0"/>
            </a:solidFill>
            <a:ln>
              <a:noFill/>
            </a:ln>
            <a:effectLst/>
          </c:spPr>
          <c:invertIfNegative val="0"/>
          <c:dPt>
            <c:idx val="10"/>
            <c:invertIfNegative val="0"/>
            <c:bubble3D val="0"/>
            <c:spPr>
              <a:solidFill>
                <a:srgbClr val="2263A0"/>
              </a:solidFill>
              <a:ln>
                <a:noFill/>
              </a:ln>
              <a:effectLst/>
            </c:spPr>
            <c:extLst>
              <c:ext xmlns:c16="http://schemas.microsoft.com/office/drawing/2014/chart" uri="{C3380CC4-5D6E-409C-BE32-E72D297353CC}">
                <c16:uniqueId val="{00000001-C1A1-42C9-B253-9015D5A0A883}"/>
              </c:ext>
            </c:extLst>
          </c:dPt>
          <c:dPt>
            <c:idx val="11"/>
            <c:invertIfNegative val="0"/>
            <c:bubble3D val="0"/>
            <c:spPr>
              <a:solidFill>
                <a:srgbClr val="2263A0"/>
              </a:solidFill>
              <a:ln>
                <a:noFill/>
              </a:ln>
              <a:effectLst/>
            </c:spPr>
            <c:extLst>
              <c:ext xmlns:c16="http://schemas.microsoft.com/office/drawing/2014/chart" uri="{C3380CC4-5D6E-409C-BE32-E72D297353CC}">
                <c16:uniqueId val="{00000003-C1A1-42C9-B253-9015D5A0A883}"/>
              </c:ext>
            </c:extLst>
          </c:dPt>
          <c:dLbls>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Other</c:v>
                </c:pt>
                <c:pt idx="1">
                  <c:v>Creating a designated position that focuses on outreach to states and local educational agencies to provide guidance and technical assistance</c:v>
                </c:pt>
                <c:pt idx="2">
                  <c:v>Trainings with multiple stakeholder groups (e.g., instructional resource centers) about how to include NIMAS requirement in procurement contracts</c:v>
                </c:pt>
                <c:pt idx="3">
                  <c:v>Trainings with General and Special Education Departments to improve data collections regarding procurement and production of accessible formats</c:v>
                </c:pt>
                <c:pt idx="4">
                  <c:v>Providing educational materials about the NIMAC and NIMAS requirement to include in onboarding materials for new SEA/LEA procurement staff</c:v>
                </c:pt>
                <c:pt idx="5">
                  <c:v>Trainings with General and Special Education Departments to improve collaboration</c:v>
                </c:pt>
                <c:pt idx="6">
                  <c:v>Trainings with SEA/LEA procurement staff to increase awareness of the importance of including the NIMAS requirement in procurement contracts</c:v>
                </c:pt>
                <c:pt idx="7">
                  <c:v>Trainings with SEA/LEA procurement staff to provide education about the types of educational materials that fall within the scope for NIMAS</c:v>
                </c:pt>
              </c:strCache>
            </c:strRef>
          </c:cat>
          <c:val>
            <c:numRef>
              <c:f>Sheet1!$B$2:$B$9</c:f>
              <c:numCache>
                <c:formatCode>0%</c:formatCode>
                <c:ptCount val="8"/>
                <c:pt idx="0">
                  <c:v>5.67E-2</c:v>
                </c:pt>
                <c:pt idx="1">
                  <c:v>0.47520000000000001</c:v>
                </c:pt>
                <c:pt idx="2">
                  <c:v>0.52480000000000004</c:v>
                </c:pt>
                <c:pt idx="3">
                  <c:v>0.53900000000000003</c:v>
                </c:pt>
                <c:pt idx="4">
                  <c:v>0.62409999999999999</c:v>
                </c:pt>
                <c:pt idx="5">
                  <c:v>0.68789999999999996</c:v>
                </c:pt>
                <c:pt idx="6">
                  <c:v>0.72</c:v>
                </c:pt>
                <c:pt idx="7">
                  <c:v>0.72</c:v>
                </c:pt>
              </c:numCache>
            </c:numRef>
          </c:val>
          <c:extLst>
            <c:ext xmlns:c16="http://schemas.microsoft.com/office/drawing/2014/chart" uri="{C3380CC4-5D6E-409C-BE32-E72D297353CC}">
              <c16:uniqueId val="{00000004-C1A1-42C9-B253-9015D5A0A883}"/>
            </c:ext>
          </c:extLst>
        </c:ser>
        <c:dLbls>
          <c:dLblPos val="outEnd"/>
          <c:showLegendKey val="0"/>
          <c:showVal val="1"/>
          <c:showCatName val="0"/>
          <c:showSerName val="0"/>
          <c:showPercent val="0"/>
          <c:showBubbleSize val="0"/>
        </c:dLbls>
        <c:gapWidth val="100"/>
        <c:axId val="1268204576"/>
        <c:axId val="1268204992"/>
      </c:barChart>
      <c:catAx>
        <c:axId val="126820457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268204992"/>
        <c:crosses val="autoZero"/>
        <c:auto val="1"/>
        <c:lblAlgn val="ctr"/>
        <c:lblOffset val="100"/>
        <c:noMultiLvlLbl val="0"/>
      </c:catAx>
      <c:valAx>
        <c:axId val="1268204992"/>
        <c:scaling>
          <c:orientation val="minMax"/>
        </c:scaling>
        <c:delete val="1"/>
        <c:axPos val="b"/>
        <c:numFmt formatCode="0%" sourceLinked="1"/>
        <c:majorTickMark val="none"/>
        <c:minorTickMark val="none"/>
        <c:tickLblPos val="nextTo"/>
        <c:crossAx val="1268204576"/>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3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3.6087901793998504E-2"/>
          <c:y val="2.7131154060287918E-2"/>
          <c:w val="0.90928917334953485"/>
          <c:h val="0.57057958252955943"/>
        </c:manualLayout>
      </c:layout>
      <c:barChart>
        <c:barDir val="col"/>
        <c:grouping val="clustered"/>
        <c:varyColors val="0"/>
        <c:ser>
          <c:idx val="2"/>
          <c:order val="0"/>
          <c:tx>
            <c:strRef>
              <c:f>Sheet1!$B$1</c:f>
              <c:strCache>
                <c:ptCount val="1"/>
                <c:pt idx="0">
                  <c:v>LEA/ESD, Regional, 
&amp; Cooperative Staff
(n = 68)</c:v>
                </c:pt>
              </c:strCache>
            </c:strRef>
          </c:tx>
          <c:spPr>
            <a:solidFill>
              <a:srgbClr val="1A1A1A"/>
            </a:solidFill>
            <a:ln>
              <a:solidFill>
                <a:schemeClr val="tx2">
                  <a:lumMod val="90000"/>
                  <a:lumOff val="10000"/>
                </a:schemeClr>
              </a:solidFill>
            </a:ln>
            <a:effectLst/>
          </c:spPr>
          <c:invertIfNegative val="0"/>
          <c:dPt>
            <c:idx val="0"/>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1-C124-41CB-A92B-84EAC58C86BC}"/>
              </c:ext>
            </c:extLst>
          </c:dPt>
          <c:dPt>
            <c:idx val="1"/>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3-C124-41CB-A92B-84EAC58C86BC}"/>
              </c:ext>
            </c:extLst>
          </c:dPt>
          <c:dPt>
            <c:idx val="2"/>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5-C124-41CB-A92B-84EAC58C86BC}"/>
              </c:ext>
            </c:extLst>
          </c:dPt>
          <c:dLbls>
            <c:dLbl>
              <c:idx val="0"/>
              <c:tx>
                <c:rich>
                  <a:bodyPr/>
                  <a:lstStyle/>
                  <a:p>
                    <a:fld id="{CFD23BEA-0B1F-44AA-B543-4D112F05C815}" type="VALUE">
                      <a:rPr lang="en-US"/>
                      <a:pPr/>
                      <a:t>[VALUE]</a:t>
                    </a:fld>
                    <a:endParaRPr lang="en-US"/>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C124-41CB-A92B-84EAC58C86BC}"/>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Trainings with SEA/LEA procurement staff to increase awareness of the importance of including the NIMAS requirement in procurement contracts</c:v>
                </c:pt>
                <c:pt idx="1">
                  <c:v>Trainings with SEA/LEA procurement staff to provide education about the types of educational materials that fall within scope for NIMAS</c:v>
                </c:pt>
              </c:strCache>
            </c:strRef>
          </c:cat>
          <c:val>
            <c:numRef>
              <c:f>Sheet1!$B$2:$B$3</c:f>
              <c:numCache>
                <c:formatCode>0%</c:formatCode>
                <c:ptCount val="2"/>
                <c:pt idx="0">
                  <c:v>0.71</c:v>
                </c:pt>
                <c:pt idx="1">
                  <c:v>0.74</c:v>
                </c:pt>
              </c:numCache>
            </c:numRef>
          </c:val>
          <c:extLst>
            <c:ext xmlns:c16="http://schemas.microsoft.com/office/drawing/2014/chart" uri="{C3380CC4-5D6E-409C-BE32-E72D297353CC}">
              <c16:uniqueId val="{00000006-C124-41CB-A92B-84EAC58C86BC}"/>
            </c:ext>
          </c:extLst>
        </c:ser>
        <c:ser>
          <c:idx val="0"/>
          <c:order val="1"/>
          <c:tx>
            <c:strRef>
              <c:f>Sheet1!$C$1</c:f>
              <c:strCache>
                <c:ptCount val="1"/>
                <c:pt idx="0">
                  <c:v>School 
Staff 
(n = 40)</c:v>
                </c:pt>
              </c:strCache>
            </c:strRef>
          </c:tx>
          <c:spPr>
            <a:solidFill>
              <a:srgbClr val="B05227"/>
            </a:solidFill>
            <a:ln w="9525">
              <a:solidFill>
                <a:sysClr val="window" lastClr="FFFFFF"/>
              </a:solidFill>
            </a:ln>
            <a:effectLst/>
          </c:spPr>
          <c:invertIfNegative val="0"/>
          <c:dPt>
            <c:idx val="0"/>
            <c:invertIfNegative val="0"/>
            <c:bubble3D val="0"/>
            <c:spPr>
              <a:solidFill>
                <a:srgbClr val="B05227"/>
              </a:solidFill>
              <a:ln w="9525">
                <a:solidFill>
                  <a:sysClr val="window" lastClr="FFFFFF"/>
                </a:solidFill>
              </a:ln>
              <a:effectLst/>
            </c:spPr>
            <c:extLst>
              <c:ext xmlns:c16="http://schemas.microsoft.com/office/drawing/2014/chart" uri="{C3380CC4-5D6E-409C-BE32-E72D297353CC}">
                <c16:uniqueId val="{00000008-C124-41CB-A92B-84EAC58C86BC}"/>
              </c:ext>
            </c:extLst>
          </c:dPt>
          <c:dLbls>
            <c:dLbl>
              <c:idx val="0"/>
              <c:tx>
                <c:rich>
                  <a:bodyPr/>
                  <a:lstStyle/>
                  <a:p>
                    <a:fld id="{2BBB892D-0651-4925-9568-2749FA6BCE38}" type="VALUE">
                      <a:rPr lang="en-US"/>
                      <a:pPr/>
                      <a:t>[VALUE]</a:t>
                    </a:fld>
                    <a:endParaRPr lang="en-US"/>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8-C124-41CB-A92B-84EAC58C86BC}"/>
                </c:ext>
              </c:extLst>
            </c:dLbl>
            <c:dLbl>
              <c:idx val="1"/>
              <c:tx>
                <c:rich>
                  <a:bodyPr/>
                  <a:lstStyle/>
                  <a:p>
                    <a:fld id="{1AF2F24D-F653-49ED-8D17-B758F1FFF3BF}" type="VALUE">
                      <a:rPr lang="en-US"/>
                      <a:pPr/>
                      <a:t>[VALUE]</a:t>
                    </a:fld>
                    <a:endParaRPr lang="en-US"/>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9-C124-41CB-A92B-84EAC58C86BC}"/>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Trainings with SEA/LEA procurement staff to increase awareness of the importance of including the NIMAS requirement in procurement contracts</c:v>
                </c:pt>
                <c:pt idx="1">
                  <c:v>Trainings with SEA/LEA procurement staff to provide education about the types of educational materials that fall within scope for NIMAS</c:v>
                </c:pt>
              </c:strCache>
            </c:strRef>
          </c:cat>
          <c:val>
            <c:numRef>
              <c:f>Sheet1!$C$2:$C$3</c:f>
              <c:numCache>
                <c:formatCode>0%</c:formatCode>
                <c:ptCount val="2"/>
                <c:pt idx="0">
                  <c:v>0.7</c:v>
                </c:pt>
                <c:pt idx="1">
                  <c:v>0.68</c:v>
                </c:pt>
              </c:numCache>
            </c:numRef>
          </c:val>
          <c:extLst>
            <c:ext xmlns:c16="http://schemas.microsoft.com/office/drawing/2014/chart" uri="{C3380CC4-5D6E-409C-BE32-E72D297353CC}">
              <c16:uniqueId val="{0000000A-C124-41CB-A92B-84EAC58C86BC}"/>
            </c:ext>
          </c:extLst>
        </c:ser>
        <c:ser>
          <c:idx val="3"/>
          <c:order val="2"/>
          <c:tx>
            <c:strRef>
              <c:f>Sheet1!$D$1</c:f>
              <c:strCache>
                <c:ptCount val="1"/>
                <c:pt idx="0">
                  <c:v>IMR/IRC 
Staff
(n = 11)</c:v>
                </c:pt>
              </c:strCache>
            </c:strRef>
          </c:tx>
          <c:spPr>
            <a:solidFill>
              <a:srgbClr val="2263A0"/>
            </a:solidFill>
            <a:ln>
              <a:noFill/>
            </a:ln>
            <a:effectLst/>
          </c:spPr>
          <c:invertIfNegative val="0"/>
          <c:dPt>
            <c:idx val="0"/>
            <c:invertIfNegative val="0"/>
            <c:bubble3D val="0"/>
            <c:spPr>
              <a:solidFill>
                <a:srgbClr val="1F5A92"/>
              </a:solidFill>
              <a:ln>
                <a:noFill/>
              </a:ln>
              <a:effectLst/>
            </c:spPr>
            <c:extLst>
              <c:ext xmlns:c16="http://schemas.microsoft.com/office/drawing/2014/chart" uri="{C3380CC4-5D6E-409C-BE32-E72D297353CC}">
                <c16:uniqueId val="{0000000B-C124-41CB-A92B-84EAC58C86BC}"/>
              </c:ext>
            </c:extLst>
          </c:dPt>
          <c:dLbls>
            <c:dLbl>
              <c:idx val="0"/>
              <c:tx>
                <c:rich>
                  <a:bodyPr/>
                  <a:lstStyle/>
                  <a:p>
                    <a:fld id="{A64C0563-0742-4573-A56A-3A927C1CAACA}" type="VALUE">
                      <a:rPr lang="en-US" sz="1100"/>
                      <a:pPr/>
                      <a:t>[VALUE]</a:t>
                    </a:fld>
                    <a:endParaRPr lang="en-US" sz="1100"/>
                  </a:p>
                  <a:p>
                    <a:r>
                      <a:rPr lang="en-US" sz="1100"/>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B-C124-41CB-A92B-84EAC58C86BC}"/>
                </c:ext>
              </c:extLst>
            </c:dLbl>
            <c:dLbl>
              <c:idx val="1"/>
              <c:tx>
                <c:rich>
                  <a:bodyPr/>
                  <a:lstStyle/>
                  <a:p>
                    <a:fld id="{B2C4A005-9C14-4FC2-996E-20F9599A4407}" type="VALUE">
                      <a:rPr lang="en-US"/>
                      <a:pPr/>
                      <a:t>[VALUE]</a:t>
                    </a:fld>
                    <a:endParaRPr lang="en-US"/>
                  </a:p>
                  <a:p>
                    <a:r>
                      <a:rPr lang="en-US"/>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C-C124-41CB-A92B-84EAC58C86BC}"/>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Trainings with SEA/LEA procurement staff to increase awareness of the importance of including the NIMAS requirement in procurement contracts</c:v>
                </c:pt>
                <c:pt idx="1">
                  <c:v>Trainings with SEA/LEA procurement staff to provide education about the types of educational materials that fall within scope for NIMAS</c:v>
                </c:pt>
              </c:strCache>
            </c:strRef>
          </c:cat>
          <c:val>
            <c:numRef>
              <c:f>Sheet1!$D$2:$D$3</c:f>
              <c:numCache>
                <c:formatCode>0%</c:formatCode>
                <c:ptCount val="2"/>
                <c:pt idx="0">
                  <c:v>1</c:v>
                </c:pt>
                <c:pt idx="1">
                  <c:v>1</c:v>
                </c:pt>
              </c:numCache>
            </c:numRef>
          </c:val>
          <c:extLst>
            <c:ext xmlns:c16="http://schemas.microsoft.com/office/drawing/2014/chart" uri="{C3380CC4-5D6E-409C-BE32-E72D297353CC}">
              <c16:uniqueId val="{0000000D-C124-41CB-A92B-84EAC58C86BC}"/>
            </c:ext>
          </c:extLst>
        </c:ser>
        <c:ser>
          <c:idx val="1"/>
          <c:order val="3"/>
          <c:tx>
            <c:strRef>
              <c:f>Sheet1!$E$1</c:f>
              <c:strCache>
                <c:ptCount val="1"/>
                <c:pt idx="0">
                  <c:v>SEA 
Staff
(n = 16)</c:v>
                </c:pt>
              </c:strCache>
            </c:strRef>
          </c:tx>
          <c:spPr>
            <a:solidFill>
              <a:srgbClr val="6A1B9A"/>
            </a:solidFill>
            <a:ln>
              <a:noFill/>
            </a:ln>
            <a:effectLst/>
          </c:spPr>
          <c:invertIfNegative val="0"/>
          <c:dLbls>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Trainings with SEA/LEA procurement staff to increase awareness of the importance of including the NIMAS requirement in procurement contracts</c:v>
                </c:pt>
                <c:pt idx="1">
                  <c:v>Trainings with SEA/LEA procurement staff to provide education about the types of educational materials that fall within scope for NIMAS</c:v>
                </c:pt>
              </c:strCache>
            </c:strRef>
          </c:cat>
          <c:val>
            <c:numRef>
              <c:f>Sheet1!$E$2:$E$3</c:f>
              <c:numCache>
                <c:formatCode>0%</c:formatCode>
                <c:ptCount val="2"/>
                <c:pt idx="0">
                  <c:v>0.63</c:v>
                </c:pt>
                <c:pt idx="1">
                  <c:v>0.63</c:v>
                </c:pt>
              </c:numCache>
            </c:numRef>
          </c:val>
          <c:extLst>
            <c:ext xmlns:c16="http://schemas.microsoft.com/office/drawing/2014/chart" uri="{C3380CC4-5D6E-409C-BE32-E72D297353CC}">
              <c16:uniqueId val="{0000000E-C124-41CB-A92B-84EAC58C86BC}"/>
            </c:ext>
          </c:extLst>
        </c:ser>
        <c:ser>
          <c:idx val="4"/>
          <c:order val="4"/>
          <c:tx>
            <c:strRef>
              <c:f>Sheet1!$F$1</c:f>
              <c:strCache>
                <c:ptCount val="1"/>
                <c:pt idx="0">
                  <c:v>AMPS, Publishers, 
&amp; Vendors
(n = 6)</c:v>
                </c:pt>
              </c:strCache>
            </c:strRef>
          </c:tx>
          <c:spPr>
            <a:solidFill>
              <a:srgbClr val="2E7D6B"/>
            </a:solidFill>
            <a:ln>
              <a:noFill/>
            </a:ln>
            <a:effectLst/>
          </c:spPr>
          <c:invertIfNegative val="0"/>
          <c:dPt>
            <c:idx val="0"/>
            <c:invertIfNegative val="0"/>
            <c:bubble3D val="0"/>
            <c:spPr>
              <a:solidFill>
                <a:srgbClr val="2E7D6B"/>
              </a:solidFill>
              <a:ln>
                <a:noFill/>
              </a:ln>
              <a:effectLst/>
            </c:spPr>
            <c:extLst>
              <c:ext xmlns:c16="http://schemas.microsoft.com/office/drawing/2014/chart" uri="{C3380CC4-5D6E-409C-BE32-E72D297353CC}">
                <c16:uniqueId val="{00000010-C124-41CB-A92B-84EAC58C86BC}"/>
              </c:ext>
            </c:extLst>
          </c:dPt>
          <c:dLbls>
            <c:dLbl>
              <c:idx val="1"/>
              <c:tx>
                <c:rich>
                  <a:bodyPr/>
                  <a:lstStyle/>
                  <a:p>
                    <a:fld id="{00D82933-6129-49E3-A0BD-E593135097A5}" type="VALUE">
                      <a:rPr lang="en-US"/>
                      <a:pPr/>
                      <a:t>[VALUE]</a:t>
                    </a:fld>
                    <a:endParaRPr lang="en-US"/>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1-C124-41CB-A92B-84EAC58C86BC}"/>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Trainings with SEA/LEA procurement staff to increase awareness of the importance of including the NIMAS requirement in procurement contracts</c:v>
                </c:pt>
                <c:pt idx="1">
                  <c:v>Trainings with SEA/LEA procurement staff to provide education about the types of educational materials that fall within scope for NIMAS</c:v>
                </c:pt>
              </c:strCache>
            </c:strRef>
          </c:cat>
          <c:val>
            <c:numRef>
              <c:f>Sheet1!$F$2:$F$3</c:f>
              <c:numCache>
                <c:formatCode>0%</c:formatCode>
                <c:ptCount val="2"/>
                <c:pt idx="0">
                  <c:v>0.83</c:v>
                </c:pt>
                <c:pt idx="1">
                  <c:v>0.67</c:v>
                </c:pt>
              </c:numCache>
            </c:numRef>
          </c:val>
          <c:extLst>
            <c:ext xmlns:c16="http://schemas.microsoft.com/office/drawing/2014/chart" uri="{C3380CC4-5D6E-409C-BE32-E72D297353CC}">
              <c16:uniqueId val="{00000012-C124-41CB-A92B-84EAC58C86BC}"/>
            </c:ext>
          </c:extLst>
        </c:ser>
        <c:dLbls>
          <c:showLegendKey val="0"/>
          <c:showVal val="0"/>
          <c:showCatName val="0"/>
          <c:showSerName val="0"/>
          <c:showPercent val="0"/>
          <c:showBubbleSize val="0"/>
        </c:dLbls>
        <c:gapWidth val="127"/>
        <c:overlap val="-23"/>
        <c:axId val="1677196128"/>
        <c:axId val="1677185088"/>
      </c:barChart>
      <c:catAx>
        <c:axId val="1677196128"/>
        <c:scaling>
          <c:orientation val="minMax"/>
        </c:scaling>
        <c:delete val="0"/>
        <c:axPos val="b"/>
        <c:numFmt formatCode="General" sourceLinked="1"/>
        <c:majorTickMark val="none"/>
        <c:minorTickMark val="none"/>
        <c:tickLblPos val="nextTo"/>
        <c:spPr>
          <a:noFill/>
          <a:ln w="9525" cap="flat" cmpd="sng" algn="ctr">
            <a:solidFill>
              <a:schemeClr val="bg2"/>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677185088"/>
        <c:crosses val="autoZero"/>
        <c:auto val="1"/>
        <c:lblAlgn val="ctr"/>
        <c:lblOffset val="100"/>
        <c:noMultiLvlLbl val="0"/>
      </c:catAx>
      <c:valAx>
        <c:axId val="1677185088"/>
        <c:scaling>
          <c:orientation val="minMax"/>
          <c:max val="1"/>
          <c:min val="0"/>
        </c:scaling>
        <c:delete val="0"/>
        <c:axPos val="l"/>
        <c:numFmt formatCode="0%" sourceLinked="0"/>
        <c:majorTickMark val="none"/>
        <c:minorTickMark val="none"/>
        <c:tickLblPos val="nextTo"/>
        <c:spPr>
          <a:noFill/>
          <a:ln>
            <a:solidFill>
              <a:schemeClr val="bg2"/>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677196128"/>
        <c:crosses val="autoZero"/>
        <c:crossBetween val="between"/>
        <c:majorUnit val="0.25"/>
      </c:valAx>
      <c:spPr>
        <a:noFill/>
        <a:ln w="25400">
          <a:noFill/>
        </a:ln>
        <a:effectLst/>
      </c:spPr>
    </c:plotArea>
    <c:legend>
      <c:legendPos val="b"/>
      <c:layout>
        <c:manualLayout>
          <c:xMode val="edge"/>
          <c:yMode val="edge"/>
          <c:x val="8.4800224925711501E-2"/>
          <c:y val="0.8203559050292607"/>
          <c:w val="0.91284387214783047"/>
          <c:h val="0.17925757212016952"/>
        </c:manualLayout>
      </c:layout>
      <c:overlay val="1"/>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1100"/>
      </a:pPr>
      <a:endParaRPr lang="en-US"/>
    </a:p>
  </c:txPr>
  <c:externalData r:id="rId4">
    <c:autoUpdate val="0"/>
  </c:externalData>
</c:chartSpace>
</file>

<file path=word/charts/chart3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3.6087901793998504E-2"/>
          <c:y val="2.7131154060287918E-2"/>
          <c:w val="0.96391209820600154"/>
          <c:h val="0.61754252225824702"/>
        </c:manualLayout>
      </c:layout>
      <c:barChart>
        <c:barDir val="col"/>
        <c:grouping val="clustered"/>
        <c:varyColors val="0"/>
        <c:ser>
          <c:idx val="2"/>
          <c:order val="0"/>
          <c:tx>
            <c:strRef>
              <c:f>Sheet1!$B$1</c:f>
              <c:strCache>
                <c:ptCount val="1"/>
                <c:pt idx="0">
                  <c:v>LEA/ESD, Regional, 
&amp; Cooperative Staff
(n = 68)</c:v>
                </c:pt>
              </c:strCache>
            </c:strRef>
          </c:tx>
          <c:spPr>
            <a:solidFill>
              <a:srgbClr val="1A1A1A"/>
            </a:solidFill>
            <a:ln>
              <a:solidFill>
                <a:schemeClr val="tx2">
                  <a:lumMod val="90000"/>
                  <a:lumOff val="10000"/>
                </a:schemeClr>
              </a:solidFill>
            </a:ln>
            <a:effectLst/>
          </c:spPr>
          <c:invertIfNegative val="0"/>
          <c:dPt>
            <c:idx val="0"/>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1-44A8-4612-BDD7-0DD9455D7575}"/>
              </c:ext>
            </c:extLst>
          </c:dPt>
          <c:dPt>
            <c:idx val="1"/>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3-44A8-4612-BDD7-0DD9455D7575}"/>
              </c:ext>
            </c:extLst>
          </c:dPt>
          <c:dPt>
            <c:idx val="2"/>
            <c:invertIfNegative val="0"/>
            <c:bubble3D val="0"/>
            <c:spPr>
              <a:solidFill>
                <a:srgbClr val="1A1A1A"/>
              </a:solidFill>
              <a:ln>
                <a:solidFill>
                  <a:schemeClr val="tx2">
                    <a:lumMod val="90000"/>
                    <a:lumOff val="10000"/>
                  </a:schemeClr>
                </a:solidFill>
              </a:ln>
              <a:effectLst/>
            </c:spPr>
            <c:extLst>
              <c:ext xmlns:c16="http://schemas.microsoft.com/office/drawing/2014/chart" uri="{C3380CC4-5D6E-409C-BE32-E72D297353CC}">
                <c16:uniqueId val="{00000005-44A8-4612-BDD7-0DD9455D7575}"/>
              </c:ext>
            </c:extLst>
          </c:dPt>
          <c:dLbls>
            <c:dLbl>
              <c:idx val="0"/>
              <c:tx>
                <c:rich>
                  <a:bodyPr/>
                  <a:lstStyle/>
                  <a:p>
                    <a:fld id="{CFD23BEA-0B1F-44AA-B543-4D112F05C815}" type="VALUE">
                      <a:rPr lang="en-US"/>
                      <a:pPr/>
                      <a:t>[VALUE]</a:t>
                    </a:fld>
                    <a:endParaRPr lang="en-US"/>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44A8-4612-BDD7-0DD9455D7575}"/>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Sheet1!$A$4</c:f>
              <c:strCache>
                <c:ptCount val="1"/>
                <c:pt idx="0">
                  <c:v>Trainings with General Education Departments and Special Education Departments to improve collaboration</c:v>
                </c:pt>
              </c:strCache>
            </c:strRef>
          </c:cat>
          <c:val>
            <c:numRef>
              <c:f>Sheet1!$B$4</c:f>
              <c:numCache>
                <c:formatCode>0%</c:formatCode>
                <c:ptCount val="1"/>
                <c:pt idx="0">
                  <c:v>0.66</c:v>
                </c:pt>
              </c:numCache>
            </c:numRef>
          </c:val>
          <c:extLst>
            <c:ext xmlns:c16="http://schemas.microsoft.com/office/drawing/2014/chart" uri="{C3380CC4-5D6E-409C-BE32-E72D297353CC}">
              <c16:uniqueId val="{00000006-44A8-4612-BDD7-0DD9455D7575}"/>
            </c:ext>
          </c:extLst>
        </c:ser>
        <c:ser>
          <c:idx val="0"/>
          <c:order val="1"/>
          <c:tx>
            <c:strRef>
              <c:f>Sheet1!$C$1</c:f>
              <c:strCache>
                <c:ptCount val="1"/>
                <c:pt idx="0">
                  <c:v>School 
Staff 
(n = 40)</c:v>
                </c:pt>
              </c:strCache>
            </c:strRef>
          </c:tx>
          <c:spPr>
            <a:solidFill>
              <a:srgbClr val="B05227"/>
            </a:solidFill>
            <a:ln w="9525">
              <a:solidFill>
                <a:sysClr val="window" lastClr="FFFFFF"/>
              </a:solidFill>
            </a:ln>
            <a:effectLst/>
          </c:spPr>
          <c:invertIfNegative val="0"/>
          <c:dPt>
            <c:idx val="0"/>
            <c:invertIfNegative val="0"/>
            <c:bubble3D val="0"/>
            <c:spPr>
              <a:solidFill>
                <a:srgbClr val="B05227"/>
              </a:solidFill>
              <a:ln w="9525">
                <a:solidFill>
                  <a:sysClr val="window" lastClr="FFFFFF"/>
                </a:solidFill>
              </a:ln>
              <a:effectLst/>
            </c:spPr>
            <c:extLst>
              <c:ext xmlns:c16="http://schemas.microsoft.com/office/drawing/2014/chart" uri="{C3380CC4-5D6E-409C-BE32-E72D297353CC}">
                <c16:uniqueId val="{00000008-44A8-4612-BDD7-0DD9455D7575}"/>
              </c:ext>
            </c:extLst>
          </c:dPt>
          <c:dLbls>
            <c:dLbl>
              <c:idx val="0"/>
              <c:tx>
                <c:rich>
                  <a:bodyPr/>
                  <a:lstStyle/>
                  <a:p>
                    <a:fld id="{2BBB892D-0651-4925-9568-2749FA6BCE38}" type="VALUE">
                      <a:rPr lang="en-US"/>
                      <a:pPr/>
                      <a:t>[VALUE]</a:t>
                    </a:fld>
                    <a:endParaRPr lang="en-US"/>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8-44A8-4612-BDD7-0DD9455D7575}"/>
                </c:ext>
              </c:extLst>
            </c:dLbl>
            <c:dLbl>
              <c:idx val="1"/>
              <c:tx>
                <c:rich>
                  <a:bodyPr/>
                  <a:lstStyle/>
                  <a:p>
                    <a:fld id="{1AF2F24D-F653-49ED-8D17-B758F1FFF3BF}" type="VALUE">
                      <a:rPr lang="en-US"/>
                      <a:pPr/>
                      <a:t>[VALUE]</a:t>
                    </a:fld>
                    <a:endParaRPr lang="en-US"/>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9-44A8-4612-BDD7-0DD9455D7575}"/>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Sheet1!$A$4</c:f>
              <c:strCache>
                <c:ptCount val="1"/>
                <c:pt idx="0">
                  <c:v>Trainings with General Education Departments and Special Education Departments to improve collaboration</c:v>
                </c:pt>
              </c:strCache>
            </c:strRef>
          </c:cat>
          <c:val>
            <c:numRef>
              <c:f>Sheet1!$C$4</c:f>
              <c:numCache>
                <c:formatCode>0%</c:formatCode>
                <c:ptCount val="1"/>
                <c:pt idx="0">
                  <c:v>0.7</c:v>
                </c:pt>
              </c:numCache>
            </c:numRef>
          </c:val>
          <c:extLst>
            <c:ext xmlns:c16="http://schemas.microsoft.com/office/drawing/2014/chart" uri="{C3380CC4-5D6E-409C-BE32-E72D297353CC}">
              <c16:uniqueId val="{0000000A-44A8-4612-BDD7-0DD9455D7575}"/>
            </c:ext>
          </c:extLst>
        </c:ser>
        <c:ser>
          <c:idx val="3"/>
          <c:order val="2"/>
          <c:tx>
            <c:strRef>
              <c:f>Sheet1!$D$1</c:f>
              <c:strCache>
                <c:ptCount val="1"/>
                <c:pt idx="0">
                  <c:v>IMR/IRC 
Staff
(n = 11)</c:v>
                </c:pt>
              </c:strCache>
            </c:strRef>
          </c:tx>
          <c:spPr>
            <a:solidFill>
              <a:srgbClr val="1F5A92"/>
            </a:solidFill>
            <a:ln>
              <a:noFill/>
            </a:ln>
            <a:effectLst/>
          </c:spPr>
          <c:invertIfNegative val="0"/>
          <c:dLbls>
            <c:dLbl>
              <c:idx val="0"/>
              <c:tx>
                <c:rich>
                  <a:bodyPr/>
                  <a:lstStyle/>
                  <a:p>
                    <a:fld id="{A64C0563-0742-4573-A56A-3A927C1CAACA}" type="VALUE">
                      <a:rPr lang="en-US"/>
                      <a:pPr/>
                      <a:t>[VALUE]</a:t>
                    </a:fld>
                    <a:endParaRPr lang="en-US"/>
                  </a:p>
                  <a:p>
                    <a:r>
                      <a:rPr lang="en-US"/>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B-44A8-4612-BDD7-0DD9455D7575}"/>
                </c:ext>
              </c:extLst>
            </c:dLbl>
            <c:dLbl>
              <c:idx val="1"/>
              <c:tx>
                <c:rich>
                  <a:bodyPr/>
                  <a:lstStyle/>
                  <a:p>
                    <a:fld id="{B2C4A005-9C14-4FC2-996E-20F9599A4407}" type="VALUE">
                      <a:rPr lang="en-US"/>
                      <a:pPr/>
                      <a:t>[VALUE]</a:t>
                    </a:fld>
                    <a:endParaRPr lang="en-US"/>
                  </a:p>
                  <a:p>
                    <a:r>
                      <a:rPr lang="en-US"/>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C-44A8-4612-BDD7-0DD9455D7575}"/>
                </c:ext>
              </c:extLst>
            </c:dLbl>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Sheet1!$A$4</c:f>
              <c:strCache>
                <c:ptCount val="1"/>
                <c:pt idx="0">
                  <c:v>Trainings with General Education Departments and Special Education Departments to improve collaboration</c:v>
                </c:pt>
              </c:strCache>
            </c:strRef>
          </c:cat>
          <c:val>
            <c:numRef>
              <c:f>Sheet1!$D$4</c:f>
              <c:numCache>
                <c:formatCode>0%</c:formatCode>
                <c:ptCount val="1"/>
                <c:pt idx="0">
                  <c:v>1</c:v>
                </c:pt>
              </c:numCache>
            </c:numRef>
          </c:val>
          <c:extLst>
            <c:ext xmlns:c16="http://schemas.microsoft.com/office/drawing/2014/chart" uri="{C3380CC4-5D6E-409C-BE32-E72D297353CC}">
              <c16:uniqueId val="{0000000D-44A8-4612-BDD7-0DD9455D7575}"/>
            </c:ext>
          </c:extLst>
        </c:ser>
        <c:ser>
          <c:idx val="1"/>
          <c:order val="3"/>
          <c:tx>
            <c:strRef>
              <c:f>Sheet1!$E$1</c:f>
              <c:strCache>
                <c:ptCount val="1"/>
                <c:pt idx="0">
                  <c:v>SEA 
Staff
(n = 16)</c:v>
                </c:pt>
              </c:strCache>
            </c:strRef>
          </c:tx>
          <c:spPr>
            <a:solidFill>
              <a:srgbClr val="6A1B9A"/>
            </a:solidFill>
            <a:ln>
              <a:noFill/>
            </a:ln>
            <a:effectLst/>
          </c:spPr>
          <c:invertIfNegative val="0"/>
          <c:dLbls>
            <c:spPr>
              <a:noFill/>
              <a:ln>
                <a:noFill/>
              </a:ln>
              <a:effectLst/>
            </c:spPr>
            <c:txPr>
              <a:bodyPr rot="0" spcFirstLastPara="1" vertOverflow="ellipsis" vert="horz" wrap="square" anchor="ctr" anchorCtr="1"/>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Sheet1!$A$4</c:f>
              <c:strCache>
                <c:ptCount val="1"/>
                <c:pt idx="0">
                  <c:v>Trainings with General Education Departments and Special Education Departments to improve collaboration</c:v>
                </c:pt>
              </c:strCache>
            </c:strRef>
          </c:cat>
          <c:val>
            <c:numRef>
              <c:f>Sheet1!$E$4</c:f>
              <c:numCache>
                <c:formatCode>0%</c:formatCode>
                <c:ptCount val="1"/>
                <c:pt idx="0">
                  <c:v>0.63</c:v>
                </c:pt>
              </c:numCache>
            </c:numRef>
          </c:val>
          <c:extLst>
            <c:ext xmlns:c16="http://schemas.microsoft.com/office/drawing/2014/chart" uri="{C3380CC4-5D6E-409C-BE32-E72D297353CC}">
              <c16:uniqueId val="{0000000E-44A8-4612-BDD7-0DD9455D7575}"/>
            </c:ext>
          </c:extLst>
        </c:ser>
        <c:ser>
          <c:idx val="4"/>
          <c:order val="4"/>
          <c:tx>
            <c:strRef>
              <c:f>Sheet1!$F$1</c:f>
              <c:strCache>
                <c:ptCount val="1"/>
                <c:pt idx="0">
                  <c:v>AMPS, Publishers, 
&amp; Vendors
(n = 6)</c:v>
                </c:pt>
              </c:strCache>
            </c:strRef>
          </c:tx>
          <c:spPr>
            <a:solidFill>
              <a:srgbClr val="2E7D6B"/>
            </a:solidFill>
            <a:ln>
              <a:noFill/>
            </a:ln>
            <a:effectLst/>
          </c:spPr>
          <c:invertIfNegative val="0"/>
          <c:dPt>
            <c:idx val="0"/>
            <c:invertIfNegative val="0"/>
            <c:bubble3D val="0"/>
            <c:spPr>
              <a:solidFill>
                <a:srgbClr val="2E7D6B"/>
              </a:solidFill>
              <a:ln>
                <a:noFill/>
              </a:ln>
              <a:effectLst/>
            </c:spPr>
            <c:extLst>
              <c:ext xmlns:c16="http://schemas.microsoft.com/office/drawing/2014/chart" uri="{C3380CC4-5D6E-409C-BE32-E72D297353CC}">
                <c16:uniqueId val="{00000010-44A8-4612-BDD7-0DD9455D7575}"/>
              </c:ext>
            </c:extLst>
          </c:dPt>
          <c:dLbls>
            <c:dLbl>
              <c:idx val="1"/>
              <c:tx>
                <c:rich>
                  <a:bodyPr/>
                  <a:lstStyle/>
                  <a:p>
                    <a:fld id="{00D82933-6129-49E3-A0BD-E593135097A5}" type="VALUE">
                      <a:rPr lang="en-US"/>
                      <a:pPr/>
                      <a:t>[VALUE]</a:t>
                    </a:fld>
                    <a:endParaRPr lang="en-US"/>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1-44A8-4612-BDD7-0DD9455D7575}"/>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Sheet1!$A$4</c:f>
              <c:strCache>
                <c:ptCount val="1"/>
                <c:pt idx="0">
                  <c:v>Trainings with General Education Departments and Special Education Departments to improve collaboration</c:v>
                </c:pt>
              </c:strCache>
            </c:strRef>
          </c:cat>
          <c:val>
            <c:numRef>
              <c:f>Sheet1!$F$4</c:f>
              <c:numCache>
                <c:formatCode>0%</c:formatCode>
                <c:ptCount val="1"/>
                <c:pt idx="0">
                  <c:v>0.5</c:v>
                </c:pt>
              </c:numCache>
            </c:numRef>
          </c:val>
          <c:extLst>
            <c:ext xmlns:c16="http://schemas.microsoft.com/office/drawing/2014/chart" uri="{C3380CC4-5D6E-409C-BE32-E72D297353CC}">
              <c16:uniqueId val="{00000012-44A8-4612-BDD7-0DD9455D7575}"/>
            </c:ext>
          </c:extLst>
        </c:ser>
        <c:dLbls>
          <c:showLegendKey val="0"/>
          <c:showVal val="0"/>
          <c:showCatName val="0"/>
          <c:showSerName val="0"/>
          <c:showPercent val="0"/>
          <c:showBubbleSize val="0"/>
        </c:dLbls>
        <c:gapWidth val="500"/>
        <c:overlap val="-64"/>
        <c:axId val="1677196128"/>
        <c:axId val="1677185088"/>
      </c:barChart>
      <c:catAx>
        <c:axId val="1677196128"/>
        <c:scaling>
          <c:orientation val="minMax"/>
        </c:scaling>
        <c:delete val="0"/>
        <c:axPos val="b"/>
        <c:numFmt formatCode="General" sourceLinked="1"/>
        <c:majorTickMark val="none"/>
        <c:minorTickMark val="none"/>
        <c:tickLblPos val="nextTo"/>
        <c:spPr>
          <a:noFill/>
          <a:ln w="9525" cap="flat" cmpd="sng" algn="ctr">
            <a:solidFill>
              <a:schemeClr val="bg2"/>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677185088"/>
        <c:crosses val="autoZero"/>
        <c:auto val="1"/>
        <c:lblAlgn val="ctr"/>
        <c:lblOffset val="100"/>
        <c:noMultiLvlLbl val="0"/>
      </c:catAx>
      <c:valAx>
        <c:axId val="1677185088"/>
        <c:scaling>
          <c:orientation val="minMax"/>
          <c:max val="1"/>
          <c:min val="0"/>
        </c:scaling>
        <c:delete val="0"/>
        <c:axPos val="l"/>
        <c:numFmt formatCode="0%" sourceLinked="0"/>
        <c:majorTickMark val="none"/>
        <c:minorTickMark val="none"/>
        <c:tickLblPos val="nextTo"/>
        <c:spPr>
          <a:noFill/>
          <a:ln>
            <a:solidFill>
              <a:schemeClr val="bg2"/>
            </a:solid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1677196128"/>
        <c:crosses val="autoZero"/>
        <c:crossBetween val="between"/>
        <c:majorUnit val="0.25"/>
      </c:valAx>
      <c:spPr>
        <a:noFill/>
        <a:ln w="25400">
          <a:noFill/>
        </a:ln>
        <a:effectLst/>
      </c:spPr>
    </c:plotArea>
    <c:legend>
      <c:legendPos val="b"/>
      <c:layout>
        <c:manualLayout>
          <c:xMode val="edge"/>
          <c:yMode val="edge"/>
          <c:x val="0.11352989443453837"/>
          <c:y val="0.82716567598167878"/>
          <c:w val="0.86505799488259638"/>
          <c:h val="0.17283432401832124"/>
        </c:manualLayout>
      </c:layout>
      <c:overlay val="1"/>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1100"/>
      </a:pPr>
      <a:endParaRPr lang="en-US"/>
    </a:p>
  </c:txPr>
  <c:externalData r:id="rId4">
    <c:autoUpdate val="0"/>
  </c:externalData>
</c:chartSpace>
</file>

<file path=word/charts/chart3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5.9824475065616799E-2"/>
          <c:y val="4.3650793650793697E-2"/>
          <c:w val="0.891431357538641"/>
          <c:h val="0.63080923295803004"/>
        </c:manualLayout>
      </c:layout>
      <c:barChart>
        <c:barDir val="bar"/>
        <c:grouping val="percentStacked"/>
        <c:varyColors val="0"/>
        <c:ser>
          <c:idx val="0"/>
          <c:order val="0"/>
          <c:tx>
            <c:strRef>
              <c:f>Sheet1!$B$1</c:f>
              <c:strCache>
                <c:ptCount val="1"/>
                <c:pt idx="0">
                  <c:v>Not Familiar</c:v>
                </c:pt>
              </c:strCache>
            </c:strRef>
          </c:tx>
          <c:spPr>
            <a:solidFill>
              <a:schemeClr val="bg2">
                <a:lumMod val="50000"/>
              </a:schemeClr>
            </a:solidFill>
            <a:ln>
              <a:noFill/>
            </a:ln>
            <a:effectLst/>
          </c:spPr>
          <c:invertIfNegative val="0"/>
          <c:dLbls>
            <c:dLbl>
              <c:idx val="0"/>
              <c:tx>
                <c:rich>
                  <a:bodyPr/>
                  <a:lstStyle/>
                  <a:p>
                    <a:r>
                      <a:rPr lang="en-US"/>
                      <a:t>42%</a:t>
                    </a:r>
                  </a:p>
                </c:rich>
              </c:tx>
              <c:dLblPos val="ctr"/>
              <c:showLegendKey val="0"/>
              <c:showVal val="1"/>
              <c:showCatName val="0"/>
              <c:showSerName val="0"/>
              <c:showPercent val="0"/>
              <c:showBubbleSize val="0"/>
              <c:extLst>
                <c:ext xmlns:c15="http://schemas.microsoft.com/office/drawing/2012/chart" uri="{CE6537A1-D6FC-4f65-9D91-7224C49458BB}">
                  <c15:layout>
                    <c:manualLayout>
                      <c:w val="9.9562049936065669E-2"/>
                      <c:h val="0.15752636625119848"/>
                    </c:manualLayout>
                  </c15:layout>
                  <c15:showDataLabelsRange val="0"/>
                </c:ext>
                <c:ext xmlns:c16="http://schemas.microsoft.com/office/drawing/2014/chart" uri="{C3380CC4-5D6E-409C-BE32-E72D297353CC}">
                  <c16:uniqueId val="{00000000-EA03-487B-8F00-29C261D79E76}"/>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mn-lt"/>
                    <a:ea typeface="+mn-ea"/>
                    <a:cs typeface="Times New Roman" panose="02020603050405020304" pitchFamily="18" charset="0"/>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val>
            <c:numRef>
              <c:f>Sheet1!$B$2</c:f>
              <c:numCache>
                <c:formatCode>0%</c:formatCode>
                <c:ptCount val="1"/>
                <c:pt idx="0">
                  <c:v>0.42</c:v>
                </c:pt>
              </c:numCache>
            </c:numRef>
          </c:val>
          <c:extLst>
            <c:ext xmlns:c16="http://schemas.microsoft.com/office/drawing/2014/chart" uri="{C3380CC4-5D6E-409C-BE32-E72D297353CC}">
              <c16:uniqueId val="{00000001-EA03-487B-8F00-29C261D79E76}"/>
            </c:ext>
          </c:extLst>
        </c:ser>
        <c:ser>
          <c:idx val="1"/>
          <c:order val="1"/>
          <c:tx>
            <c:strRef>
              <c:f>Sheet1!$C$1</c:f>
              <c:strCache>
                <c:ptCount val="1"/>
                <c:pt idx="0">
                  <c:v>Slightly Familiar</c:v>
                </c:pt>
              </c:strCache>
            </c:strRef>
          </c:tx>
          <c:spPr>
            <a:solidFill>
              <a:schemeClr val="bg2">
                <a:lumMod val="9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ysClr val="windowText" lastClr="000000"/>
                    </a:solidFill>
                    <a:latin typeface="+mn-lt"/>
                    <a:ea typeface="+mn-ea"/>
                    <a:cs typeface="Times New Roman" panose="02020603050405020304" pitchFamily="18" charset="0"/>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val>
            <c:numRef>
              <c:f>Sheet1!$C$2</c:f>
              <c:numCache>
                <c:formatCode>0%</c:formatCode>
                <c:ptCount val="1"/>
                <c:pt idx="0">
                  <c:v>0.23</c:v>
                </c:pt>
              </c:numCache>
            </c:numRef>
          </c:val>
          <c:extLst>
            <c:ext xmlns:c16="http://schemas.microsoft.com/office/drawing/2014/chart" uri="{C3380CC4-5D6E-409C-BE32-E72D297353CC}">
              <c16:uniqueId val="{00000002-EA03-487B-8F00-29C261D79E76}"/>
            </c:ext>
          </c:extLst>
        </c:ser>
        <c:ser>
          <c:idx val="2"/>
          <c:order val="2"/>
          <c:tx>
            <c:strRef>
              <c:f>Sheet1!$D$1</c:f>
              <c:strCache>
                <c:ptCount val="1"/>
                <c:pt idx="0">
                  <c:v>Moderately Familiar</c:v>
                </c:pt>
              </c:strCache>
            </c:strRef>
          </c:tx>
          <c:spPr>
            <a:solidFill>
              <a:schemeClr val="tx2">
                <a:lumMod val="25000"/>
                <a:lumOff val="75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ysClr val="windowText" lastClr="000000"/>
                    </a:solidFill>
                    <a:latin typeface="+mn-lt"/>
                    <a:ea typeface="+mn-ea"/>
                    <a:cs typeface="Times New Roman" panose="02020603050405020304" pitchFamily="18" charset="0"/>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val>
            <c:numRef>
              <c:f>Sheet1!$D$2</c:f>
              <c:numCache>
                <c:formatCode>0%</c:formatCode>
                <c:ptCount val="1"/>
                <c:pt idx="0">
                  <c:v>0.16</c:v>
                </c:pt>
              </c:numCache>
            </c:numRef>
          </c:val>
          <c:extLst>
            <c:ext xmlns:c16="http://schemas.microsoft.com/office/drawing/2014/chart" uri="{C3380CC4-5D6E-409C-BE32-E72D297353CC}">
              <c16:uniqueId val="{00000003-EA03-487B-8F00-29C261D79E76}"/>
            </c:ext>
          </c:extLst>
        </c:ser>
        <c:ser>
          <c:idx val="3"/>
          <c:order val="3"/>
          <c:tx>
            <c:strRef>
              <c:f>Sheet1!$E$1</c:f>
              <c:strCache>
                <c:ptCount val="1"/>
                <c:pt idx="0">
                  <c:v>Very Familiar</c:v>
                </c:pt>
              </c:strCache>
            </c:strRef>
          </c:tx>
          <c:spPr>
            <a:solidFill>
              <a:srgbClr val="203864"/>
            </a:solidFill>
            <a:ln>
              <a:noFill/>
            </a:ln>
            <a:effectLst/>
          </c:spPr>
          <c:invertIfNegative val="0"/>
          <c:dLbls>
            <c:dLbl>
              <c:idx val="0"/>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EA03-487B-8F00-29C261D79E76}"/>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mn-lt"/>
                    <a:ea typeface="+mn-ea"/>
                    <a:cs typeface="Times New Roman" panose="02020603050405020304" pitchFamily="18" charset="0"/>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val>
            <c:numRef>
              <c:f>Sheet1!$E$2</c:f>
              <c:numCache>
                <c:formatCode>0%</c:formatCode>
                <c:ptCount val="1"/>
                <c:pt idx="0">
                  <c:v>0.19</c:v>
                </c:pt>
              </c:numCache>
            </c:numRef>
          </c:val>
          <c:extLst>
            <c:ext xmlns:c16="http://schemas.microsoft.com/office/drawing/2014/chart" uri="{C3380CC4-5D6E-409C-BE32-E72D297353CC}">
              <c16:uniqueId val="{00000005-EA03-487B-8F00-29C261D79E76}"/>
            </c:ext>
          </c:extLst>
        </c:ser>
        <c:dLbls>
          <c:dLblPos val="inEnd"/>
          <c:showLegendKey val="0"/>
          <c:showVal val="1"/>
          <c:showCatName val="0"/>
          <c:showSerName val="0"/>
          <c:showPercent val="0"/>
          <c:showBubbleSize val="0"/>
        </c:dLbls>
        <c:gapWidth val="150"/>
        <c:overlap val="100"/>
        <c:axId val="-2078615864"/>
        <c:axId val="-2079077192"/>
      </c:barChart>
      <c:catAx>
        <c:axId val="-2078615864"/>
        <c:scaling>
          <c:orientation val="minMax"/>
        </c:scaling>
        <c:delete val="1"/>
        <c:axPos val="l"/>
        <c:numFmt formatCode="0.00%" sourceLinked="1"/>
        <c:majorTickMark val="none"/>
        <c:minorTickMark val="none"/>
        <c:tickLblPos val="nextTo"/>
        <c:crossAx val="-2079077192"/>
        <c:crosses val="autoZero"/>
        <c:auto val="1"/>
        <c:lblAlgn val="ctr"/>
        <c:lblOffset val="100"/>
        <c:noMultiLvlLbl val="0"/>
      </c:catAx>
      <c:valAx>
        <c:axId val="-2079077192"/>
        <c:scaling>
          <c:orientation val="minMax"/>
        </c:scaling>
        <c:delete val="1"/>
        <c:axPos val="b"/>
        <c:numFmt formatCode="0%" sourceLinked="1"/>
        <c:majorTickMark val="none"/>
        <c:minorTickMark val="none"/>
        <c:tickLblPos val="nextTo"/>
        <c:crossAx val="-2078615864"/>
        <c:crosses val="autoZero"/>
        <c:crossBetween val="between"/>
      </c:valAx>
      <c:spPr>
        <a:noFill/>
        <a:ln>
          <a:noFill/>
        </a:ln>
        <a:effectLst/>
      </c:spPr>
    </c:plotArea>
    <c:legend>
      <c:legendPos val="b"/>
      <c:layout>
        <c:manualLayout>
          <c:xMode val="edge"/>
          <c:yMode val="edge"/>
          <c:x val="3.6984655764183326E-2"/>
          <c:y val="0.61064841726998886"/>
          <c:w val="0.92353896049618001"/>
          <c:h val="0.20320357151617699"/>
        </c:manualLayout>
      </c:layout>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mn-lt"/>
              <a:ea typeface="+mn-ea"/>
              <a:cs typeface="Times New Roman" panose="02020603050405020304" pitchFamily="18" charset="0"/>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hart3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31246051061799091"/>
          <c:y val="1.4436258470372169E-2"/>
          <c:w val="0.36534335480792168"/>
          <c:h val="0.9696780730826875"/>
        </c:manualLayout>
      </c:layout>
      <c:pieChart>
        <c:varyColors val="1"/>
        <c:ser>
          <c:idx val="0"/>
          <c:order val="0"/>
          <c:tx>
            <c:strRef>
              <c:f>Sheet1!$B$1</c:f>
              <c:strCache>
                <c:ptCount val="1"/>
                <c:pt idx="0">
                  <c:v>Agreement</c:v>
                </c:pt>
              </c:strCache>
            </c:strRef>
          </c:tx>
          <c:spPr>
            <a:solidFill>
              <a:schemeClr val="tx2">
                <a:lumMod val="50000"/>
                <a:lumOff val="50000"/>
              </a:schemeClr>
            </a:solidFill>
          </c:spPr>
          <c:dPt>
            <c:idx val="0"/>
            <c:bubble3D val="0"/>
            <c:spPr>
              <a:solidFill>
                <a:srgbClr val="203864"/>
              </a:solidFill>
              <a:ln w="19050">
                <a:solidFill>
                  <a:schemeClr val="lt1"/>
                </a:solidFill>
              </a:ln>
              <a:effectLst/>
            </c:spPr>
            <c:extLst>
              <c:ext xmlns:c16="http://schemas.microsoft.com/office/drawing/2014/chart" uri="{C3380CC4-5D6E-409C-BE32-E72D297353CC}">
                <c16:uniqueId val="{00000001-3C54-446C-A0EC-2C35D5BCC62B}"/>
              </c:ext>
            </c:extLst>
          </c:dPt>
          <c:dPt>
            <c:idx val="1"/>
            <c:bubble3D val="0"/>
            <c:spPr>
              <a:solidFill>
                <a:schemeClr val="bg2">
                  <a:lumMod val="75000"/>
                </a:schemeClr>
              </a:solidFill>
              <a:ln w="19050">
                <a:solidFill>
                  <a:schemeClr val="lt1"/>
                </a:solidFill>
              </a:ln>
              <a:effectLst/>
            </c:spPr>
            <c:extLst>
              <c:ext xmlns:c16="http://schemas.microsoft.com/office/drawing/2014/chart" uri="{C3380CC4-5D6E-409C-BE32-E72D297353CC}">
                <c16:uniqueId val="{00000003-3C54-446C-A0EC-2C35D5BCC62B}"/>
              </c:ext>
            </c:extLst>
          </c:dPt>
          <c:dPt>
            <c:idx val="2"/>
            <c:bubble3D val="0"/>
            <c:spPr>
              <a:solidFill>
                <a:schemeClr val="tx2">
                  <a:lumMod val="50000"/>
                  <a:lumOff val="50000"/>
                </a:schemeClr>
              </a:solidFill>
              <a:ln w="19050">
                <a:solidFill>
                  <a:schemeClr val="lt1"/>
                </a:solidFill>
              </a:ln>
              <a:effectLst/>
            </c:spPr>
            <c:extLst>
              <c:ext xmlns:c16="http://schemas.microsoft.com/office/drawing/2014/chart" uri="{C3380CC4-5D6E-409C-BE32-E72D297353CC}">
                <c16:uniqueId val="{00000005-3C54-446C-A0EC-2C35D5BCC62B}"/>
              </c:ext>
            </c:extLst>
          </c:dPt>
          <c:dPt>
            <c:idx val="3"/>
            <c:bubble3D val="0"/>
            <c:spPr>
              <a:solidFill>
                <a:schemeClr val="tx2">
                  <a:lumMod val="50000"/>
                  <a:lumOff val="50000"/>
                </a:schemeClr>
              </a:solidFill>
              <a:ln w="19050">
                <a:solidFill>
                  <a:schemeClr val="lt1"/>
                </a:solidFill>
              </a:ln>
              <a:effectLst/>
            </c:spPr>
            <c:extLst>
              <c:ext xmlns:c16="http://schemas.microsoft.com/office/drawing/2014/chart" uri="{C3380CC4-5D6E-409C-BE32-E72D297353CC}">
                <c16:uniqueId val="{00000007-3C54-446C-A0EC-2C35D5BCC62B}"/>
              </c:ext>
            </c:extLst>
          </c:dPt>
          <c:dPt>
            <c:idx val="4"/>
            <c:bubble3D val="0"/>
            <c:spPr>
              <a:solidFill>
                <a:schemeClr val="tx2">
                  <a:lumMod val="50000"/>
                  <a:lumOff val="50000"/>
                </a:schemeClr>
              </a:solidFill>
              <a:ln w="19050">
                <a:solidFill>
                  <a:schemeClr val="lt1"/>
                </a:solidFill>
              </a:ln>
              <a:effectLst/>
            </c:spPr>
            <c:extLst>
              <c:ext xmlns:c16="http://schemas.microsoft.com/office/drawing/2014/chart" uri="{C3380CC4-5D6E-409C-BE32-E72D297353CC}">
                <c16:uniqueId val="{00000009-3C54-446C-A0EC-2C35D5BCC62B}"/>
              </c:ext>
            </c:extLst>
          </c:dPt>
          <c:dLbls>
            <c:dLbl>
              <c:idx val="0"/>
              <c:layout>
                <c:manualLayout>
                  <c:x val="-0.15342027844477915"/>
                  <c:y val="9.9716901666361477E-2"/>
                </c:manualLayout>
              </c:layout>
              <c:tx>
                <c:rich>
                  <a:bodyPr rot="0" spcFirstLastPara="1" vertOverflow="ellipsis" vert="horz" wrap="square" lIns="38100" tIns="19050" rIns="38100" bIns="19050" anchor="ctr" anchorCtr="1">
                    <a:noAutofit/>
                  </a:bodyPr>
                  <a:lstStyle/>
                  <a:p>
                    <a:pPr>
                      <a:defRPr sz="1100" b="1" i="0" u="none" strike="noStrike" kern="1200" baseline="0">
                        <a:solidFill>
                          <a:schemeClr val="bg1"/>
                        </a:solidFill>
                        <a:latin typeface="+mn-lt"/>
                        <a:ea typeface="+mn-ea"/>
                        <a:cs typeface="Times New Roman" panose="02020603050405020304" pitchFamily="18" charset="0"/>
                      </a:defRPr>
                    </a:pPr>
                    <a:fld id="{77855170-7C07-4CCF-BD09-5B07AE72D279}" type="CATEGORYNAME">
                      <a:rPr lang="en-US" sz="1100">
                        <a:solidFill>
                          <a:schemeClr val="bg1"/>
                        </a:solidFill>
                        <a:latin typeface="+mn-lt"/>
                        <a:cs typeface="Times New Roman" panose="02020603050405020304" pitchFamily="18" charset="0"/>
                      </a:rPr>
                      <a:pPr>
                        <a:defRPr sz="1100" b="1">
                          <a:solidFill>
                            <a:schemeClr val="bg1"/>
                          </a:solidFill>
                          <a:cs typeface="Times New Roman" panose="02020603050405020304" pitchFamily="18" charset="0"/>
                        </a:defRPr>
                      </a:pPr>
                      <a:t>[CATEGORY NAME]</a:t>
                    </a:fld>
                    <a:r>
                      <a:rPr lang="en-US" sz="1100" baseline="0">
                        <a:solidFill>
                          <a:schemeClr val="bg1"/>
                        </a:solidFill>
                        <a:latin typeface="+mn-lt"/>
                        <a:cs typeface="Times New Roman" panose="02020603050405020304" pitchFamily="18" charset="0"/>
                      </a:rPr>
                      <a:t>
</a:t>
                    </a:r>
                    <a:fld id="{B373E384-F6E6-4B7C-ACE4-434F97696972}" type="PERCENTAGE">
                      <a:rPr lang="en-US" sz="1100" baseline="0">
                        <a:solidFill>
                          <a:schemeClr val="bg1"/>
                        </a:solidFill>
                        <a:latin typeface="+mn-lt"/>
                        <a:cs typeface="Times New Roman" panose="02020603050405020304" pitchFamily="18" charset="0"/>
                      </a:rPr>
                      <a:pPr>
                        <a:defRPr sz="1100" b="1">
                          <a:solidFill>
                            <a:schemeClr val="bg1"/>
                          </a:solidFill>
                          <a:cs typeface="Times New Roman" panose="02020603050405020304" pitchFamily="18" charset="0"/>
                        </a:defRPr>
                      </a:pPr>
                      <a:t>[PERCENTAGE]</a:t>
                    </a:fld>
                    <a:endParaRPr lang="en-US" sz="1100" baseline="0">
                      <a:solidFill>
                        <a:schemeClr val="bg1"/>
                      </a:solidFill>
                      <a:latin typeface="+mn-lt"/>
                      <a:cs typeface="Times New Roman" panose="02020603050405020304" pitchFamily="18" charset="0"/>
                    </a:endParaRPr>
                  </a:p>
                </c:rich>
              </c:tx>
              <c:spPr>
                <a:noFill/>
                <a:ln>
                  <a:noFill/>
                </a:ln>
                <a:effectLst/>
              </c:spPr>
              <c:txPr>
                <a:bodyPr rot="0" spcFirstLastPara="1" vertOverflow="ellipsis" vert="horz" wrap="square" lIns="38100" tIns="19050" rIns="38100" bIns="19050" anchor="ctr" anchorCtr="1">
                  <a:noAutofit/>
                </a:bodyPr>
                <a:lstStyle/>
                <a:p>
                  <a:pPr>
                    <a:defRPr sz="1100" b="1" i="0" u="none" strike="noStrike" kern="1200" baseline="0">
                      <a:solidFill>
                        <a:schemeClr val="bg1"/>
                      </a:solidFill>
                      <a:latin typeface="+mn-lt"/>
                      <a:ea typeface="+mn-ea"/>
                      <a:cs typeface="Times New Roman" panose="02020603050405020304" pitchFamily="18"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layout>
                    <c:manualLayout>
                      <c:w val="0.23019197765573352"/>
                      <c:h val="0.341011536348654"/>
                    </c:manualLayout>
                  </c15:layout>
                  <c15:dlblFieldTable/>
                  <c15:showDataLabelsRange val="0"/>
                </c:ext>
                <c:ext xmlns:c16="http://schemas.microsoft.com/office/drawing/2014/chart" uri="{C3380CC4-5D6E-409C-BE32-E72D297353CC}">
                  <c16:uniqueId val="{00000001-3C54-446C-A0EC-2C35D5BCC62B}"/>
                </c:ext>
              </c:extLst>
            </c:dLbl>
            <c:dLbl>
              <c:idx val="1"/>
              <c:layout>
                <c:manualLayout>
                  <c:x val="0.18375656480299257"/>
                  <c:y val="-0.21286285358970916"/>
                </c:manualLayout>
              </c:layout>
              <c:spPr>
                <a:noFill/>
                <a:ln>
                  <a:noFill/>
                </a:ln>
                <a:effectLst/>
              </c:spPr>
              <c:txPr>
                <a:bodyPr rot="0" spcFirstLastPara="1" vertOverflow="ellipsis" vert="horz" wrap="square" lIns="38100" tIns="19050" rIns="38100" bIns="19050" anchor="ctr" anchorCtr="1">
                  <a:noAutofit/>
                </a:bodyPr>
                <a:lstStyle/>
                <a:p>
                  <a:pPr>
                    <a:defRPr sz="1100" b="1" i="0" u="none" strike="noStrike" kern="1200" baseline="0">
                      <a:solidFill>
                        <a:sysClr val="windowText" lastClr="000000"/>
                      </a:solidFill>
                      <a:latin typeface="+mn-lt"/>
                      <a:ea typeface="+mn-ea"/>
                      <a:cs typeface="Times New Roman" panose="02020603050405020304" pitchFamily="18" charset="0"/>
                    </a:defRPr>
                  </a:pPr>
                  <a:endParaRPr lang="en-US"/>
                </a:p>
              </c:txPr>
              <c:showLegendKey val="0"/>
              <c:showVal val="0"/>
              <c:showCatName val="1"/>
              <c:showSerName val="0"/>
              <c:showPercent val="1"/>
              <c:showBubbleSize val="0"/>
              <c:extLst>
                <c:ext xmlns:c15="http://schemas.microsoft.com/office/drawing/2012/chart" uri="{CE6537A1-D6FC-4f65-9D91-7224C49458BB}">
                  <c15:layout>
                    <c:manualLayout>
                      <c:w val="0.19604518174353597"/>
                      <c:h val="0.31163962644204363"/>
                    </c:manualLayout>
                  </c15:layout>
                </c:ext>
                <c:ext xmlns:c16="http://schemas.microsoft.com/office/drawing/2014/chart" uri="{C3380CC4-5D6E-409C-BE32-E72D297353CC}">
                  <c16:uniqueId val="{00000003-3C54-446C-A0EC-2C35D5BCC62B}"/>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Sheet1!$A$2:$A$3</c:f>
              <c:strCache>
                <c:ptCount val="2"/>
                <c:pt idx="0">
                  <c:v>Yes</c:v>
                </c:pt>
                <c:pt idx="1">
                  <c:v>No</c:v>
                </c:pt>
              </c:strCache>
            </c:strRef>
          </c:cat>
          <c:val>
            <c:numRef>
              <c:f>Sheet1!$B$2:$B$3</c:f>
              <c:numCache>
                <c:formatCode>0%</c:formatCode>
                <c:ptCount val="2"/>
                <c:pt idx="0">
                  <c:v>0.19</c:v>
                </c:pt>
                <c:pt idx="1">
                  <c:v>0.81</c:v>
                </c:pt>
              </c:numCache>
            </c:numRef>
          </c:val>
          <c:extLst>
            <c:ext xmlns:c16="http://schemas.microsoft.com/office/drawing/2014/chart" uri="{C3380CC4-5D6E-409C-BE32-E72D297353CC}">
              <c16:uniqueId val="{0000000A-3C54-446C-A0EC-2C35D5BCC62B}"/>
            </c:ext>
          </c:extLst>
        </c:ser>
        <c:dLbls>
          <c:showLegendKey val="0"/>
          <c:showVal val="0"/>
          <c:showCatName val="1"/>
          <c:showSerName val="0"/>
          <c:showPercent val="1"/>
          <c:showBubbleSize val="0"/>
          <c:showLeaderLines val="1"/>
        </c:dLbls>
        <c:firstSliceAng val="0"/>
      </c:pieChart>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hart4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5.9824475065616799E-2"/>
          <c:y val="4.3650793650793697E-2"/>
          <c:w val="0.891431357538641"/>
          <c:h val="0.63080923295803004"/>
        </c:manualLayout>
      </c:layout>
      <c:barChart>
        <c:barDir val="bar"/>
        <c:grouping val="percentStacked"/>
        <c:varyColors val="0"/>
        <c:ser>
          <c:idx val="0"/>
          <c:order val="0"/>
          <c:tx>
            <c:strRef>
              <c:f>Sheet1!$B$1</c:f>
              <c:strCache>
                <c:ptCount val="1"/>
                <c:pt idx="0">
                  <c:v>Never</c:v>
                </c:pt>
              </c:strCache>
            </c:strRef>
          </c:tx>
          <c:spPr>
            <a:solidFill>
              <a:schemeClr val="tx1"/>
            </a:solidFill>
            <a:ln>
              <a:noFill/>
            </a:ln>
            <a:effectLst/>
          </c:spPr>
          <c:invertIfNegative val="0"/>
          <c:dLbls>
            <c:dLbl>
              <c:idx val="0"/>
              <c:tx>
                <c:rich>
                  <a:bodyPr/>
                  <a:lstStyle/>
                  <a:p>
                    <a:r>
                      <a:rPr lang="en-US"/>
                      <a:t>18%</a:t>
                    </a:r>
                  </a:p>
                </c:rich>
              </c:tx>
              <c:dLblPos val="ctr"/>
              <c:showLegendKey val="0"/>
              <c:showVal val="1"/>
              <c:showCatName val="0"/>
              <c:showSerName val="0"/>
              <c:showPercent val="0"/>
              <c:showBubbleSize val="0"/>
              <c:extLst>
                <c:ext xmlns:c15="http://schemas.microsoft.com/office/drawing/2012/chart" uri="{CE6537A1-D6FC-4f65-9D91-7224C49458BB}">
                  <c15:layout>
                    <c:manualLayout>
                      <c:w val="9.9562049936065669E-2"/>
                      <c:h val="0.15752636625119848"/>
                    </c:manualLayout>
                  </c15:layout>
                  <c15:showDataLabelsRange val="0"/>
                </c:ext>
                <c:ext xmlns:c16="http://schemas.microsoft.com/office/drawing/2014/chart" uri="{C3380CC4-5D6E-409C-BE32-E72D297353CC}">
                  <c16:uniqueId val="{00000000-8B72-42B6-A19C-F2D2F3B5CE05}"/>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mn-lt"/>
                    <a:ea typeface="+mn-ea"/>
                    <a:cs typeface="Times New Roman" panose="02020603050405020304" pitchFamily="18" charset="0"/>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val>
            <c:numRef>
              <c:f>Sheet1!$B$2</c:f>
              <c:numCache>
                <c:formatCode>0%</c:formatCode>
                <c:ptCount val="1"/>
                <c:pt idx="0">
                  <c:v>0.18</c:v>
                </c:pt>
              </c:numCache>
            </c:numRef>
          </c:val>
          <c:extLst>
            <c:ext xmlns:c16="http://schemas.microsoft.com/office/drawing/2014/chart" uri="{C3380CC4-5D6E-409C-BE32-E72D297353CC}">
              <c16:uniqueId val="{00000001-8B72-42B6-A19C-F2D2F3B5CE05}"/>
            </c:ext>
          </c:extLst>
        </c:ser>
        <c:ser>
          <c:idx val="1"/>
          <c:order val="1"/>
          <c:tx>
            <c:strRef>
              <c:f>Sheet1!$C$1</c:f>
              <c:strCache>
                <c:ptCount val="1"/>
                <c:pt idx="0">
                  <c:v>Rarely</c:v>
                </c:pt>
              </c:strCache>
            </c:strRef>
          </c:tx>
          <c:spPr>
            <a:solidFill>
              <a:schemeClr val="bg2">
                <a:lumMod val="5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mn-lt"/>
                    <a:ea typeface="+mn-ea"/>
                    <a:cs typeface="Times New Roman" panose="02020603050405020304" pitchFamily="18" charset="0"/>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val>
            <c:numRef>
              <c:f>Sheet1!$C$2</c:f>
              <c:numCache>
                <c:formatCode>0%</c:formatCode>
                <c:ptCount val="1"/>
                <c:pt idx="0">
                  <c:v>0.12</c:v>
                </c:pt>
              </c:numCache>
            </c:numRef>
          </c:val>
          <c:extLst>
            <c:ext xmlns:c16="http://schemas.microsoft.com/office/drawing/2014/chart" uri="{C3380CC4-5D6E-409C-BE32-E72D297353CC}">
              <c16:uniqueId val="{00000002-8B72-42B6-A19C-F2D2F3B5CE05}"/>
            </c:ext>
          </c:extLst>
        </c:ser>
        <c:ser>
          <c:idx val="2"/>
          <c:order val="2"/>
          <c:tx>
            <c:strRef>
              <c:f>Sheet1!$D$1</c:f>
              <c:strCache>
                <c:ptCount val="1"/>
                <c:pt idx="0">
                  <c:v>Sometimes</c:v>
                </c:pt>
              </c:strCache>
            </c:strRef>
          </c:tx>
          <c:spPr>
            <a:solidFill>
              <a:schemeClr val="bg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solidFill>
                    <a:latin typeface="+mn-lt"/>
                    <a:ea typeface="+mn-ea"/>
                    <a:cs typeface="Times New Roman" panose="02020603050405020304" pitchFamily="18" charset="0"/>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val>
            <c:numRef>
              <c:f>Sheet1!$D$2</c:f>
              <c:numCache>
                <c:formatCode>0%</c:formatCode>
                <c:ptCount val="1"/>
                <c:pt idx="0">
                  <c:v>0.12</c:v>
                </c:pt>
              </c:numCache>
            </c:numRef>
          </c:val>
          <c:extLst>
            <c:ext xmlns:c16="http://schemas.microsoft.com/office/drawing/2014/chart" uri="{C3380CC4-5D6E-409C-BE32-E72D297353CC}">
              <c16:uniqueId val="{00000003-8B72-42B6-A19C-F2D2F3B5CE05}"/>
            </c:ext>
          </c:extLst>
        </c:ser>
        <c:ser>
          <c:idx val="3"/>
          <c:order val="3"/>
          <c:tx>
            <c:strRef>
              <c:f>Sheet1!$E$1</c:f>
              <c:strCache>
                <c:ptCount val="1"/>
                <c:pt idx="0">
                  <c:v>Often</c:v>
                </c:pt>
              </c:strCache>
            </c:strRef>
          </c:tx>
          <c:spPr>
            <a:solidFill>
              <a:schemeClr val="tx2">
                <a:lumMod val="25000"/>
                <a:lumOff val="75000"/>
              </a:schemeClr>
            </a:solidFill>
            <a:ln>
              <a:noFill/>
            </a:ln>
            <a:effectLst/>
          </c:spPr>
          <c:invertIfNegative val="0"/>
          <c:dLbls>
            <c:dLbl>
              <c:idx val="0"/>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8B72-42B6-A19C-F2D2F3B5CE05}"/>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solidFill>
                    <a:latin typeface="+mn-lt"/>
                    <a:ea typeface="+mn-ea"/>
                    <a:cs typeface="Times New Roman" panose="02020603050405020304" pitchFamily="18" charset="0"/>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val>
            <c:numRef>
              <c:f>Sheet1!$E$2</c:f>
              <c:numCache>
                <c:formatCode>0%</c:formatCode>
                <c:ptCount val="1"/>
                <c:pt idx="0">
                  <c:v>0.41</c:v>
                </c:pt>
              </c:numCache>
            </c:numRef>
          </c:val>
          <c:extLst>
            <c:ext xmlns:c16="http://schemas.microsoft.com/office/drawing/2014/chart" uri="{C3380CC4-5D6E-409C-BE32-E72D297353CC}">
              <c16:uniqueId val="{00000005-8B72-42B6-A19C-F2D2F3B5CE05}"/>
            </c:ext>
          </c:extLst>
        </c:ser>
        <c:ser>
          <c:idx val="4"/>
          <c:order val="4"/>
          <c:tx>
            <c:strRef>
              <c:f>Sheet1!$F$1</c:f>
              <c:strCache>
                <c:ptCount val="1"/>
                <c:pt idx="0">
                  <c:v>Always</c:v>
                </c:pt>
              </c:strCache>
            </c:strRef>
          </c:tx>
          <c:spPr>
            <a:solidFill>
              <a:srgbClr val="203864"/>
            </a:solidFill>
            <a:ln>
              <a:noFill/>
            </a:ln>
            <a:effectLst/>
          </c:spPr>
          <c:invertIfNegative val="0"/>
          <c:dLbls>
            <c:dLbl>
              <c:idx val="0"/>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8B72-42B6-A19C-F2D2F3B5CE05}"/>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mn-lt"/>
                    <a:ea typeface="Calibri" panose="020F0502020204030204" pitchFamily="34" charset="0"/>
                    <a:cs typeface="Times New Roman" panose="02020603050405020304" pitchFamily="18" charset="0"/>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val>
            <c:numRef>
              <c:f>Sheet1!$F$2</c:f>
              <c:numCache>
                <c:formatCode>0%</c:formatCode>
                <c:ptCount val="1"/>
                <c:pt idx="0">
                  <c:v>0.18</c:v>
                </c:pt>
              </c:numCache>
            </c:numRef>
          </c:val>
          <c:extLst>
            <c:ext xmlns:c16="http://schemas.microsoft.com/office/drawing/2014/chart" uri="{C3380CC4-5D6E-409C-BE32-E72D297353CC}">
              <c16:uniqueId val="{00000007-8B72-42B6-A19C-F2D2F3B5CE05}"/>
            </c:ext>
          </c:extLst>
        </c:ser>
        <c:dLbls>
          <c:dLblPos val="inEnd"/>
          <c:showLegendKey val="0"/>
          <c:showVal val="1"/>
          <c:showCatName val="0"/>
          <c:showSerName val="0"/>
          <c:showPercent val="0"/>
          <c:showBubbleSize val="0"/>
        </c:dLbls>
        <c:gapWidth val="150"/>
        <c:overlap val="100"/>
        <c:axId val="-2078615864"/>
        <c:axId val="-2079077192"/>
      </c:barChart>
      <c:catAx>
        <c:axId val="-2078615864"/>
        <c:scaling>
          <c:orientation val="minMax"/>
        </c:scaling>
        <c:delete val="1"/>
        <c:axPos val="l"/>
        <c:numFmt formatCode="0.00%" sourceLinked="1"/>
        <c:majorTickMark val="none"/>
        <c:minorTickMark val="none"/>
        <c:tickLblPos val="nextTo"/>
        <c:crossAx val="-2079077192"/>
        <c:crosses val="autoZero"/>
        <c:auto val="1"/>
        <c:lblAlgn val="ctr"/>
        <c:lblOffset val="100"/>
        <c:noMultiLvlLbl val="0"/>
      </c:catAx>
      <c:valAx>
        <c:axId val="-2079077192"/>
        <c:scaling>
          <c:orientation val="minMax"/>
        </c:scaling>
        <c:delete val="1"/>
        <c:axPos val="b"/>
        <c:numFmt formatCode="0%" sourceLinked="1"/>
        <c:majorTickMark val="none"/>
        <c:minorTickMark val="none"/>
        <c:tickLblPos val="nextTo"/>
        <c:crossAx val="-207861586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0"/>
        <a:lstStyle/>
        <a:p>
          <a:pPr>
            <a:defRPr sz="1200" b="0" i="0" u="none" strike="noStrike" kern="1200" baseline="0">
              <a:solidFill>
                <a:sysClr val="windowText" lastClr="000000"/>
              </a:solidFill>
              <a:latin typeface="+mn-lt"/>
              <a:ea typeface="+mn-ea"/>
              <a:cs typeface="Times New Roman" panose="02020603050405020304" pitchFamily="18" charset="0"/>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hart4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50884744845825569"/>
          <c:y val="0"/>
          <c:w val="0.4758853759692252"/>
          <c:h val="0.97638724911452179"/>
        </c:manualLayout>
      </c:layout>
      <c:barChart>
        <c:barDir val="bar"/>
        <c:grouping val="clustered"/>
        <c:varyColors val="0"/>
        <c:ser>
          <c:idx val="0"/>
          <c:order val="0"/>
          <c:tx>
            <c:strRef>
              <c:f>Sheet1!$B$1</c:f>
              <c:strCache>
                <c:ptCount val="1"/>
                <c:pt idx="0">
                  <c:v>Column 1</c:v>
                </c:pt>
              </c:strCache>
            </c:strRef>
          </c:tx>
          <c:spPr>
            <a:solidFill>
              <a:schemeClr val="accent1"/>
            </a:solidFill>
            <a:ln>
              <a:noFill/>
            </a:ln>
            <a:effectLst/>
          </c:spPr>
          <c:invertIfNegative val="0"/>
          <c:dPt>
            <c:idx val="0"/>
            <c:invertIfNegative val="0"/>
            <c:bubble3D val="0"/>
            <c:spPr>
              <a:solidFill>
                <a:schemeClr val="tx2">
                  <a:lumMod val="25000"/>
                  <a:lumOff val="75000"/>
                </a:schemeClr>
              </a:solidFill>
              <a:ln>
                <a:noFill/>
              </a:ln>
              <a:effectLst/>
            </c:spPr>
            <c:extLst>
              <c:ext xmlns:c16="http://schemas.microsoft.com/office/drawing/2014/chart" uri="{C3380CC4-5D6E-409C-BE32-E72D297353CC}">
                <c16:uniqueId val="{00000001-018B-4EB7-9C1F-505AB1F33716}"/>
              </c:ext>
            </c:extLst>
          </c:dPt>
          <c:dPt>
            <c:idx val="1"/>
            <c:invertIfNegative val="0"/>
            <c:bubble3D val="0"/>
            <c:spPr>
              <a:solidFill>
                <a:schemeClr val="tx2">
                  <a:lumMod val="25000"/>
                  <a:lumOff val="75000"/>
                </a:schemeClr>
              </a:solidFill>
              <a:ln>
                <a:noFill/>
              </a:ln>
              <a:effectLst/>
            </c:spPr>
            <c:extLst>
              <c:ext xmlns:c16="http://schemas.microsoft.com/office/drawing/2014/chart" uri="{C3380CC4-5D6E-409C-BE32-E72D297353CC}">
                <c16:uniqueId val="{00000003-018B-4EB7-9C1F-505AB1F33716}"/>
              </c:ext>
            </c:extLst>
          </c:dPt>
          <c:dPt>
            <c:idx val="2"/>
            <c:invertIfNegative val="0"/>
            <c:bubble3D val="0"/>
            <c:spPr>
              <a:solidFill>
                <a:schemeClr val="tx2">
                  <a:lumMod val="25000"/>
                  <a:lumOff val="75000"/>
                </a:schemeClr>
              </a:solidFill>
              <a:ln>
                <a:noFill/>
              </a:ln>
              <a:effectLst/>
            </c:spPr>
            <c:extLst>
              <c:ext xmlns:c16="http://schemas.microsoft.com/office/drawing/2014/chart" uri="{C3380CC4-5D6E-409C-BE32-E72D297353CC}">
                <c16:uniqueId val="{00000005-018B-4EB7-9C1F-505AB1F33716}"/>
              </c:ext>
            </c:extLst>
          </c:dPt>
          <c:dPt>
            <c:idx val="3"/>
            <c:invertIfNegative val="0"/>
            <c:bubble3D val="0"/>
            <c:spPr>
              <a:solidFill>
                <a:schemeClr val="tx2">
                  <a:lumMod val="50000"/>
                  <a:lumOff val="50000"/>
                </a:schemeClr>
              </a:solidFill>
              <a:ln>
                <a:noFill/>
              </a:ln>
              <a:effectLst/>
            </c:spPr>
            <c:extLst>
              <c:ext xmlns:c16="http://schemas.microsoft.com/office/drawing/2014/chart" uri="{C3380CC4-5D6E-409C-BE32-E72D297353CC}">
                <c16:uniqueId val="{00000007-018B-4EB7-9C1F-505AB1F33716}"/>
              </c:ext>
            </c:extLst>
          </c:dPt>
          <c:dPt>
            <c:idx val="4"/>
            <c:invertIfNegative val="0"/>
            <c:bubble3D val="0"/>
            <c:spPr>
              <a:solidFill>
                <a:srgbClr val="203864"/>
              </a:solidFill>
              <a:ln>
                <a:noFill/>
              </a:ln>
              <a:effectLst/>
            </c:spPr>
            <c:extLst>
              <c:ext xmlns:c16="http://schemas.microsoft.com/office/drawing/2014/chart" uri="{C3380CC4-5D6E-409C-BE32-E72D297353CC}">
                <c16:uniqueId val="{00000009-018B-4EB7-9C1F-505AB1F33716}"/>
              </c:ext>
            </c:extLst>
          </c:dPt>
          <c:dLbls>
            <c:dLbl>
              <c:idx val="3"/>
              <c:spPr>
                <a:noFill/>
                <a:ln>
                  <a:noFill/>
                </a:ln>
                <a:effectLst/>
              </c:spPr>
              <c:txPr>
                <a:bodyPr rot="0" spcFirstLastPara="1" vertOverflow="ellipsis" vert="horz" wrap="square" lIns="38100" tIns="19050" rIns="38100" bIns="19050" anchor="ctr" anchorCtr="1">
                  <a:spAutoFit/>
                </a:bodyPr>
                <a:lstStyle/>
                <a:p>
                  <a:pPr>
                    <a:defRPr sz="1200" b="1" i="0" u="none" strike="noStrike" baseline="0">
                      <a:solidFill>
                        <a:schemeClr val="bg1"/>
                      </a:solidFill>
                      <a:latin typeface="+mn-lt"/>
                      <a:ea typeface="+mn-ea"/>
                      <a:cs typeface="Times New Roman" panose="02020603050405020304" pitchFamily="18" charset="0"/>
                    </a:defRPr>
                  </a:pPr>
                  <a:endParaRPr lang="en-US"/>
                </a:p>
              </c:txPr>
              <c:dLblPos val="inEnd"/>
              <c:showLegendKey val="0"/>
              <c:showVal val="1"/>
              <c:showCatName val="0"/>
              <c:showSerName val="0"/>
              <c:showPercent val="0"/>
              <c:showBubbleSize val="0"/>
              <c:extLst>
                <c:ext xmlns:c16="http://schemas.microsoft.com/office/drawing/2014/chart" uri="{C3380CC4-5D6E-409C-BE32-E72D297353CC}">
                  <c16:uniqueId val="{00000007-018B-4EB7-9C1F-505AB1F33716}"/>
                </c:ext>
              </c:extLst>
            </c:dLbl>
            <c:dLbl>
              <c:idx val="4"/>
              <c:spPr>
                <a:noFill/>
                <a:ln>
                  <a:noFill/>
                </a:ln>
                <a:effectLst/>
              </c:spPr>
              <c:txPr>
                <a:bodyPr rot="0" spcFirstLastPara="1" vertOverflow="ellipsis" vert="horz" wrap="square" lIns="38100" tIns="19050" rIns="38100" bIns="19050" anchor="ctr" anchorCtr="1">
                  <a:spAutoFit/>
                </a:bodyPr>
                <a:lstStyle/>
                <a:p>
                  <a:pPr>
                    <a:defRPr sz="1200" b="1" i="0" u="none" strike="noStrike" baseline="0">
                      <a:solidFill>
                        <a:schemeClr val="bg1"/>
                      </a:solidFill>
                      <a:latin typeface="+mn-lt"/>
                      <a:ea typeface="+mn-ea"/>
                      <a:cs typeface="Times New Roman" panose="02020603050405020304" pitchFamily="18" charset="0"/>
                    </a:defRPr>
                  </a:pPr>
                  <a:endParaRPr lang="en-US"/>
                </a:p>
              </c:txPr>
              <c:dLblPos val="inEnd"/>
              <c:showLegendKey val="0"/>
              <c:showVal val="1"/>
              <c:showCatName val="0"/>
              <c:showSerName val="0"/>
              <c:showPercent val="0"/>
              <c:showBubbleSize val="0"/>
              <c:extLst>
                <c:ext xmlns:c16="http://schemas.microsoft.com/office/drawing/2014/chart" uri="{C3380CC4-5D6E-409C-BE32-E72D297353CC}">
                  <c16:uniqueId val="{00000009-018B-4EB7-9C1F-505AB1F33716}"/>
                </c:ext>
              </c:extLst>
            </c:dLbl>
            <c:spPr>
              <a:noFill/>
              <a:ln>
                <a:noFill/>
              </a:ln>
              <a:effectLst/>
            </c:spPr>
            <c:txPr>
              <a:bodyPr rot="0" spcFirstLastPara="1" vertOverflow="ellipsis" vert="horz" wrap="square" lIns="38100" tIns="19050" rIns="38100" bIns="19050" anchor="ctr" anchorCtr="1">
                <a:spAutoFit/>
              </a:bodyPr>
              <a:lstStyle/>
              <a:p>
                <a:pPr>
                  <a:defRPr sz="1200" b="1" i="0" u="none" strike="noStrike" baseline="0">
                    <a:solidFill>
                      <a:schemeClr val="tx1"/>
                    </a:solidFill>
                    <a:latin typeface="+mn-lt"/>
                    <a:ea typeface="+mn-ea"/>
                    <a:cs typeface="Times New Roman" panose="02020603050405020304" pitchFamily="18" charset="0"/>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NIMAS requirement is not consistently included in procurement contracts for educational materials</c:v>
                </c:pt>
                <c:pt idx="1">
                  <c:v>Materials are purchased at the school-level and do not include the NIMAS requirement in procurement contracts</c:v>
                </c:pt>
                <c:pt idx="2">
                  <c:v>Deadlines for NIMAS file production are not included in procurement contracts</c:v>
                </c:pt>
                <c:pt idx="3">
                  <c:v>The state or district staff who coordinate procurement contracts for educational materials are not aware that the NIMAS language should be included in procurement contracts</c:v>
                </c:pt>
                <c:pt idx="4">
                  <c:v>Timelines for instructional materials adoptions (not enough lead time to produce accessible formats)</c:v>
                </c:pt>
              </c:strCache>
            </c:strRef>
          </c:cat>
          <c:val>
            <c:numRef>
              <c:f>Sheet1!$B$2:$B$6</c:f>
              <c:numCache>
                <c:formatCode>0%</c:formatCode>
                <c:ptCount val="5"/>
                <c:pt idx="0">
                  <c:v>0.4</c:v>
                </c:pt>
                <c:pt idx="1">
                  <c:v>0.4</c:v>
                </c:pt>
                <c:pt idx="2">
                  <c:v>0.4</c:v>
                </c:pt>
                <c:pt idx="3">
                  <c:v>0.6</c:v>
                </c:pt>
                <c:pt idx="4">
                  <c:v>0.8</c:v>
                </c:pt>
              </c:numCache>
            </c:numRef>
          </c:val>
          <c:extLst>
            <c:ext xmlns:c16="http://schemas.microsoft.com/office/drawing/2014/chart" uri="{C3380CC4-5D6E-409C-BE32-E72D297353CC}">
              <c16:uniqueId val="{0000000A-018B-4EB7-9C1F-505AB1F33716}"/>
            </c:ext>
          </c:extLst>
        </c:ser>
        <c:dLbls>
          <c:showLegendKey val="0"/>
          <c:showVal val="1"/>
          <c:showCatName val="0"/>
          <c:showSerName val="0"/>
          <c:showPercent val="0"/>
          <c:showBubbleSize val="0"/>
        </c:dLbls>
        <c:gapWidth val="50"/>
        <c:axId val="1100232240"/>
        <c:axId val="1100226960"/>
      </c:barChart>
      <c:catAx>
        <c:axId val="110023224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baseline="0">
                <a:solidFill>
                  <a:schemeClr val="tx1"/>
                </a:solidFill>
                <a:latin typeface="+mn-lt"/>
                <a:ea typeface="+mn-ea"/>
                <a:cs typeface="Times New Roman" panose="02020603050405020304" pitchFamily="18" charset="0"/>
              </a:defRPr>
            </a:pPr>
            <a:endParaRPr lang="en-US"/>
          </a:p>
        </c:txPr>
        <c:crossAx val="1100226960"/>
        <c:crosses val="autoZero"/>
        <c:auto val="1"/>
        <c:lblAlgn val="ctr"/>
        <c:lblOffset val="100"/>
        <c:noMultiLvlLbl val="0"/>
      </c:catAx>
      <c:valAx>
        <c:axId val="1100226960"/>
        <c:scaling>
          <c:orientation val="minMax"/>
        </c:scaling>
        <c:delete val="1"/>
        <c:axPos val="b"/>
        <c:numFmt formatCode="0%" sourceLinked="1"/>
        <c:majorTickMark val="none"/>
        <c:minorTickMark val="none"/>
        <c:tickLblPos val="nextTo"/>
        <c:crossAx val="1100232240"/>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hart4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bar"/>
        <c:grouping val="clustered"/>
        <c:varyColors val="0"/>
        <c:ser>
          <c:idx val="0"/>
          <c:order val="0"/>
          <c:tx>
            <c:strRef>
              <c:f>Sheet1!$B$1</c:f>
              <c:strCache>
                <c:ptCount val="1"/>
                <c:pt idx="0">
                  <c:v>Column 1</c:v>
                </c:pt>
              </c:strCache>
            </c:strRef>
          </c:tx>
          <c:spPr>
            <a:solidFill>
              <a:schemeClr val="accent1"/>
            </a:solidFill>
            <a:ln>
              <a:noFill/>
            </a:ln>
            <a:effectLst/>
          </c:spPr>
          <c:invertIfNegative val="0"/>
          <c:dPt>
            <c:idx val="0"/>
            <c:invertIfNegative val="0"/>
            <c:bubble3D val="0"/>
            <c:spPr>
              <a:solidFill>
                <a:schemeClr val="tx2">
                  <a:lumMod val="25000"/>
                  <a:lumOff val="75000"/>
                </a:schemeClr>
              </a:solidFill>
              <a:ln>
                <a:noFill/>
              </a:ln>
              <a:effectLst/>
            </c:spPr>
            <c:extLst>
              <c:ext xmlns:c16="http://schemas.microsoft.com/office/drawing/2014/chart" uri="{C3380CC4-5D6E-409C-BE32-E72D297353CC}">
                <c16:uniqueId val="{00000001-BC6A-4DCC-AC9B-564C402E912F}"/>
              </c:ext>
            </c:extLst>
          </c:dPt>
          <c:dPt>
            <c:idx val="1"/>
            <c:invertIfNegative val="0"/>
            <c:bubble3D val="0"/>
            <c:spPr>
              <a:solidFill>
                <a:schemeClr val="tx2">
                  <a:lumMod val="25000"/>
                  <a:lumOff val="75000"/>
                </a:schemeClr>
              </a:solidFill>
              <a:ln>
                <a:noFill/>
              </a:ln>
              <a:effectLst/>
            </c:spPr>
            <c:extLst>
              <c:ext xmlns:c16="http://schemas.microsoft.com/office/drawing/2014/chart" uri="{C3380CC4-5D6E-409C-BE32-E72D297353CC}">
                <c16:uniqueId val="{00000003-BC6A-4DCC-AC9B-564C402E912F}"/>
              </c:ext>
            </c:extLst>
          </c:dPt>
          <c:dPt>
            <c:idx val="2"/>
            <c:invertIfNegative val="0"/>
            <c:bubble3D val="0"/>
            <c:spPr>
              <a:solidFill>
                <a:schemeClr val="tx2">
                  <a:lumMod val="50000"/>
                  <a:lumOff val="50000"/>
                </a:schemeClr>
              </a:solidFill>
              <a:ln>
                <a:noFill/>
              </a:ln>
              <a:effectLst/>
            </c:spPr>
            <c:extLst>
              <c:ext xmlns:c16="http://schemas.microsoft.com/office/drawing/2014/chart" uri="{C3380CC4-5D6E-409C-BE32-E72D297353CC}">
                <c16:uniqueId val="{00000005-BC6A-4DCC-AC9B-564C402E912F}"/>
              </c:ext>
            </c:extLst>
          </c:dPt>
          <c:dPt>
            <c:idx val="3"/>
            <c:invertIfNegative val="0"/>
            <c:bubble3D val="0"/>
            <c:spPr>
              <a:solidFill>
                <a:schemeClr val="tx2">
                  <a:lumMod val="50000"/>
                  <a:lumOff val="50000"/>
                </a:schemeClr>
              </a:solidFill>
              <a:ln>
                <a:noFill/>
              </a:ln>
              <a:effectLst/>
            </c:spPr>
            <c:extLst>
              <c:ext xmlns:c16="http://schemas.microsoft.com/office/drawing/2014/chart" uri="{C3380CC4-5D6E-409C-BE32-E72D297353CC}">
                <c16:uniqueId val="{00000007-BC6A-4DCC-AC9B-564C402E912F}"/>
              </c:ext>
            </c:extLst>
          </c:dPt>
          <c:dPt>
            <c:idx val="4"/>
            <c:invertIfNegative val="0"/>
            <c:bubble3D val="0"/>
            <c:spPr>
              <a:solidFill>
                <a:srgbClr val="203864"/>
              </a:solidFill>
              <a:ln>
                <a:noFill/>
              </a:ln>
              <a:effectLst/>
            </c:spPr>
            <c:extLst>
              <c:ext xmlns:c16="http://schemas.microsoft.com/office/drawing/2014/chart" uri="{C3380CC4-5D6E-409C-BE32-E72D297353CC}">
                <c16:uniqueId val="{00000009-BC6A-4DCC-AC9B-564C402E912F}"/>
              </c:ext>
            </c:extLst>
          </c:dPt>
          <c:dPt>
            <c:idx val="5"/>
            <c:invertIfNegative val="0"/>
            <c:bubble3D val="0"/>
            <c:spPr>
              <a:solidFill>
                <a:srgbClr val="203864"/>
              </a:solidFill>
              <a:ln>
                <a:noFill/>
              </a:ln>
              <a:effectLst/>
            </c:spPr>
            <c:extLst>
              <c:ext xmlns:c16="http://schemas.microsoft.com/office/drawing/2014/chart" uri="{C3380CC4-5D6E-409C-BE32-E72D297353CC}">
                <c16:uniqueId val="{0000000B-BC6A-4DCC-AC9B-564C402E912F}"/>
              </c:ext>
            </c:extLst>
          </c:dPt>
          <c:dLbls>
            <c:dLbl>
              <c:idx val="0"/>
              <c:tx>
                <c:rich>
                  <a:bodyPr/>
                  <a:lstStyle/>
                  <a:p>
                    <a:fld id="{6CADA78C-68AD-4ECE-B2E2-C3DBDDE42388}" type="VALUE">
                      <a:rPr lang="en-US"/>
                      <a:pPr/>
                      <a:t>[VALUE]</a:t>
                    </a:fld>
                    <a:r>
                      <a:rPr lang="en-US"/>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BC6A-4DCC-AC9B-564C402E912F}"/>
                </c:ext>
              </c:extLst>
            </c:dLbl>
            <c:dLbl>
              <c:idx val="1"/>
              <c:tx>
                <c:rich>
                  <a:bodyPr/>
                  <a:lstStyle/>
                  <a:p>
                    <a:fld id="{4161D14A-9BB7-4611-A010-0233D39EB5F0}" type="VALUE">
                      <a:rPr lang="en-US"/>
                      <a:pPr/>
                      <a:t>[VALUE]</a:t>
                    </a:fld>
                    <a:r>
                      <a:rPr lang="en-US"/>
                      <a:t>%</a:t>
                    </a:r>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BC6A-4DCC-AC9B-564C402E912F}"/>
                </c:ext>
              </c:extLst>
            </c:dLbl>
            <c:dLbl>
              <c:idx val="2"/>
              <c:tx>
                <c:rich>
                  <a:bodyPr rot="0" spcFirstLastPara="1" vertOverflow="ellipsis" vert="horz" wrap="square" lIns="38100" tIns="19050" rIns="38100" bIns="19050" anchor="ctr" anchorCtr="1">
                    <a:spAutoFit/>
                  </a:bodyPr>
                  <a:lstStyle/>
                  <a:p>
                    <a:pPr>
                      <a:defRPr sz="1200" b="1" i="0" u="none" strike="noStrike" baseline="0">
                        <a:solidFill>
                          <a:schemeClr val="bg1"/>
                        </a:solidFill>
                        <a:latin typeface="+mn-lt"/>
                        <a:ea typeface="+mn-ea"/>
                        <a:cs typeface="Times New Roman" panose="02020603050405020304" pitchFamily="18" charset="0"/>
                      </a:defRPr>
                    </a:pPr>
                    <a:fld id="{D4CEAA6B-5360-467D-9F96-DE47DE29DDF8}" type="VALUE">
                      <a:rPr lang="en-US">
                        <a:solidFill>
                          <a:schemeClr val="bg1"/>
                        </a:solidFill>
                        <a:latin typeface="+mn-lt"/>
                        <a:cs typeface="Times New Roman" panose="02020603050405020304" pitchFamily="18" charset="0"/>
                      </a:rPr>
                      <a:pPr>
                        <a:defRPr sz="1200" b="1">
                          <a:solidFill>
                            <a:schemeClr val="bg1"/>
                          </a:solidFill>
                          <a:cs typeface="Times New Roman" panose="02020603050405020304" pitchFamily="18" charset="0"/>
                        </a:defRPr>
                      </a:pPr>
                      <a:t>[VALUE]</a:t>
                    </a:fld>
                    <a:r>
                      <a:rPr lang="en-US">
                        <a:solidFill>
                          <a:schemeClr val="bg1"/>
                        </a:solidFill>
                        <a:latin typeface="+mn-lt"/>
                        <a:cs typeface="Times New Roman" panose="02020603050405020304" pitchFamily="18" charset="0"/>
                      </a:rPr>
                      <a:t>%</a:t>
                    </a:r>
                  </a:p>
                </c:rich>
              </c:tx>
              <c:spPr>
                <a:noFill/>
                <a:ln>
                  <a:noFill/>
                </a:ln>
                <a:effectLst/>
              </c:spPr>
              <c:txPr>
                <a:bodyPr rot="0" spcFirstLastPara="1" vertOverflow="ellipsis" vert="horz" wrap="square" lIns="38100" tIns="19050" rIns="38100" bIns="19050" anchor="ctr" anchorCtr="1">
                  <a:spAutoFit/>
                </a:bodyPr>
                <a:lstStyle/>
                <a:p>
                  <a:pPr>
                    <a:defRPr sz="1200" b="1" i="0" u="none" strike="noStrike" baseline="0">
                      <a:solidFill>
                        <a:schemeClr val="bg1"/>
                      </a:solidFill>
                      <a:latin typeface="+mn-lt"/>
                      <a:ea typeface="+mn-ea"/>
                      <a:cs typeface="Times New Roman" panose="02020603050405020304" pitchFamily="18" charset="0"/>
                    </a:defRPr>
                  </a:pPr>
                  <a:endParaRPr lang="en-US"/>
                </a:p>
              </c:txPr>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BC6A-4DCC-AC9B-564C402E912F}"/>
                </c:ext>
              </c:extLst>
            </c:dLbl>
            <c:dLbl>
              <c:idx val="3"/>
              <c:tx>
                <c:rich>
                  <a:bodyPr rot="0" spcFirstLastPara="1" vertOverflow="ellipsis" vert="horz" wrap="square" lIns="38100" tIns="19050" rIns="38100" bIns="19050" anchor="ctr" anchorCtr="1">
                    <a:spAutoFit/>
                  </a:bodyPr>
                  <a:lstStyle/>
                  <a:p>
                    <a:pPr>
                      <a:defRPr sz="1200" b="1" i="0" u="none" strike="noStrike" baseline="0">
                        <a:solidFill>
                          <a:schemeClr val="bg1"/>
                        </a:solidFill>
                        <a:latin typeface="+mn-lt"/>
                        <a:ea typeface="+mn-ea"/>
                        <a:cs typeface="Times New Roman" panose="02020603050405020304" pitchFamily="18" charset="0"/>
                      </a:defRPr>
                    </a:pPr>
                    <a:fld id="{8F616D72-331D-4A35-A7DE-5E0F3508A5F1}" type="VALUE">
                      <a:rPr lang="en-US">
                        <a:solidFill>
                          <a:schemeClr val="bg1"/>
                        </a:solidFill>
                        <a:latin typeface="+mn-lt"/>
                        <a:cs typeface="Times New Roman" panose="02020603050405020304" pitchFamily="18" charset="0"/>
                      </a:rPr>
                      <a:pPr>
                        <a:defRPr sz="1200" b="1">
                          <a:solidFill>
                            <a:schemeClr val="bg1"/>
                          </a:solidFill>
                          <a:cs typeface="Times New Roman" panose="02020603050405020304" pitchFamily="18" charset="0"/>
                        </a:defRPr>
                      </a:pPr>
                      <a:t>[VALUE]</a:t>
                    </a:fld>
                    <a:r>
                      <a:rPr lang="en-US">
                        <a:solidFill>
                          <a:schemeClr val="bg1"/>
                        </a:solidFill>
                        <a:latin typeface="+mn-lt"/>
                        <a:cs typeface="Times New Roman" panose="02020603050405020304" pitchFamily="18" charset="0"/>
                      </a:rPr>
                      <a:t>%</a:t>
                    </a:r>
                  </a:p>
                </c:rich>
              </c:tx>
              <c:spPr>
                <a:noFill/>
                <a:ln>
                  <a:noFill/>
                </a:ln>
                <a:effectLst/>
              </c:spPr>
              <c:txPr>
                <a:bodyPr rot="0" spcFirstLastPara="1" vertOverflow="ellipsis" vert="horz" wrap="square" lIns="38100" tIns="19050" rIns="38100" bIns="19050" anchor="ctr" anchorCtr="1">
                  <a:spAutoFit/>
                </a:bodyPr>
                <a:lstStyle/>
                <a:p>
                  <a:pPr>
                    <a:defRPr sz="1200" b="1" i="0" u="none" strike="noStrike" baseline="0">
                      <a:solidFill>
                        <a:schemeClr val="bg1"/>
                      </a:solidFill>
                      <a:latin typeface="+mn-lt"/>
                      <a:ea typeface="+mn-ea"/>
                      <a:cs typeface="Times New Roman" panose="02020603050405020304" pitchFamily="18" charset="0"/>
                    </a:defRPr>
                  </a:pPr>
                  <a:endParaRPr lang="en-US"/>
                </a:p>
              </c:txPr>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7-BC6A-4DCC-AC9B-564C402E912F}"/>
                </c:ext>
              </c:extLst>
            </c:dLbl>
            <c:dLbl>
              <c:idx val="4"/>
              <c:tx>
                <c:rich>
                  <a:bodyPr rot="0" spcFirstLastPara="1" vertOverflow="ellipsis" vert="horz" wrap="square" lIns="38100" tIns="19050" rIns="38100" bIns="19050" anchor="ctr" anchorCtr="1">
                    <a:spAutoFit/>
                  </a:bodyPr>
                  <a:lstStyle/>
                  <a:p>
                    <a:pPr>
                      <a:defRPr sz="1200" b="1" i="0" u="none" strike="noStrike" baseline="0">
                        <a:solidFill>
                          <a:schemeClr val="bg1"/>
                        </a:solidFill>
                        <a:latin typeface="+mn-lt"/>
                        <a:ea typeface="+mn-ea"/>
                        <a:cs typeface="Times New Roman" panose="02020603050405020304" pitchFamily="18" charset="0"/>
                      </a:defRPr>
                    </a:pPr>
                    <a:fld id="{AB97DFC9-1A2C-4978-A152-C7386D25D313}" type="VALUE">
                      <a:rPr lang="en-US">
                        <a:latin typeface="+mn-lt"/>
                        <a:cs typeface="Times New Roman" panose="02020603050405020304" pitchFamily="18" charset="0"/>
                      </a:rPr>
                      <a:pPr>
                        <a:defRPr sz="1200" b="1">
                          <a:solidFill>
                            <a:schemeClr val="bg1"/>
                          </a:solidFill>
                          <a:cs typeface="Times New Roman" panose="02020603050405020304" pitchFamily="18" charset="0"/>
                        </a:defRPr>
                      </a:pPr>
                      <a:t>[VALUE]</a:t>
                    </a:fld>
                    <a:r>
                      <a:rPr lang="en-US">
                        <a:latin typeface="+mn-lt"/>
                        <a:cs typeface="Times New Roman" panose="02020603050405020304" pitchFamily="18" charset="0"/>
                      </a:rPr>
                      <a:t>%</a:t>
                    </a:r>
                  </a:p>
                </c:rich>
              </c:tx>
              <c:spPr>
                <a:noFill/>
                <a:ln>
                  <a:noFill/>
                </a:ln>
                <a:effectLst/>
              </c:spPr>
              <c:txPr>
                <a:bodyPr rot="0" spcFirstLastPara="1" vertOverflow="ellipsis" vert="horz" wrap="square" lIns="38100" tIns="19050" rIns="38100" bIns="19050" anchor="ctr" anchorCtr="1">
                  <a:spAutoFit/>
                </a:bodyPr>
                <a:lstStyle/>
                <a:p>
                  <a:pPr>
                    <a:defRPr sz="1200" b="1" i="0" u="none" strike="noStrike" baseline="0">
                      <a:solidFill>
                        <a:schemeClr val="bg1"/>
                      </a:solidFill>
                      <a:latin typeface="+mn-lt"/>
                      <a:ea typeface="+mn-ea"/>
                      <a:cs typeface="Times New Roman" panose="02020603050405020304" pitchFamily="18" charset="0"/>
                    </a:defRPr>
                  </a:pPr>
                  <a:endParaRPr lang="en-US"/>
                </a:p>
              </c:txPr>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9-BC6A-4DCC-AC9B-564C402E912F}"/>
                </c:ext>
              </c:extLst>
            </c:dLbl>
            <c:dLbl>
              <c:idx val="5"/>
              <c:tx>
                <c:rich>
                  <a:bodyPr rot="0" spcFirstLastPara="1" vertOverflow="ellipsis" vert="horz" wrap="square" lIns="38100" tIns="19050" rIns="38100" bIns="19050" anchor="ctr" anchorCtr="1">
                    <a:spAutoFit/>
                  </a:bodyPr>
                  <a:lstStyle/>
                  <a:p>
                    <a:pPr>
                      <a:defRPr sz="1200" b="1" i="0" u="none" strike="noStrike" baseline="0">
                        <a:solidFill>
                          <a:schemeClr val="bg1"/>
                        </a:solidFill>
                        <a:latin typeface="+mn-lt"/>
                        <a:ea typeface="+mn-ea"/>
                        <a:cs typeface="Times New Roman" panose="02020603050405020304" pitchFamily="18" charset="0"/>
                      </a:defRPr>
                    </a:pPr>
                    <a:fld id="{63BA4FD6-5E38-49FE-9634-A553BF76D09F}" type="VALUE">
                      <a:rPr lang="en-US">
                        <a:latin typeface="+mn-lt"/>
                        <a:cs typeface="Times New Roman" panose="02020603050405020304" pitchFamily="18" charset="0"/>
                      </a:rPr>
                      <a:pPr>
                        <a:defRPr sz="1200" b="1">
                          <a:solidFill>
                            <a:schemeClr val="bg1"/>
                          </a:solidFill>
                          <a:cs typeface="Times New Roman" panose="02020603050405020304" pitchFamily="18" charset="0"/>
                        </a:defRPr>
                      </a:pPr>
                      <a:t>[VALUE]</a:t>
                    </a:fld>
                    <a:r>
                      <a:rPr lang="en-US">
                        <a:latin typeface="+mn-lt"/>
                        <a:cs typeface="Times New Roman" panose="02020603050405020304" pitchFamily="18" charset="0"/>
                      </a:rPr>
                      <a:t>%</a:t>
                    </a:r>
                  </a:p>
                </c:rich>
              </c:tx>
              <c:spPr>
                <a:noFill/>
                <a:ln>
                  <a:noFill/>
                </a:ln>
                <a:effectLst/>
              </c:spPr>
              <c:txPr>
                <a:bodyPr rot="0" spcFirstLastPara="1" vertOverflow="ellipsis" vert="horz" wrap="square" lIns="38100" tIns="19050" rIns="38100" bIns="19050" anchor="ctr" anchorCtr="1">
                  <a:spAutoFit/>
                </a:bodyPr>
                <a:lstStyle/>
                <a:p>
                  <a:pPr>
                    <a:defRPr sz="1200" b="1" i="0" u="none" strike="noStrike" baseline="0">
                      <a:solidFill>
                        <a:schemeClr val="bg1"/>
                      </a:solidFill>
                      <a:latin typeface="+mn-lt"/>
                      <a:ea typeface="+mn-ea"/>
                      <a:cs typeface="Times New Roman" panose="02020603050405020304" pitchFamily="18" charset="0"/>
                    </a:defRPr>
                  </a:pPr>
                  <a:endParaRPr lang="en-US"/>
                </a:p>
              </c:txPr>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B-BC6A-4DCC-AC9B-564C402E912F}"/>
                </c:ext>
              </c:extLst>
            </c:dLbl>
            <c:spPr>
              <a:noFill/>
              <a:ln>
                <a:noFill/>
              </a:ln>
              <a:effectLst/>
            </c:spPr>
            <c:txPr>
              <a:bodyPr rot="0" spcFirstLastPara="1" vertOverflow="ellipsis" vert="horz" wrap="square" lIns="38100" tIns="19050" rIns="38100" bIns="19050" anchor="ctr" anchorCtr="1">
                <a:spAutoFit/>
              </a:bodyPr>
              <a:lstStyle/>
              <a:p>
                <a:pPr>
                  <a:defRPr sz="1200" b="1" i="0" u="none" strike="noStrike" baseline="0">
                    <a:solidFill>
                      <a:schemeClr val="tx1"/>
                    </a:solidFill>
                    <a:latin typeface="+mn-lt"/>
                    <a:ea typeface="+mn-ea"/>
                    <a:cs typeface="Times New Roman" panose="02020603050405020304" pitchFamily="18" charset="0"/>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Lack of understanding or awareness of the NIMAC</c:v>
                </c:pt>
                <c:pt idx="1">
                  <c:v>Challenges of producing NIMAS for digital instructional materials</c:v>
                </c:pt>
                <c:pt idx="2">
                  <c:v>Turnover of state or district staff who are responsible for procurement contracts for educational materials (without knowledge transfer to new staff)</c:v>
                </c:pt>
                <c:pt idx="3">
                  <c:v>Lack of knowledge or misunderstanding of the role of the NIMAC</c:v>
                </c:pt>
                <c:pt idx="4">
                  <c:v>NIMAS conversion vendor turnaround times</c:v>
                </c:pt>
                <c:pt idx="5">
                  <c:v>Significant differences between the printing needed in an accessible format and the one submitted to the NIMAC</c:v>
                </c:pt>
              </c:strCache>
            </c:strRef>
          </c:cat>
          <c:val>
            <c:numRef>
              <c:f>Sheet1!$B$2:$B$7</c:f>
              <c:numCache>
                <c:formatCode>General</c:formatCode>
                <c:ptCount val="6"/>
                <c:pt idx="0">
                  <c:v>14</c:v>
                </c:pt>
                <c:pt idx="1">
                  <c:v>14</c:v>
                </c:pt>
                <c:pt idx="2">
                  <c:v>29</c:v>
                </c:pt>
                <c:pt idx="3">
                  <c:v>29</c:v>
                </c:pt>
                <c:pt idx="4">
                  <c:v>57</c:v>
                </c:pt>
                <c:pt idx="5">
                  <c:v>57</c:v>
                </c:pt>
              </c:numCache>
            </c:numRef>
          </c:val>
          <c:extLst>
            <c:ext xmlns:c16="http://schemas.microsoft.com/office/drawing/2014/chart" uri="{C3380CC4-5D6E-409C-BE32-E72D297353CC}">
              <c16:uniqueId val="{0000000C-BC6A-4DCC-AC9B-564C402E912F}"/>
            </c:ext>
          </c:extLst>
        </c:ser>
        <c:dLbls>
          <c:showLegendKey val="0"/>
          <c:showVal val="1"/>
          <c:showCatName val="0"/>
          <c:showSerName val="0"/>
          <c:showPercent val="0"/>
          <c:showBubbleSize val="0"/>
        </c:dLbls>
        <c:gapWidth val="48"/>
        <c:axId val="1100232240"/>
        <c:axId val="1100226960"/>
      </c:barChart>
      <c:catAx>
        <c:axId val="110023224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baseline="0">
                <a:solidFill>
                  <a:schemeClr val="tx1"/>
                </a:solidFill>
                <a:latin typeface="+mn-lt"/>
                <a:ea typeface="+mn-ea"/>
                <a:cs typeface="Times New Roman" panose="02020603050405020304" pitchFamily="18" charset="0"/>
              </a:defRPr>
            </a:pPr>
            <a:endParaRPr lang="en-US"/>
          </a:p>
        </c:txPr>
        <c:crossAx val="1100226960"/>
        <c:crosses val="autoZero"/>
        <c:auto val="1"/>
        <c:lblAlgn val="ctr"/>
        <c:lblOffset val="100"/>
        <c:noMultiLvlLbl val="0"/>
      </c:catAx>
      <c:valAx>
        <c:axId val="1100226960"/>
        <c:scaling>
          <c:orientation val="minMax"/>
        </c:scaling>
        <c:delete val="1"/>
        <c:axPos val="b"/>
        <c:numFmt formatCode="General" sourceLinked="1"/>
        <c:majorTickMark val="none"/>
        <c:minorTickMark val="none"/>
        <c:tickLblPos val="nextTo"/>
        <c:crossAx val="1100232240"/>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hart4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5.9824475065616799E-2"/>
          <c:y val="4.3650793650793697E-2"/>
          <c:w val="0.891431357538641"/>
          <c:h val="0.63080923295803004"/>
        </c:manualLayout>
      </c:layout>
      <c:barChart>
        <c:barDir val="bar"/>
        <c:grouping val="percentStacked"/>
        <c:varyColors val="0"/>
        <c:ser>
          <c:idx val="0"/>
          <c:order val="0"/>
          <c:tx>
            <c:strRef>
              <c:f>Sheet1!$D$1</c:f>
              <c:strCache>
                <c:ptCount val="1"/>
                <c:pt idx="0">
                  <c:v>Disagree</c:v>
                </c:pt>
              </c:strCache>
            </c:strRef>
          </c:tx>
          <c:spPr>
            <a:solidFill>
              <a:schemeClr val="bg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solidFill>
                    <a:latin typeface="+mn-lt"/>
                    <a:ea typeface="+mn-ea"/>
                    <a:cs typeface="Times New Roman" panose="02020603050405020304" pitchFamily="18" charset="0"/>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val>
            <c:numRef>
              <c:f>Sheet1!$D$2</c:f>
              <c:numCache>
                <c:formatCode>0%</c:formatCode>
                <c:ptCount val="1"/>
                <c:pt idx="0">
                  <c:v>0.06</c:v>
                </c:pt>
              </c:numCache>
            </c:numRef>
          </c:val>
          <c:extLst>
            <c:ext xmlns:c16="http://schemas.microsoft.com/office/drawing/2014/chart" uri="{C3380CC4-5D6E-409C-BE32-E72D297353CC}">
              <c16:uniqueId val="{00000000-1F3D-42C6-A3C7-F6D08414DDA6}"/>
            </c:ext>
          </c:extLst>
        </c:ser>
        <c:ser>
          <c:idx val="1"/>
          <c:order val="1"/>
          <c:tx>
            <c:strRef>
              <c:f>Sheet1!$E$1</c:f>
              <c:strCache>
                <c:ptCount val="1"/>
                <c:pt idx="0">
                  <c:v>Agree</c:v>
                </c:pt>
              </c:strCache>
            </c:strRef>
          </c:tx>
          <c:spPr>
            <a:solidFill>
              <a:schemeClr val="tx2">
                <a:lumMod val="25000"/>
                <a:lumOff val="75000"/>
              </a:schemeClr>
            </a:solidFill>
            <a:ln>
              <a:noFill/>
            </a:ln>
            <a:effectLst/>
          </c:spPr>
          <c:invertIfNegative val="0"/>
          <c:dLbls>
            <c:dLbl>
              <c:idx val="0"/>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1F3D-42C6-A3C7-F6D08414DDA6}"/>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solidFill>
                    <a:latin typeface="+mn-lt"/>
                    <a:ea typeface="+mn-ea"/>
                    <a:cs typeface="Times New Roman" panose="02020603050405020304" pitchFamily="18" charset="0"/>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val>
            <c:numRef>
              <c:f>Sheet1!$E$2</c:f>
              <c:numCache>
                <c:formatCode>0%</c:formatCode>
                <c:ptCount val="1"/>
                <c:pt idx="0">
                  <c:v>0.82</c:v>
                </c:pt>
              </c:numCache>
            </c:numRef>
          </c:val>
          <c:extLst>
            <c:ext xmlns:c16="http://schemas.microsoft.com/office/drawing/2014/chart" uri="{C3380CC4-5D6E-409C-BE32-E72D297353CC}">
              <c16:uniqueId val="{00000002-1F3D-42C6-A3C7-F6D08414DDA6}"/>
            </c:ext>
          </c:extLst>
        </c:ser>
        <c:ser>
          <c:idx val="2"/>
          <c:order val="2"/>
          <c:tx>
            <c:strRef>
              <c:f>Sheet1!$F$1</c:f>
              <c:strCache>
                <c:ptCount val="1"/>
                <c:pt idx="0">
                  <c:v>Strongly Agree</c:v>
                </c:pt>
              </c:strCache>
            </c:strRef>
          </c:tx>
          <c:spPr>
            <a:solidFill>
              <a:srgbClr val="203864"/>
            </a:solidFill>
            <a:ln>
              <a:noFill/>
            </a:ln>
            <a:effectLst/>
          </c:spPr>
          <c:invertIfNegative val="0"/>
          <c:dLbls>
            <c:dLbl>
              <c:idx val="0"/>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1F3D-42C6-A3C7-F6D08414DDA6}"/>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bg1"/>
                    </a:solidFill>
                    <a:latin typeface="+mn-lt"/>
                    <a:ea typeface="Calibri" panose="020F0502020204030204" pitchFamily="34" charset="0"/>
                    <a:cs typeface="Times New Roman" panose="02020603050405020304" pitchFamily="18" charset="0"/>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val>
            <c:numRef>
              <c:f>Sheet1!$F$2</c:f>
              <c:numCache>
                <c:formatCode>0%</c:formatCode>
                <c:ptCount val="1"/>
                <c:pt idx="0">
                  <c:v>0.12</c:v>
                </c:pt>
              </c:numCache>
            </c:numRef>
          </c:val>
          <c:extLst>
            <c:ext xmlns:c16="http://schemas.microsoft.com/office/drawing/2014/chart" uri="{C3380CC4-5D6E-409C-BE32-E72D297353CC}">
              <c16:uniqueId val="{00000004-1F3D-42C6-A3C7-F6D08414DDA6}"/>
            </c:ext>
          </c:extLst>
        </c:ser>
        <c:dLbls>
          <c:dLblPos val="inEnd"/>
          <c:showLegendKey val="0"/>
          <c:showVal val="1"/>
          <c:showCatName val="0"/>
          <c:showSerName val="0"/>
          <c:showPercent val="0"/>
          <c:showBubbleSize val="0"/>
        </c:dLbls>
        <c:gapWidth val="150"/>
        <c:overlap val="100"/>
        <c:axId val="-2078615864"/>
        <c:axId val="-2079077192"/>
      </c:barChart>
      <c:catAx>
        <c:axId val="-2078615864"/>
        <c:scaling>
          <c:orientation val="minMax"/>
        </c:scaling>
        <c:delete val="1"/>
        <c:axPos val="l"/>
        <c:numFmt formatCode="0.00%" sourceLinked="1"/>
        <c:majorTickMark val="none"/>
        <c:minorTickMark val="none"/>
        <c:tickLblPos val="nextTo"/>
        <c:crossAx val="-2079077192"/>
        <c:crosses val="autoZero"/>
        <c:auto val="1"/>
        <c:lblAlgn val="ctr"/>
        <c:lblOffset val="100"/>
        <c:noMultiLvlLbl val="0"/>
      </c:catAx>
      <c:valAx>
        <c:axId val="-2079077192"/>
        <c:scaling>
          <c:orientation val="minMax"/>
        </c:scaling>
        <c:delete val="1"/>
        <c:axPos val="b"/>
        <c:numFmt formatCode="0%" sourceLinked="1"/>
        <c:majorTickMark val="none"/>
        <c:minorTickMark val="none"/>
        <c:tickLblPos val="nextTo"/>
        <c:crossAx val="-207861586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0"/>
        <a:lstStyle/>
        <a:p>
          <a:pPr>
            <a:defRPr sz="1200" b="0" i="0" u="none" strike="noStrike" kern="1200" baseline="0">
              <a:solidFill>
                <a:sysClr val="windowText" lastClr="000000"/>
              </a:solidFill>
              <a:latin typeface="+mn-lt"/>
              <a:ea typeface="+mn-ea"/>
              <a:cs typeface="Times New Roman" panose="02020603050405020304" pitchFamily="18" charset="0"/>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hartEx1.xml><?xml version="1.0" encoding="utf-8"?>
<cx:chartSpace xmlns:a="http://schemas.openxmlformats.org/drawingml/2006/main" xmlns:r="http://schemas.openxmlformats.org/officeDocument/2006/relationships" xmlns:cx="http://schemas.microsoft.com/office/drawing/2014/chartex">
  <cx:chartData>
    <cx:externalData r:id="rId1" cx:autoUpdate="0"/>
    <cx:data id="0">
      <cx:strDim type="cat">
        <cx:f>Sheet1!$A$2:$A$8</cx:f>
        <cx:lvl ptCount="7">
          <cx:pt idx="0">LEA or ESD Staff</cx:pt>
          <cx:pt idx="1">School Staff</cx:pt>
          <cx:pt idx="2">Regional Agency or 
Cooperative Staff</cx:pt>
          <cx:pt idx="3">Instructional Materials or 
Resource Center Staff</cx:pt>
          <cx:pt idx="4">SEA Staff</cx:pt>
          <cx:pt idx="5">Publisher or Conversion 
Vendor</cx:pt>
          <cx:pt idx="6">Accessible Media Producer</cx:pt>
        </cx:lvl>
      </cx:strDim>
      <cx:numDim type="val">
        <cx:f>Sheet1!$B$2:$B$8</cx:f>
        <cx:lvl ptCount="7" formatCode="0%">
          <cx:pt idx="0">0.26000000000000001</cx:pt>
          <cx:pt idx="1">0.249</cx:pt>
          <cx:pt idx="2">0.158</cx:pt>
          <cx:pt idx="3">0.13</cx:pt>
          <cx:pt idx="4">0.10000000000000001</cx:pt>
          <cx:pt idx="5">0.060999999999999999</cx:pt>
          <cx:pt idx="6">0.040000000000000001</cx:pt>
        </cx:lvl>
      </cx:numDim>
    </cx:data>
  </cx:chartData>
  <cx:chart>
    <cx:plotArea>
      <cx:plotAreaRegion>
        <cx:series layoutId="funnel" uniqueId="{DA9120C8-9ADF-4B3E-9237-0A7B50FAA8AB}">
          <cx:tx>
            <cx:txData>
              <cx:f>Sheet1!$B$1</cx:f>
              <cx:v>Column 1</cx:v>
            </cx:txData>
          </cx:tx>
          <cx:spPr>
            <a:solidFill>
              <a:srgbClr val="2263A0"/>
            </a:solidFill>
          </cx:spPr>
          <cx:dataLabels>
            <cx:txPr>
              <a:bodyPr spcFirstLastPara="1" vertOverflow="ellipsis" horzOverflow="overflow" wrap="square" lIns="0" tIns="0" rIns="0" bIns="0" anchor="ctr" anchorCtr="1"/>
              <a:lstStyle/>
              <a:p>
                <a:pPr algn="ctr" rtl="0">
                  <a:defRPr sz="1100" b="1">
                    <a:solidFill>
                      <a:schemeClr val="bg1"/>
                    </a:solidFill>
                    <a:latin typeface="+mn-lt"/>
                  </a:defRPr>
                </a:pPr>
                <a:endParaRPr lang="en-US" sz="1100" b="1" i="0" u="none" strike="noStrike" baseline="0">
                  <a:solidFill>
                    <a:schemeClr val="bg1"/>
                  </a:solidFill>
                  <a:latin typeface="+mn-lt"/>
                </a:endParaRPr>
              </a:p>
            </cx:txPr>
          </cx:dataLabels>
          <cx:dataId val="0"/>
        </cx:series>
      </cx:plotAreaRegion>
      <cx:axis id="0">
        <cx:catScaling gapWidth="0.170000002"/>
        <cx:tickLabels/>
        <cx:txPr>
          <a:bodyPr spcFirstLastPara="1" vertOverflow="ellipsis" horzOverflow="overflow" wrap="square" lIns="0" tIns="0" rIns="0" bIns="0" anchor="ctr" anchorCtr="1"/>
          <a:lstStyle/>
          <a:p>
            <a:pPr algn="ctr" rtl="0">
              <a:defRPr sz="1100">
                <a:solidFill>
                  <a:sysClr val="windowText" lastClr="000000"/>
                </a:solidFill>
                <a:latin typeface="+mn-lt"/>
              </a:defRPr>
            </a:pPr>
            <a:endParaRPr lang="en-US" sz="1100" b="0" i="0" u="none" strike="noStrike" baseline="0">
              <a:solidFill>
                <a:sysClr val="windowText" lastClr="000000"/>
              </a:solidFill>
              <a:latin typeface="+mn-lt"/>
            </a:endParaRPr>
          </a:p>
        </cx:txPr>
      </cx:axis>
    </cx:plotArea>
  </cx:chart>
  <cx:spPr>
    <a:ln>
      <a:noFill/>
    </a:ln>
  </cx:spPr>
  <cx:clrMapOvr bg1="lt1" tx1="dk1" bg2="lt2" tx2="dk2" accent1="accent1" accent2="accent2" accent3="accent3" accent4="accent4" accent5="accent5" accent6="accent6" hlink="hlink" folHlink="folHlink"/>
</cx: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419">
  <cs:axisTitle>
    <cs:lnRef idx="0"/>
    <cs:fillRef idx="0"/>
    <cs:effectRef idx="0"/>
    <cs:fontRef idx="minor">
      <a:schemeClr val="tx1">
        <a:lumMod val="65000"/>
        <a:lumOff val="35000"/>
      </a:schemeClr>
    </cs:fontRef>
    <cs:defRPr sz="9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cs:chartArea>
  <cs:dataLabel>
    <cs:lnRef idx="0"/>
    <cs:fillRef idx="0"/>
    <cs:effectRef idx="0"/>
    <cs:fontRef idx="minor">
      <a:schemeClr val="tx1">
        <a:lumMod val="65000"/>
        <a:lumOff val="35000"/>
      </a:schemeClr>
    </cs:fontRef>
    <cs:defRPr sz="9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solidFill>
    </cs:spPr>
  </cs:dataPoint>
  <cs:dataPoint3D>
    <cs:lnRef idx="0"/>
    <cs:fillRef idx="0">
      <cs:styleClr val="auto"/>
    </cs:fillRef>
    <cs:effectRef idx="0"/>
    <cs:fontRef idx="minor">
      <a:schemeClr val="tx1"/>
    </cs:fontRef>
    <cs:spPr>
      <a:solidFill>
        <a:schemeClr val="phClr"/>
      </a:solidFill>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5"/>
  <cs:dataPointWireframe>
    <cs:lnRef idx="0">
      <cs:styleClr val="auto"/>
    </cs:lnRef>
    <cs:fillRef idx="0"/>
    <cs:effectRef idx="0"/>
    <cs:fontRef idx="minor">
      <a:schemeClr val="tx1"/>
    </cs:fontRef>
    <cs:spPr>
      <a:ln w="2857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15000"/>
            <a:lumOff val="8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seriesAxis>
  <cs:seriesLine>
    <cs:lnRef idx="0"/>
    <cs:fillRef idx="0"/>
    <cs:effectRef idx="0"/>
    <cs:fontRef idx="minor">
      <a:schemeClr val="tx1"/>
    </cs:fontRef>
    <cs:spPr>
      <a:ln w="9525" cap="flat">
        <a:solidFill>
          <a:srgbClr val="D9D9D9"/>
        </a:solidFill>
        <a:round/>
      </a:ln>
    </cs:spPr>
  </cs:seriesLine>
  <cs:title>
    <cs:lnRef idx="0"/>
    <cs:fillRef idx="0"/>
    <cs:effectRef idx="0"/>
    <cs:fontRef idx="minor">
      <a:schemeClr val="tx1">
        <a:lumMod val="65000"/>
        <a:lumOff val="35000"/>
      </a:schemeClr>
    </cs:fontRef>
    <cs:defRPr sz="140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cs:valueAxis>
  <cs:wall>
    <cs:lnRef idx="0"/>
    <cs:fillRef idx="0"/>
    <cs:effectRef idx="0"/>
    <cs:fontRef idx="minor">
      <a:schemeClr val="tx1"/>
    </cs:fontRef>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6.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7.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8.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9.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0.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6.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7.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8.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9.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0.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2.xml><?xml version="1.0" encoding="utf-8"?>
<cs:chartStyle xmlns:cs="http://schemas.microsoft.com/office/drawing/2012/chartStyle" xmlns:a="http://schemas.openxmlformats.org/drawingml/2006/main" id="419">
  <cs:axisTitle>
    <cs:lnRef idx="0"/>
    <cs:fillRef idx="0"/>
    <cs:effectRef idx="0"/>
    <cs:fontRef idx="minor">
      <a:schemeClr val="tx1">
        <a:lumMod val="65000"/>
        <a:lumOff val="35000"/>
      </a:schemeClr>
    </cs:fontRef>
    <cs:defRPr sz="9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cs:chartArea>
  <cs:dataLabel>
    <cs:lnRef idx="0"/>
    <cs:fillRef idx="0"/>
    <cs:effectRef idx="0"/>
    <cs:fontRef idx="minor">
      <a:schemeClr val="tx1">
        <a:lumMod val="65000"/>
        <a:lumOff val="35000"/>
      </a:schemeClr>
    </cs:fontRef>
    <cs:defRPr sz="9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solidFill>
    </cs:spPr>
  </cs:dataPoint>
  <cs:dataPoint3D>
    <cs:lnRef idx="0"/>
    <cs:fillRef idx="0">
      <cs:styleClr val="auto"/>
    </cs:fillRef>
    <cs:effectRef idx="0"/>
    <cs:fontRef idx="minor">
      <a:schemeClr val="tx1"/>
    </cs:fontRef>
    <cs:spPr>
      <a:solidFill>
        <a:schemeClr val="phClr"/>
      </a:solidFill>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5"/>
  <cs:dataPointWireframe>
    <cs:lnRef idx="0">
      <cs:styleClr val="auto"/>
    </cs:lnRef>
    <cs:fillRef idx="0"/>
    <cs:effectRef idx="0"/>
    <cs:fontRef idx="minor">
      <a:schemeClr val="tx1"/>
    </cs:fontRef>
    <cs:spPr>
      <a:ln w="2857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15000"/>
            <a:lumOff val="8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seriesAxis>
  <cs:seriesLine>
    <cs:lnRef idx="0"/>
    <cs:fillRef idx="0"/>
    <cs:effectRef idx="0"/>
    <cs:fontRef idx="minor">
      <a:schemeClr val="tx1"/>
    </cs:fontRef>
    <cs:spPr>
      <a:ln w="9525" cap="flat">
        <a:solidFill>
          <a:srgbClr val="D9D9D9"/>
        </a:solidFill>
        <a:round/>
      </a:ln>
    </cs:spPr>
  </cs:seriesLine>
  <cs:title>
    <cs:lnRef idx="0"/>
    <cs:fillRef idx="0"/>
    <cs:effectRef idx="0"/>
    <cs:fontRef idx="minor">
      <a:schemeClr val="tx1">
        <a:lumMod val="65000"/>
        <a:lumOff val="35000"/>
      </a:schemeClr>
    </cs:fontRef>
    <cs:defRPr sz="140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cs:valueAxis>
  <cs:wall>
    <cs:lnRef idx="0"/>
    <cs:fillRef idx="0"/>
    <cs:effectRef idx="0"/>
    <cs:fontRef idx="minor">
      <a:schemeClr val="tx1"/>
    </cs:fontRef>
  </cs:wall>
</cs:chartStyle>
</file>

<file path=word/charts/style43.xml><?xml version="1.0" encoding="utf-8"?>
<cs:chartStyle xmlns:cs="http://schemas.microsoft.com/office/drawing/2012/chartStyle" xmlns:a="http://schemas.openxmlformats.org/drawingml/2006/main" id="419">
  <cs:axisTitle>
    <cs:lnRef idx="0"/>
    <cs:fillRef idx="0"/>
    <cs:effectRef idx="0"/>
    <cs:fontRef idx="minor">
      <a:schemeClr val="tx1">
        <a:lumMod val="65000"/>
        <a:lumOff val="35000"/>
      </a:schemeClr>
    </cs:fontRef>
    <cs:defRPr sz="9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cs:chartArea>
  <cs:dataLabel>
    <cs:lnRef idx="0"/>
    <cs:fillRef idx="0"/>
    <cs:effectRef idx="0"/>
    <cs:fontRef idx="minor">
      <a:schemeClr val="tx1">
        <a:lumMod val="65000"/>
        <a:lumOff val="35000"/>
      </a:schemeClr>
    </cs:fontRef>
    <cs:defRPr sz="9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solidFill>
    </cs:spPr>
  </cs:dataPoint>
  <cs:dataPoint3D>
    <cs:lnRef idx="0"/>
    <cs:fillRef idx="0">
      <cs:styleClr val="auto"/>
    </cs:fillRef>
    <cs:effectRef idx="0"/>
    <cs:fontRef idx="minor">
      <a:schemeClr val="tx1"/>
    </cs:fontRef>
    <cs:spPr>
      <a:solidFill>
        <a:schemeClr val="phClr"/>
      </a:solidFill>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5"/>
  <cs:dataPointWireframe>
    <cs:lnRef idx="0">
      <cs:styleClr val="auto"/>
    </cs:lnRef>
    <cs:fillRef idx="0"/>
    <cs:effectRef idx="0"/>
    <cs:fontRef idx="minor">
      <a:schemeClr val="tx1"/>
    </cs:fontRef>
    <cs:spPr>
      <a:ln w="2857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15000"/>
            <a:lumOff val="8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seriesAxis>
  <cs:seriesLine>
    <cs:lnRef idx="0"/>
    <cs:fillRef idx="0"/>
    <cs:effectRef idx="0"/>
    <cs:fontRef idx="minor">
      <a:schemeClr val="tx1"/>
    </cs:fontRef>
    <cs:spPr>
      <a:ln w="9525" cap="flat">
        <a:solidFill>
          <a:srgbClr val="D9D9D9"/>
        </a:solidFill>
        <a:round/>
      </a:ln>
    </cs:spPr>
  </cs:seriesLine>
  <cs:title>
    <cs:lnRef idx="0"/>
    <cs:fillRef idx="0"/>
    <cs:effectRef idx="0"/>
    <cs:fontRef idx="minor">
      <a:schemeClr val="tx1">
        <a:lumMod val="65000"/>
        <a:lumOff val="35000"/>
      </a:schemeClr>
    </cs:fontRef>
    <cs:defRPr sz="140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cs:valueAxis>
  <cs:wall>
    <cs:lnRef idx="0"/>
    <cs:fillRef idx="0"/>
    <cs:effectRef idx="0"/>
    <cs:fontRef idx="minor">
      <a:schemeClr val="tx1"/>
    </cs:fontRef>
  </cs:wall>
</cs:chartStyle>
</file>

<file path=word/charts/style4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2.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5.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6.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8.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9.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1.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5.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6.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7.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8.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9.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0.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1.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2.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3.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9867C7-0DB9-2D40-9F73-9BEE4F5521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132</Pages>
  <Words>39499</Words>
  <Characters>225145</Characters>
  <Application>Microsoft Office Word</Application>
  <DocSecurity>0</DocSecurity>
  <Lines>1876</Lines>
  <Paragraphs>528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Judy Lee</dc:creator>
  <cp:keywords/>
  <dc:description/>
  <cp:lastModifiedBy>Judy Lee</cp:lastModifiedBy>
  <cp:revision>17</cp:revision>
  <cp:lastPrinted>2026-01-31T23:08:00Z</cp:lastPrinted>
  <dcterms:created xsi:type="dcterms:W3CDTF">2026-02-25T13:44:00Z</dcterms:created>
  <dcterms:modified xsi:type="dcterms:W3CDTF">2026-02-25T14:26:00Z</dcterms:modified>
</cp:coreProperties>
</file>